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2399" w:tblpY="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5E0" w:firstRow="1" w:lastRow="1" w:firstColumn="1" w:lastColumn="1" w:noHBand="0" w:noVBand="1"/>
      </w:tblPr>
      <w:tblGrid>
        <w:gridCol w:w="4927"/>
        <w:gridCol w:w="4927"/>
      </w:tblGrid>
      <w:tr w:rsidR="00B34E1B" w:rsidRPr="00A66C9F" w14:paraId="1CA798AB" w14:textId="77777777" w:rsidTr="00B34E1B">
        <w:tc>
          <w:tcPr>
            <w:tcW w:w="4927" w:type="dxa"/>
            <w:shd w:val="clear" w:color="auto" w:fill="auto"/>
          </w:tcPr>
          <w:p w14:paraId="44A17B28" w14:textId="77777777" w:rsidR="00B34E1B" w:rsidRPr="00A66C9F" w:rsidRDefault="00B34E1B" w:rsidP="00B34E1B">
            <w:pPr>
              <w:suppressAutoHyphens/>
              <w:spacing w:line="270" w:lineRule="exact"/>
              <w:rPr>
                <w:sz w:val="24"/>
                <w:lang w:val="fr-FR"/>
              </w:rPr>
            </w:pPr>
          </w:p>
        </w:tc>
        <w:tc>
          <w:tcPr>
            <w:tcW w:w="4927" w:type="dxa"/>
            <w:shd w:val="clear" w:color="auto" w:fill="auto"/>
          </w:tcPr>
          <w:p w14:paraId="01FE87AD" w14:textId="77777777" w:rsidR="00B34E1B" w:rsidRPr="00A66C9F" w:rsidRDefault="00B34E1B" w:rsidP="00B34E1B">
            <w:pPr>
              <w:suppressAutoHyphens/>
              <w:spacing w:line="270" w:lineRule="exact"/>
              <w:jc w:val="right"/>
              <w:rPr>
                <w:lang w:val="fr-FR"/>
              </w:rPr>
            </w:pPr>
          </w:p>
        </w:tc>
      </w:tr>
    </w:tbl>
    <w:p w14:paraId="72D811E7" w14:textId="79016F11" w:rsidR="00E56F8B" w:rsidRPr="00A66C9F" w:rsidRDefault="00B34E1B" w:rsidP="006361FA">
      <w:pPr>
        <w:suppressAutoHyphens/>
        <w:spacing w:after="200" w:line="276" w:lineRule="auto"/>
        <w:ind w:firstLine="810"/>
        <w:rPr>
          <w:lang w:val="fr-FR"/>
        </w:rPr>
      </w:pPr>
      <w:r>
        <w:rPr>
          <w:noProof/>
          <w:lang w:val="fr-FR"/>
        </w:rPr>
        <w:drawing>
          <wp:inline distT="0" distB="0" distL="0" distR="0" wp14:anchorId="470ECC32" wp14:editId="691263E2">
            <wp:extent cx="5057812" cy="1600212"/>
            <wp:effectExtent l="0" t="0" r="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CPPNU_horizontal_full_white.png"/>
                    <pic:cNvPicPr/>
                  </pic:nvPicPr>
                  <pic:blipFill>
                    <a:blip r:embed="rId8"/>
                    <a:stretch>
                      <a:fillRect/>
                    </a:stretch>
                  </pic:blipFill>
                  <pic:spPr>
                    <a:xfrm>
                      <a:off x="0" y="0"/>
                      <a:ext cx="5057812" cy="1600212"/>
                    </a:xfrm>
                    <a:prstGeom prst="rect">
                      <a:avLst/>
                    </a:prstGeom>
                  </pic:spPr>
                </pic:pic>
              </a:graphicData>
            </a:graphic>
          </wp:inline>
        </w:drawing>
      </w:r>
    </w:p>
    <w:p w14:paraId="6CD04BA0" w14:textId="06D04A87" w:rsidR="00E56F8B" w:rsidRPr="00A66C9F" w:rsidRDefault="00E56F8B" w:rsidP="00DB7521">
      <w:pPr>
        <w:framePr w:w="9864" w:h="1440" w:hSpace="180" w:wrap="around" w:vAnchor="page" w:hAnchor="page" w:x="1210" w:y="11808" w:anchorLock="1"/>
        <w:suppressAutoHyphens/>
        <w:spacing w:before="600"/>
        <w:ind w:left="1267"/>
        <w:rPr>
          <w:sz w:val="28"/>
          <w:lang w:val="fr-FR"/>
        </w:rPr>
      </w:pPr>
      <w:r w:rsidRPr="00A66C9F">
        <w:rPr>
          <w:sz w:val="28"/>
          <w:lang w:val="fr-FR"/>
        </w:rPr>
        <w:t>New York, 2020</w:t>
      </w:r>
    </w:p>
    <w:p w14:paraId="1F57AB3B" w14:textId="3F2174CD" w:rsidR="00E56F8B" w:rsidRPr="00A66C9F" w:rsidRDefault="003D7271" w:rsidP="00DB7521">
      <w:pPr>
        <w:pStyle w:val="STitleS"/>
        <w:rPr>
          <w:lang w:val="fr-FR"/>
        </w:rPr>
      </w:pPr>
      <w:r w:rsidRPr="00A66C9F">
        <w:rPr>
          <w:lang w:val="fr-FR"/>
        </w:rPr>
        <w:t>Caisse commune des pensions du personnel des Nations Unies</w:t>
      </w:r>
    </w:p>
    <w:p w14:paraId="15A9EAC8" w14:textId="32A0A7D7" w:rsidR="003D7271" w:rsidRPr="00A66C9F" w:rsidRDefault="003D7271" w:rsidP="00DB7521">
      <w:pPr>
        <w:suppressAutoHyphens/>
        <w:spacing w:line="120" w:lineRule="exact"/>
        <w:ind w:left="1260"/>
        <w:rPr>
          <w:sz w:val="10"/>
          <w:lang w:val="fr-FR"/>
        </w:rPr>
      </w:pPr>
    </w:p>
    <w:p w14:paraId="5853AAE3" w14:textId="1CCFA0C2" w:rsidR="003D7271" w:rsidRPr="00A66C9F" w:rsidRDefault="003D7271" w:rsidP="00DB7521">
      <w:pPr>
        <w:suppressAutoHyphens/>
        <w:spacing w:line="120" w:lineRule="exact"/>
        <w:ind w:left="1260"/>
        <w:rPr>
          <w:sz w:val="10"/>
          <w:lang w:val="fr-FR"/>
        </w:rPr>
      </w:pPr>
    </w:p>
    <w:p w14:paraId="6456E13B" w14:textId="740B7B75" w:rsidR="003D7271" w:rsidRPr="00A66C9F" w:rsidRDefault="003D7271" w:rsidP="00DB7521">
      <w:pPr>
        <w:suppressAutoHyphens/>
        <w:spacing w:line="120" w:lineRule="exact"/>
        <w:ind w:left="1260"/>
        <w:rPr>
          <w:sz w:val="10"/>
          <w:lang w:val="fr-FR"/>
        </w:rPr>
      </w:pPr>
    </w:p>
    <w:p w14:paraId="778C2E56" w14:textId="57DA9CBD" w:rsidR="003D7271" w:rsidRPr="00A66C9F" w:rsidRDefault="003D7271" w:rsidP="00DB7521">
      <w:pPr>
        <w:pStyle w:val="STitleM"/>
        <w:ind w:right="2910"/>
        <w:rPr>
          <w:lang w:val="fr-FR"/>
        </w:rPr>
      </w:pPr>
      <w:r w:rsidRPr="00A66C9F">
        <w:rPr>
          <w:lang w:val="fr-FR"/>
        </w:rPr>
        <w:t>Rapport financier et états financiers audités</w:t>
      </w:r>
    </w:p>
    <w:p w14:paraId="3F1D2B23" w14:textId="5D0CA605" w:rsidR="003D7271" w:rsidRPr="00A66C9F" w:rsidRDefault="003D7271" w:rsidP="00DB7521">
      <w:pPr>
        <w:suppressAutoHyphens/>
        <w:spacing w:line="120" w:lineRule="exact"/>
        <w:ind w:left="1260"/>
        <w:rPr>
          <w:sz w:val="10"/>
          <w:lang w:val="fr-FR"/>
        </w:rPr>
      </w:pPr>
    </w:p>
    <w:p w14:paraId="4949F285" w14:textId="34E9B6F4" w:rsidR="003D7271" w:rsidRPr="00A66C9F" w:rsidRDefault="003D7271" w:rsidP="00DB7521">
      <w:pPr>
        <w:suppressAutoHyphens/>
        <w:spacing w:line="120" w:lineRule="exact"/>
        <w:ind w:left="1260"/>
        <w:rPr>
          <w:sz w:val="10"/>
          <w:lang w:val="fr-FR"/>
        </w:rPr>
      </w:pPr>
    </w:p>
    <w:p w14:paraId="051C71EE" w14:textId="2F4B6F49" w:rsidR="003D7271" w:rsidRPr="00A66C9F" w:rsidRDefault="003D7271" w:rsidP="00DB7521">
      <w:pPr>
        <w:suppressAutoHyphens/>
        <w:spacing w:line="120" w:lineRule="exact"/>
        <w:ind w:left="1260"/>
        <w:rPr>
          <w:sz w:val="10"/>
          <w:lang w:val="fr-FR"/>
        </w:rPr>
      </w:pPr>
    </w:p>
    <w:p w14:paraId="7BF9035B" w14:textId="62BF1CAB" w:rsidR="003D7271" w:rsidRPr="00A66C9F" w:rsidRDefault="003D7271" w:rsidP="00DB7521">
      <w:pPr>
        <w:pStyle w:val="STitleS"/>
        <w:rPr>
          <w:lang w:val="fr-FR"/>
        </w:rPr>
      </w:pPr>
      <w:r w:rsidRPr="00A66C9F">
        <w:rPr>
          <w:lang w:val="fr-FR"/>
        </w:rPr>
        <w:t>pour l</w:t>
      </w:r>
      <w:r w:rsidR="00091B26" w:rsidRPr="00A66C9F">
        <w:rPr>
          <w:lang w:val="fr-FR"/>
        </w:rPr>
        <w:t>’</w:t>
      </w:r>
      <w:r w:rsidRPr="00A66C9F">
        <w:rPr>
          <w:lang w:val="fr-FR"/>
        </w:rPr>
        <w:t xml:space="preserve">année terminée le </w:t>
      </w:r>
      <w:r w:rsidR="00F255A2" w:rsidRPr="00A66C9F">
        <w:rPr>
          <w:lang w:val="fr-FR"/>
        </w:rPr>
        <w:t>31 </w:t>
      </w:r>
      <w:r w:rsidRPr="00A66C9F">
        <w:rPr>
          <w:lang w:val="fr-FR"/>
        </w:rPr>
        <w:t>décembre 2019</w:t>
      </w:r>
    </w:p>
    <w:p w14:paraId="0150C783" w14:textId="77777777" w:rsidR="00E56F8B" w:rsidRPr="00A66C9F" w:rsidRDefault="00E56F8B" w:rsidP="00DB7521">
      <w:pPr>
        <w:suppressAutoHyphens/>
        <w:spacing w:line="240" w:lineRule="auto"/>
        <w:ind w:left="1260"/>
        <w:rPr>
          <w:sz w:val="12"/>
          <w:lang w:val="fr-FR"/>
        </w:rPr>
      </w:pPr>
    </w:p>
    <w:p w14:paraId="13028E3C" w14:textId="77777777" w:rsidR="00E56F8B" w:rsidRPr="00A66C9F" w:rsidRDefault="00E56F8B" w:rsidP="00DB7521">
      <w:pPr>
        <w:suppressAutoHyphens/>
        <w:spacing w:line="240" w:lineRule="auto"/>
        <w:ind w:left="1260"/>
        <w:rPr>
          <w:sz w:val="12"/>
          <w:lang w:val="fr-FR"/>
        </w:rPr>
      </w:pPr>
    </w:p>
    <w:p w14:paraId="64175CA0" w14:textId="77777777" w:rsidR="00E56F8B" w:rsidRPr="00A66C9F" w:rsidRDefault="00E56F8B" w:rsidP="00DB7521">
      <w:pPr>
        <w:suppressAutoHyphens/>
        <w:spacing w:line="240" w:lineRule="auto"/>
        <w:ind w:left="1260"/>
        <w:rPr>
          <w:sz w:val="12"/>
          <w:lang w:val="fr-FR"/>
        </w:rPr>
      </w:pPr>
    </w:p>
    <w:p w14:paraId="6F4960BE" w14:textId="25AD7DCA" w:rsidR="00E56F8B" w:rsidRPr="00A66C9F" w:rsidRDefault="003D7271" w:rsidP="00DB7521">
      <w:pPr>
        <w:pStyle w:val="STitleS"/>
        <w:rPr>
          <w:lang w:val="fr-FR"/>
        </w:rPr>
      </w:pPr>
      <w:r w:rsidRPr="00A66C9F">
        <w:rPr>
          <w:lang w:val="fr-FR"/>
        </w:rPr>
        <w:t>et</w:t>
      </w:r>
    </w:p>
    <w:p w14:paraId="6D114FDB" w14:textId="77777777" w:rsidR="00E56F8B" w:rsidRPr="00A66C9F" w:rsidRDefault="00E56F8B" w:rsidP="00DB7521">
      <w:pPr>
        <w:suppressAutoHyphens/>
        <w:spacing w:line="240" w:lineRule="auto"/>
        <w:ind w:left="1260"/>
        <w:rPr>
          <w:sz w:val="12"/>
          <w:lang w:val="fr-FR"/>
        </w:rPr>
      </w:pPr>
    </w:p>
    <w:p w14:paraId="4C31880F" w14:textId="77777777" w:rsidR="00E56F8B" w:rsidRPr="00A66C9F" w:rsidRDefault="00E56F8B" w:rsidP="00DB7521">
      <w:pPr>
        <w:suppressAutoHyphens/>
        <w:spacing w:line="240" w:lineRule="auto"/>
        <w:ind w:left="1260"/>
        <w:rPr>
          <w:sz w:val="12"/>
          <w:lang w:val="fr-FR"/>
        </w:rPr>
      </w:pPr>
    </w:p>
    <w:p w14:paraId="233D78E6" w14:textId="77777777" w:rsidR="00E56F8B" w:rsidRPr="00A66C9F" w:rsidRDefault="00E56F8B" w:rsidP="00DB7521">
      <w:pPr>
        <w:suppressAutoHyphens/>
        <w:spacing w:line="240" w:lineRule="auto"/>
        <w:ind w:left="1260"/>
        <w:rPr>
          <w:sz w:val="12"/>
          <w:lang w:val="fr-FR"/>
        </w:rPr>
      </w:pPr>
    </w:p>
    <w:p w14:paraId="0853D40B" w14:textId="58345FA7" w:rsidR="00E56F8B" w:rsidRPr="00A66C9F" w:rsidRDefault="003D7271" w:rsidP="00DB7521">
      <w:pPr>
        <w:pStyle w:val="STitleM"/>
        <w:ind w:right="3090"/>
        <w:rPr>
          <w:lang w:val="fr-FR"/>
        </w:rPr>
      </w:pPr>
      <w:r w:rsidRPr="00A66C9F">
        <w:rPr>
          <w:lang w:val="fr-FR"/>
        </w:rPr>
        <w:t>Rapport du Comité des</w:t>
      </w:r>
      <w:r w:rsidR="00371BB5" w:rsidRPr="00A66C9F">
        <w:rPr>
          <w:lang w:val="fr-FR"/>
        </w:rPr>
        <w:t> </w:t>
      </w:r>
      <w:r w:rsidRPr="00A66C9F">
        <w:rPr>
          <w:lang w:val="fr-FR"/>
        </w:rPr>
        <w:t>commissaires aux</w:t>
      </w:r>
      <w:r w:rsidR="00371BB5" w:rsidRPr="00A66C9F">
        <w:rPr>
          <w:lang w:val="fr-FR"/>
        </w:rPr>
        <w:t> </w:t>
      </w:r>
      <w:r w:rsidRPr="00A66C9F">
        <w:rPr>
          <w:lang w:val="fr-FR"/>
        </w:rPr>
        <w:t>comptes</w:t>
      </w:r>
    </w:p>
    <w:p w14:paraId="12FA5E39" w14:textId="77777777" w:rsidR="00E56F8B" w:rsidRPr="00A66C9F" w:rsidRDefault="00E56F8B" w:rsidP="00DB7521">
      <w:pPr>
        <w:suppressAutoHyphens/>
        <w:spacing w:after="200" w:line="276" w:lineRule="auto"/>
        <w:rPr>
          <w:lang w:val="fr-FR"/>
        </w:rPr>
      </w:pPr>
      <w:r w:rsidRPr="00A66C9F">
        <w:rPr>
          <w:lang w:val="fr-FR"/>
        </w:rPr>
        <w:br w:type="page"/>
      </w:r>
    </w:p>
    <w:tbl>
      <w:tblPr>
        <w:tblpPr w:leftFromText="180" w:rightFromText="180" w:vertAnchor="text" w:horzAnchor="margin" w:tblpY="-351"/>
        <w:tblW w:w="9855" w:type="dxa"/>
        <w:tblLayout w:type="fixed"/>
        <w:tblCellMar>
          <w:left w:w="0" w:type="dxa"/>
          <w:right w:w="0" w:type="dxa"/>
        </w:tblCellMar>
        <w:tblLook w:val="0000" w:firstRow="0" w:lastRow="0" w:firstColumn="0" w:lastColumn="0" w:noHBand="0" w:noVBand="0"/>
      </w:tblPr>
      <w:tblGrid>
        <w:gridCol w:w="1060"/>
        <w:gridCol w:w="7315"/>
        <w:gridCol w:w="958"/>
        <w:gridCol w:w="522"/>
      </w:tblGrid>
      <w:tr w:rsidR="002B3B17" w:rsidRPr="00A66C9F" w14:paraId="48E22A5B" w14:textId="77777777" w:rsidTr="002B3B17">
        <w:tc>
          <w:tcPr>
            <w:tcW w:w="1060" w:type="dxa"/>
            <w:shd w:val="clear" w:color="auto" w:fill="auto"/>
          </w:tcPr>
          <w:p w14:paraId="0CBF5C09" w14:textId="77777777" w:rsidR="002B3B17" w:rsidRDefault="002B3B17" w:rsidP="002B3B17">
            <w:pPr>
              <w:suppressAutoHyphens/>
              <w:spacing w:after="120"/>
              <w:jc w:val="right"/>
              <w:rPr>
                <w:bCs/>
                <w:lang w:val="fr-FR"/>
              </w:rPr>
            </w:pPr>
            <w:r>
              <w:rPr>
                <w:bCs/>
                <w:lang w:val="fr-FR"/>
              </w:rPr>
              <w:lastRenderedPageBreak/>
              <w:t>T</w:t>
            </w:r>
            <w:r w:rsidRPr="00A66C9F">
              <w:rPr>
                <w:bCs/>
                <w:lang w:val="fr-FR"/>
              </w:rPr>
              <w:t>able des matières</w:t>
            </w:r>
          </w:p>
          <w:p w14:paraId="243A7D9E" w14:textId="77777777" w:rsidR="002B3B17" w:rsidRPr="00A66C9F" w:rsidRDefault="002B3B17" w:rsidP="002B3B17">
            <w:pPr>
              <w:suppressAutoHyphens/>
              <w:spacing w:after="120"/>
              <w:jc w:val="right"/>
              <w:rPr>
                <w:i/>
                <w:sz w:val="14"/>
                <w:lang w:val="fr-FR"/>
              </w:rPr>
            </w:pPr>
            <w:r w:rsidRPr="00A66C9F">
              <w:rPr>
                <w:i/>
                <w:sz w:val="14"/>
                <w:lang w:val="fr-FR"/>
              </w:rPr>
              <w:t>Chapitre</w:t>
            </w:r>
          </w:p>
        </w:tc>
        <w:tc>
          <w:tcPr>
            <w:tcW w:w="7315" w:type="dxa"/>
            <w:shd w:val="clear" w:color="auto" w:fill="auto"/>
          </w:tcPr>
          <w:p w14:paraId="72F1E0A6" w14:textId="3A3A25B1" w:rsidR="002B3B17" w:rsidRPr="00A66C9F" w:rsidRDefault="002B3B17" w:rsidP="002B3B17">
            <w:pPr>
              <w:suppressAutoHyphens/>
              <w:spacing w:after="120"/>
              <w:rPr>
                <w:i/>
                <w:sz w:val="14"/>
                <w:lang w:val="fr-FR"/>
              </w:rPr>
            </w:pPr>
          </w:p>
        </w:tc>
        <w:tc>
          <w:tcPr>
            <w:tcW w:w="958" w:type="dxa"/>
            <w:shd w:val="clear" w:color="auto" w:fill="auto"/>
          </w:tcPr>
          <w:p w14:paraId="444440BB" w14:textId="77777777" w:rsidR="002B3B17" w:rsidRPr="00A66C9F" w:rsidRDefault="002B3B17" w:rsidP="002B3B17">
            <w:pPr>
              <w:suppressAutoHyphens/>
              <w:spacing w:after="120"/>
              <w:ind w:right="40"/>
              <w:jc w:val="right"/>
              <w:rPr>
                <w:i/>
                <w:sz w:val="14"/>
                <w:lang w:val="fr-FR"/>
              </w:rPr>
            </w:pPr>
          </w:p>
        </w:tc>
        <w:tc>
          <w:tcPr>
            <w:tcW w:w="522" w:type="dxa"/>
            <w:shd w:val="clear" w:color="auto" w:fill="auto"/>
          </w:tcPr>
          <w:p w14:paraId="09742CAA" w14:textId="77777777" w:rsidR="002B3B17" w:rsidRPr="00A66C9F" w:rsidRDefault="002B3B17" w:rsidP="002B3B17">
            <w:pPr>
              <w:suppressAutoHyphens/>
              <w:spacing w:after="120"/>
              <w:ind w:right="40"/>
              <w:jc w:val="right"/>
              <w:rPr>
                <w:i/>
                <w:sz w:val="14"/>
                <w:lang w:val="fr-FR"/>
              </w:rPr>
            </w:pPr>
            <w:r w:rsidRPr="00A66C9F">
              <w:rPr>
                <w:i/>
                <w:sz w:val="14"/>
                <w:lang w:val="fr-FR"/>
              </w:rPr>
              <w:t>Page</w:t>
            </w:r>
          </w:p>
        </w:tc>
      </w:tr>
      <w:tr w:rsidR="002B3B17" w:rsidRPr="00A66C9F" w14:paraId="70BB9CD0" w14:textId="77777777" w:rsidTr="002B3B17">
        <w:tc>
          <w:tcPr>
            <w:tcW w:w="9333" w:type="dxa"/>
            <w:gridSpan w:val="3"/>
            <w:shd w:val="clear" w:color="auto" w:fill="auto"/>
          </w:tcPr>
          <w:p w14:paraId="277FD288" w14:textId="77777777" w:rsidR="002B3B17" w:rsidRPr="00A66C9F" w:rsidRDefault="002B3B17" w:rsidP="002B3B17">
            <w:pPr>
              <w:pStyle w:val="ListParagraph"/>
              <w:tabs>
                <w:tab w:val="left" w:pos="1296"/>
                <w:tab w:val="left" w:pos="1728"/>
                <w:tab w:val="left" w:pos="2160"/>
                <w:tab w:val="left" w:pos="2592"/>
                <w:tab w:val="right" w:leader="dot" w:pos="9360"/>
              </w:tabs>
              <w:suppressAutoHyphens/>
              <w:spacing w:after="120"/>
              <w:ind w:left="1296"/>
              <w:rPr>
                <w:spacing w:val="60"/>
                <w:sz w:val="17"/>
                <w:lang w:val="fr-FR"/>
              </w:rPr>
            </w:pPr>
            <w:r w:rsidRPr="00A66C9F">
              <w:rPr>
                <w:lang w:val="fr-FR"/>
              </w:rPr>
              <w:t>Lettres d’envoi</w:t>
            </w:r>
            <w:r w:rsidRPr="00A66C9F">
              <w:rPr>
                <w:spacing w:val="60"/>
                <w:sz w:val="17"/>
                <w:lang w:val="fr-FR"/>
              </w:rPr>
              <w:tab/>
            </w:r>
          </w:p>
        </w:tc>
        <w:tc>
          <w:tcPr>
            <w:tcW w:w="522" w:type="dxa"/>
            <w:shd w:val="clear" w:color="auto" w:fill="auto"/>
            <w:vAlign w:val="bottom"/>
          </w:tcPr>
          <w:p w14:paraId="6DBC6D57" w14:textId="2B0F4AF3" w:rsidR="002B3B17" w:rsidRPr="00A66C9F" w:rsidRDefault="00100F73" w:rsidP="002B3B17">
            <w:pPr>
              <w:suppressAutoHyphens/>
              <w:spacing w:after="120"/>
              <w:ind w:right="40"/>
              <w:jc w:val="right"/>
              <w:rPr>
                <w:lang w:val="fr-FR"/>
              </w:rPr>
            </w:pPr>
            <w:r>
              <w:rPr>
                <w:lang w:val="fr-FR"/>
              </w:rPr>
              <w:t>3</w:t>
            </w:r>
          </w:p>
        </w:tc>
      </w:tr>
      <w:tr w:rsidR="002B3B17" w:rsidRPr="00A66C9F" w14:paraId="6C165B2E" w14:textId="77777777" w:rsidTr="002B3B17">
        <w:tc>
          <w:tcPr>
            <w:tcW w:w="9333" w:type="dxa"/>
            <w:gridSpan w:val="3"/>
            <w:shd w:val="clear" w:color="auto" w:fill="auto"/>
          </w:tcPr>
          <w:p w14:paraId="687BBB4A" w14:textId="77777777" w:rsidR="002B3B17" w:rsidRPr="00A66C9F" w:rsidRDefault="002B3B17" w:rsidP="002B3B17">
            <w:pPr>
              <w:pStyle w:val="ListParagraph"/>
              <w:numPr>
                <w:ilvl w:val="0"/>
                <w:numId w:val="5"/>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right" w:leader="dot" w:pos="9374"/>
              </w:tabs>
              <w:suppressAutoHyphens/>
              <w:spacing w:after="120"/>
              <w:rPr>
                <w:lang w:val="fr-FR"/>
              </w:rPr>
            </w:pPr>
            <w:r w:rsidRPr="00A66C9F">
              <w:rPr>
                <w:lang w:val="fr-FR"/>
              </w:rPr>
              <w:t>Rapport du Comité des commissaires aux comptes : opinion des commissaires aux comptes</w:t>
            </w:r>
            <w:r w:rsidRPr="00A66C9F">
              <w:rPr>
                <w:spacing w:val="60"/>
                <w:sz w:val="17"/>
                <w:lang w:val="fr-FR"/>
              </w:rPr>
              <w:tab/>
            </w:r>
          </w:p>
        </w:tc>
        <w:tc>
          <w:tcPr>
            <w:tcW w:w="522" w:type="dxa"/>
            <w:shd w:val="clear" w:color="auto" w:fill="auto"/>
            <w:vAlign w:val="bottom"/>
          </w:tcPr>
          <w:p w14:paraId="6DCCFD17" w14:textId="7372D615" w:rsidR="002B3B17" w:rsidRPr="00A66C9F" w:rsidRDefault="00100F73" w:rsidP="002B3B17">
            <w:pPr>
              <w:suppressAutoHyphens/>
              <w:spacing w:after="120"/>
              <w:ind w:right="40"/>
              <w:jc w:val="right"/>
              <w:rPr>
                <w:lang w:val="fr-FR"/>
              </w:rPr>
            </w:pPr>
            <w:r>
              <w:rPr>
                <w:lang w:val="fr-FR"/>
              </w:rPr>
              <w:t>4</w:t>
            </w:r>
          </w:p>
        </w:tc>
      </w:tr>
      <w:tr w:rsidR="002B3B17" w:rsidRPr="00A66C9F" w14:paraId="6CF5A4C0" w14:textId="77777777" w:rsidTr="002B3B17">
        <w:tc>
          <w:tcPr>
            <w:tcW w:w="9333" w:type="dxa"/>
            <w:gridSpan w:val="3"/>
            <w:shd w:val="clear" w:color="auto" w:fill="auto"/>
          </w:tcPr>
          <w:p w14:paraId="6472EFCA" w14:textId="77777777" w:rsidR="002B3B17" w:rsidRPr="00A66C9F" w:rsidRDefault="002B3B17" w:rsidP="002B3B17">
            <w:pPr>
              <w:pStyle w:val="ListParagraph"/>
              <w:numPr>
                <w:ilvl w:val="0"/>
                <w:numId w:val="5"/>
              </w:numPr>
              <w:tabs>
                <w:tab w:val="left" w:pos="1296"/>
                <w:tab w:val="left" w:pos="1728"/>
                <w:tab w:val="left" w:pos="2160"/>
                <w:tab w:val="left" w:pos="2592"/>
                <w:tab w:val="left" w:pos="3024"/>
                <w:tab w:val="left" w:pos="3456"/>
                <w:tab w:val="right" w:leader="dot" w:pos="9360"/>
              </w:tabs>
              <w:suppressAutoHyphens/>
              <w:spacing w:after="120"/>
              <w:rPr>
                <w:lang w:val="fr-FR"/>
              </w:rPr>
            </w:pPr>
            <w:r w:rsidRPr="00A66C9F">
              <w:rPr>
                <w:lang w:val="fr-FR"/>
              </w:rPr>
              <w:t>Certification des états financiers</w:t>
            </w:r>
            <w:r w:rsidRPr="00A66C9F">
              <w:rPr>
                <w:spacing w:val="60"/>
                <w:sz w:val="17"/>
                <w:lang w:val="fr-FR"/>
              </w:rPr>
              <w:tab/>
            </w:r>
          </w:p>
        </w:tc>
        <w:tc>
          <w:tcPr>
            <w:tcW w:w="522" w:type="dxa"/>
            <w:shd w:val="clear" w:color="auto" w:fill="auto"/>
            <w:vAlign w:val="bottom"/>
          </w:tcPr>
          <w:p w14:paraId="286605B4" w14:textId="4AB7CFD6" w:rsidR="002B3B17" w:rsidRPr="00A66C9F" w:rsidRDefault="002B3B17" w:rsidP="002B3B17">
            <w:pPr>
              <w:suppressAutoHyphens/>
              <w:spacing w:after="120"/>
              <w:ind w:right="40"/>
              <w:jc w:val="right"/>
              <w:rPr>
                <w:lang w:val="fr-FR"/>
              </w:rPr>
            </w:pPr>
            <w:r w:rsidRPr="00A66C9F">
              <w:rPr>
                <w:lang w:val="fr-FR"/>
              </w:rPr>
              <w:t>7</w:t>
            </w:r>
          </w:p>
        </w:tc>
      </w:tr>
      <w:tr w:rsidR="002B3B17" w:rsidRPr="00A66C9F" w14:paraId="17019A0C" w14:textId="77777777" w:rsidTr="002B3B17">
        <w:tc>
          <w:tcPr>
            <w:tcW w:w="9333" w:type="dxa"/>
            <w:gridSpan w:val="3"/>
            <w:shd w:val="clear" w:color="auto" w:fill="auto"/>
          </w:tcPr>
          <w:p w14:paraId="26BE5C34" w14:textId="77777777" w:rsidR="002B3B17" w:rsidRPr="00A66C9F" w:rsidRDefault="002B3B17" w:rsidP="002B3B17">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uppressAutoHyphens/>
              <w:spacing w:after="120"/>
              <w:ind w:left="1296"/>
              <w:rPr>
                <w:spacing w:val="60"/>
                <w:sz w:val="17"/>
                <w:lang w:val="fr-FR"/>
              </w:rPr>
            </w:pPr>
            <w:r w:rsidRPr="00A66C9F">
              <w:rPr>
                <w:lang w:val="fr-FR"/>
              </w:rPr>
              <w:t>Déclaration relative au contrôle interne pour l’année terminée le 31 décembre 2019</w:t>
            </w:r>
            <w:r w:rsidRPr="00A66C9F">
              <w:rPr>
                <w:spacing w:val="60"/>
                <w:sz w:val="17"/>
                <w:lang w:val="fr-FR"/>
              </w:rPr>
              <w:tab/>
            </w:r>
          </w:p>
        </w:tc>
        <w:tc>
          <w:tcPr>
            <w:tcW w:w="522" w:type="dxa"/>
            <w:shd w:val="clear" w:color="auto" w:fill="auto"/>
            <w:vAlign w:val="bottom"/>
          </w:tcPr>
          <w:p w14:paraId="6FE3F381" w14:textId="1C64D95E" w:rsidR="002B3B17" w:rsidRPr="00A66C9F" w:rsidRDefault="00100F73" w:rsidP="002B3B17">
            <w:pPr>
              <w:suppressAutoHyphens/>
              <w:spacing w:after="120"/>
              <w:ind w:right="40"/>
              <w:jc w:val="right"/>
              <w:rPr>
                <w:lang w:val="fr-FR"/>
              </w:rPr>
            </w:pPr>
            <w:r>
              <w:rPr>
                <w:lang w:val="fr-FR"/>
              </w:rPr>
              <w:t>8</w:t>
            </w:r>
          </w:p>
        </w:tc>
      </w:tr>
      <w:tr w:rsidR="002B3B17" w:rsidRPr="00A66C9F" w14:paraId="20191A76" w14:textId="77777777" w:rsidTr="002B3B17">
        <w:tc>
          <w:tcPr>
            <w:tcW w:w="9333" w:type="dxa"/>
            <w:gridSpan w:val="3"/>
            <w:shd w:val="clear" w:color="auto" w:fill="auto"/>
          </w:tcPr>
          <w:p w14:paraId="337F6D57" w14:textId="77777777" w:rsidR="002B3B17" w:rsidRPr="00A66C9F" w:rsidRDefault="002B3B17" w:rsidP="002B3B17">
            <w:pPr>
              <w:pStyle w:val="ListParagraph"/>
              <w:numPr>
                <w:ilvl w:val="0"/>
                <w:numId w:val="5"/>
              </w:numPr>
              <w:tabs>
                <w:tab w:val="left" w:pos="1296"/>
                <w:tab w:val="left" w:pos="1728"/>
                <w:tab w:val="left" w:pos="2160"/>
                <w:tab w:val="left" w:pos="2592"/>
                <w:tab w:val="left" w:pos="3024"/>
                <w:tab w:val="left" w:pos="3456"/>
                <w:tab w:val="left" w:pos="3888"/>
                <w:tab w:val="right" w:leader="dot" w:pos="9360"/>
              </w:tabs>
              <w:suppressAutoHyphens/>
              <w:spacing w:after="120"/>
              <w:rPr>
                <w:lang w:val="fr-FR"/>
              </w:rPr>
            </w:pPr>
            <w:r w:rsidRPr="00A66C9F">
              <w:rPr>
                <w:lang w:val="fr-FR"/>
              </w:rPr>
              <w:t>Aperçu de la situation financière</w:t>
            </w:r>
            <w:r w:rsidRPr="00A66C9F">
              <w:rPr>
                <w:spacing w:val="60"/>
                <w:sz w:val="17"/>
                <w:lang w:val="fr-FR"/>
              </w:rPr>
              <w:tab/>
            </w:r>
          </w:p>
        </w:tc>
        <w:tc>
          <w:tcPr>
            <w:tcW w:w="522" w:type="dxa"/>
            <w:shd w:val="clear" w:color="auto" w:fill="auto"/>
            <w:vAlign w:val="bottom"/>
          </w:tcPr>
          <w:p w14:paraId="3A92782D" w14:textId="6911AA89" w:rsidR="002B3B17" w:rsidRPr="00A66C9F" w:rsidRDefault="00100F73" w:rsidP="002B3B17">
            <w:pPr>
              <w:suppressAutoHyphens/>
              <w:spacing w:after="120"/>
              <w:ind w:right="40"/>
              <w:jc w:val="right"/>
              <w:rPr>
                <w:lang w:val="fr-FR"/>
              </w:rPr>
            </w:pPr>
            <w:r>
              <w:rPr>
                <w:lang w:val="fr-FR"/>
              </w:rPr>
              <w:t>13</w:t>
            </w:r>
          </w:p>
        </w:tc>
      </w:tr>
      <w:tr w:rsidR="002B3B17" w:rsidRPr="00A66C9F" w14:paraId="5F6DD1CF" w14:textId="77777777" w:rsidTr="002B3B17">
        <w:tc>
          <w:tcPr>
            <w:tcW w:w="9333" w:type="dxa"/>
            <w:gridSpan w:val="3"/>
            <w:shd w:val="clear" w:color="auto" w:fill="auto"/>
          </w:tcPr>
          <w:p w14:paraId="7E18D89C" w14:textId="77777777" w:rsidR="002B3B17" w:rsidRPr="00A66C9F" w:rsidRDefault="002B3B17" w:rsidP="002B3B17">
            <w:pPr>
              <w:pStyle w:val="ListParagraph"/>
              <w:numPr>
                <w:ilvl w:val="1"/>
                <w:numId w:val="5"/>
              </w:numPr>
              <w:tabs>
                <w:tab w:val="left" w:pos="1296"/>
                <w:tab w:val="left" w:pos="1728"/>
                <w:tab w:val="left" w:pos="2160"/>
                <w:tab w:val="left" w:pos="2592"/>
                <w:tab w:val="right" w:leader="dot" w:pos="9360"/>
              </w:tabs>
              <w:suppressAutoHyphens/>
              <w:spacing w:after="120"/>
              <w:rPr>
                <w:lang w:val="fr-FR"/>
              </w:rPr>
            </w:pPr>
            <w:r w:rsidRPr="00A66C9F">
              <w:rPr>
                <w:lang w:val="fr-FR"/>
              </w:rPr>
              <w:t>Introduction</w:t>
            </w:r>
            <w:r w:rsidRPr="00A66C9F">
              <w:rPr>
                <w:spacing w:val="60"/>
                <w:sz w:val="17"/>
                <w:lang w:val="fr-FR"/>
              </w:rPr>
              <w:tab/>
            </w:r>
          </w:p>
        </w:tc>
        <w:tc>
          <w:tcPr>
            <w:tcW w:w="522" w:type="dxa"/>
            <w:shd w:val="clear" w:color="auto" w:fill="auto"/>
            <w:vAlign w:val="bottom"/>
          </w:tcPr>
          <w:p w14:paraId="1A3ADE46" w14:textId="44FEDD0C" w:rsidR="002B3B17" w:rsidRPr="00A66C9F" w:rsidRDefault="00100F73" w:rsidP="002B3B17">
            <w:pPr>
              <w:suppressAutoHyphens/>
              <w:spacing w:after="120"/>
              <w:ind w:right="40"/>
              <w:jc w:val="right"/>
              <w:rPr>
                <w:lang w:val="fr-FR"/>
              </w:rPr>
            </w:pPr>
            <w:r>
              <w:rPr>
                <w:lang w:val="fr-FR"/>
              </w:rPr>
              <w:t>13</w:t>
            </w:r>
          </w:p>
        </w:tc>
      </w:tr>
      <w:tr w:rsidR="002B3B17" w:rsidRPr="00A66C9F" w14:paraId="242A6058" w14:textId="77777777" w:rsidTr="002B3B17">
        <w:tc>
          <w:tcPr>
            <w:tcW w:w="9333" w:type="dxa"/>
            <w:gridSpan w:val="3"/>
            <w:shd w:val="clear" w:color="auto" w:fill="auto"/>
          </w:tcPr>
          <w:p w14:paraId="1316DCC0" w14:textId="77777777" w:rsidR="002B3B17" w:rsidRPr="00A66C9F" w:rsidRDefault="002B3B17" w:rsidP="002B3B17">
            <w:pPr>
              <w:pStyle w:val="ListParagraph"/>
              <w:numPr>
                <w:ilvl w:val="1"/>
                <w:numId w:val="5"/>
              </w:numPr>
              <w:tabs>
                <w:tab w:val="left" w:pos="1296"/>
                <w:tab w:val="left" w:pos="1728"/>
                <w:tab w:val="left" w:pos="2160"/>
                <w:tab w:val="left" w:pos="2592"/>
                <w:tab w:val="left" w:pos="3024"/>
                <w:tab w:val="right" w:leader="dot" w:pos="9360"/>
              </w:tabs>
              <w:suppressAutoHyphens/>
              <w:spacing w:after="120"/>
              <w:rPr>
                <w:lang w:val="fr-FR"/>
              </w:rPr>
            </w:pPr>
            <w:r w:rsidRPr="00A66C9F">
              <w:rPr>
                <w:lang w:val="fr-FR"/>
              </w:rPr>
              <w:t>Résultats financiers</w:t>
            </w:r>
            <w:r w:rsidRPr="00A66C9F">
              <w:rPr>
                <w:spacing w:val="60"/>
                <w:sz w:val="17"/>
                <w:lang w:val="fr-FR"/>
              </w:rPr>
              <w:tab/>
            </w:r>
          </w:p>
        </w:tc>
        <w:tc>
          <w:tcPr>
            <w:tcW w:w="522" w:type="dxa"/>
            <w:shd w:val="clear" w:color="auto" w:fill="auto"/>
            <w:vAlign w:val="bottom"/>
          </w:tcPr>
          <w:p w14:paraId="6F1F7076" w14:textId="76AF89E6" w:rsidR="002B3B17" w:rsidRPr="00A66C9F" w:rsidRDefault="00100F73" w:rsidP="002B3B17">
            <w:pPr>
              <w:suppressAutoHyphens/>
              <w:spacing w:after="120"/>
              <w:ind w:right="40"/>
              <w:jc w:val="right"/>
              <w:rPr>
                <w:lang w:val="fr-FR"/>
              </w:rPr>
            </w:pPr>
            <w:r>
              <w:rPr>
                <w:lang w:val="fr-FR"/>
              </w:rPr>
              <w:t>14</w:t>
            </w:r>
          </w:p>
        </w:tc>
      </w:tr>
      <w:tr w:rsidR="002B3B17" w:rsidRPr="00A66C9F" w14:paraId="112E7A67" w14:textId="77777777" w:rsidTr="002B3B17">
        <w:tc>
          <w:tcPr>
            <w:tcW w:w="9333" w:type="dxa"/>
            <w:gridSpan w:val="3"/>
            <w:shd w:val="clear" w:color="auto" w:fill="auto"/>
          </w:tcPr>
          <w:p w14:paraId="08BEE504" w14:textId="77777777" w:rsidR="002B3B17" w:rsidRPr="00A66C9F" w:rsidRDefault="002B3B17" w:rsidP="002B3B17">
            <w:pPr>
              <w:pStyle w:val="ListParagraph"/>
              <w:numPr>
                <w:ilvl w:val="0"/>
                <w:numId w:val="5"/>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rPr>
                <w:lang w:val="fr-FR"/>
              </w:rPr>
            </w:pPr>
            <w:r w:rsidRPr="00A66C9F">
              <w:rPr>
                <w:lang w:val="fr-FR"/>
              </w:rPr>
              <w:t>États financiers pour l’année terminée le 31 décembre 2019</w:t>
            </w:r>
            <w:r w:rsidRPr="00A66C9F">
              <w:rPr>
                <w:spacing w:val="60"/>
                <w:sz w:val="17"/>
                <w:lang w:val="fr-FR"/>
              </w:rPr>
              <w:tab/>
            </w:r>
          </w:p>
        </w:tc>
        <w:tc>
          <w:tcPr>
            <w:tcW w:w="522" w:type="dxa"/>
            <w:shd w:val="clear" w:color="auto" w:fill="auto"/>
            <w:vAlign w:val="bottom"/>
          </w:tcPr>
          <w:p w14:paraId="1E648426" w14:textId="0F78AC74" w:rsidR="002B3B17" w:rsidRPr="00A66C9F" w:rsidRDefault="00100F73" w:rsidP="002B3B17">
            <w:pPr>
              <w:suppressAutoHyphens/>
              <w:spacing w:after="120"/>
              <w:ind w:right="40"/>
              <w:jc w:val="right"/>
              <w:rPr>
                <w:lang w:val="fr-FR"/>
              </w:rPr>
            </w:pPr>
            <w:r>
              <w:rPr>
                <w:lang w:val="fr-FR"/>
              </w:rPr>
              <w:t>17</w:t>
            </w:r>
          </w:p>
        </w:tc>
      </w:tr>
      <w:tr w:rsidR="002B3B17" w:rsidRPr="00A66C9F" w14:paraId="09EFB3A2" w14:textId="77777777" w:rsidTr="002B3B17">
        <w:tc>
          <w:tcPr>
            <w:tcW w:w="9333" w:type="dxa"/>
            <w:gridSpan w:val="3"/>
            <w:shd w:val="clear" w:color="auto" w:fill="auto"/>
          </w:tcPr>
          <w:p w14:paraId="3F1A77AB" w14:textId="77777777" w:rsidR="002B3B17" w:rsidRPr="00A66C9F" w:rsidRDefault="002B3B17" w:rsidP="002B3B17">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ind w:left="1350"/>
              <w:rPr>
                <w:spacing w:val="60"/>
                <w:sz w:val="17"/>
                <w:lang w:val="fr-FR"/>
              </w:rPr>
            </w:pPr>
            <w:r w:rsidRPr="00A66C9F">
              <w:rPr>
                <w:lang w:val="fr-FR"/>
              </w:rPr>
              <w:t>I.</w:t>
            </w:r>
            <w:r w:rsidRPr="00A66C9F">
              <w:rPr>
                <w:lang w:val="fr-FR"/>
              </w:rPr>
              <w:tab/>
              <w:t>État de l’actif net disponible pour le versement des prestations</w:t>
            </w:r>
            <w:r w:rsidRPr="00A66C9F">
              <w:rPr>
                <w:spacing w:val="60"/>
                <w:sz w:val="17"/>
                <w:lang w:val="fr-FR"/>
              </w:rPr>
              <w:tab/>
            </w:r>
          </w:p>
        </w:tc>
        <w:tc>
          <w:tcPr>
            <w:tcW w:w="522" w:type="dxa"/>
            <w:shd w:val="clear" w:color="auto" w:fill="auto"/>
            <w:vAlign w:val="bottom"/>
          </w:tcPr>
          <w:p w14:paraId="756DA213" w14:textId="24E762B7" w:rsidR="002B3B17" w:rsidRPr="00A66C9F" w:rsidRDefault="00100F73" w:rsidP="002B3B17">
            <w:pPr>
              <w:suppressAutoHyphens/>
              <w:spacing w:after="120"/>
              <w:ind w:right="40"/>
              <w:jc w:val="right"/>
              <w:rPr>
                <w:lang w:val="fr-FR"/>
              </w:rPr>
            </w:pPr>
            <w:r>
              <w:rPr>
                <w:lang w:val="fr-FR"/>
              </w:rPr>
              <w:t>17</w:t>
            </w:r>
          </w:p>
        </w:tc>
      </w:tr>
      <w:tr w:rsidR="002B3B17" w:rsidRPr="00A66C9F" w14:paraId="22ACD855" w14:textId="77777777" w:rsidTr="002B3B17">
        <w:tc>
          <w:tcPr>
            <w:tcW w:w="9333" w:type="dxa"/>
            <w:gridSpan w:val="3"/>
            <w:shd w:val="clear" w:color="auto" w:fill="auto"/>
          </w:tcPr>
          <w:p w14:paraId="4BCB03BA" w14:textId="77777777" w:rsidR="002B3B17" w:rsidRPr="00A66C9F" w:rsidRDefault="002B3B17" w:rsidP="002B3B17">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uppressAutoHyphens/>
              <w:spacing w:after="120"/>
              <w:ind w:left="1350"/>
              <w:rPr>
                <w:spacing w:val="60"/>
                <w:sz w:val="17"/>
                <w:lang w:val="fr-FR"/>
              </w:rPr>
            </w:pPr>
            <w:r w:rsidRPr="00A66C9F">
              <w:rPr>
                <w:lang w:val="fr-FR"/>
              </w:rPr>
              <w:t>II.</w:t>
            </w:r>
            <w:r w:rsidRPr="00A66C9F">
              <w:rPr>
                <w:lang w:val="fr-FR"/>
              </w:rPr>
              <w:tab/>
              <w:t>État des variations de l’actif net disponible pour le versement des prestations</w:t>
            </w:r>
            <w:r w:rsidRPr="00A66C9F">
              <w:rPr>
                <w:spacing w:val="60"/>
                <w:sz w:val="17"/>
                <w:lang w:val="fr-FR"/>
              </w:rPr>
              <w:tab/>
            </w:r>
          </w:p>
        </w:tc>
        <w:tc>
          <w:tcPr>
            <w:tcW w:w="522" w:type="dxa"/>
            <w:shd w:val="clear" w:color="auto" w:fill="auto"/>
            <w:vAlign w:val="bottom"/>
          </w:tcPr>
          <w:p w14:paraId="465AC10D" w14:textId="1845F688" w:rsidR="002B3B17" w:rsidRPr="00A66C9F" w:rsidRDefault="00100F73" w:rsidP="002B3B17">
            <w:pPr>
              <w:suppressAutoHyphens/>
              <w:spacing w:after="120"/>
              <w:ind w:right="40"/>
              <w:jc w:val="right"/>
              <w:rPr>
                <w:lang w:val="fr-FR"/>
              </w:rPr>
            </w:pPr>
            <w:r>
              <w:rPr>
                <w:lang w:val="fr-FR"/>
              </w:rPr>
              <w:t>18</w:t>
            </w:r>
          </w:p>
        </w:tc>
      </w:tr>
      <w:tr w:rsidR="002B3B17" w:rsidRPr="00A66C9F" w14:paraId="65263CC6" w14:textId="77777777" w:rsidTr="002B3B17">
        <w:tc>
          <w:tcPr>
            <w:tcW w:w="9333" w:type="dxa"/>
            <w:gridSpan w:val="3"/>
            <w:shd w:val="clear" w:color="auto" w:fill="auto"/>
          </w:tcPr>
          <w:p w14:paraId="5BF3E8BA" w14:textId="77777777" w:rsidR="002B3B17" w:rsidRPr="00A66C9F" w:rsidRDefault="002B3B17" w:rsidP="002B3B17">
            <w:pPr>
              <w:pStyle w:val="ListParagraph"/>
              <w:tabs>
                <w:tab w:val="left" w:pos="1296"/>
                <w:tab w:val="left" w:pos="1728"/>
                <w:tab w:val="left" w:pos="2160"/>
                <w:tab w:val="left" w:pos="2592"/>
                <w:tab w:val="left" w:pos="3024"/>
                <w:tab w:val="left" w:pos="3456"/>
                <w:tab w:val="left" w:pos="3888"/>
                <w:tab w:val="right" w:leader="dot" w:pos="9360"/>
              </w:tabs>
              <w:suppressAutoHyphens/>
              <w:spacing w:after="120"/>
              <w:ind w:left="1350"/>
              <w:rPr>
                <w:spacing w:val="60"/>
                <w:sz w:val="17"/>
                <w:lang w:val="fr-FR"/>
              </w:rPr>
            </w:pPr>
            <w:r w:rsidRPr="00A66C9F">
              <w:rPr>
                <w:lang w:val="fr-FR"/>
              </w:rPr>
              <w:t>III.</w:t>
            </w:r>
            <w:r w:rsidRPr="00A66C9F">
              <w:rPr>
                <w:lang w:val="fr-FR"/>
              </w:rPr>
              <w:tab/>
              <w:t>État des flux de trésorerie</w:t>
            </w:r>
            <w:r w:rsidRPr="00A66C9F">
              <w:rPr>
                <w:spacing w:val="60"/>
                <w:sz w:val="17"/>
                <w:lang w:val="fr-FR"/>
              </w:rPr>
              <w:tab/>
            </w:r>
          </w:p>
        </w:tc>
        <w:tc>
          <w:tcPr>
            <w:tcW w:w="522" w:type="dxa"/>
            <w:shd w:val="clear" w:color="auto" w:fill="auto"/>
            <w:vAlign w:val="bottom"/>
          </w:tcPr>
          <w:p w14:paraId="37341C16" w14:textId="7D88AB8E" w:rsidR="002B3B17" w:rsidRPr="00A66C9F" w:rsidRDefault="00100F73" w:rsidP="002B3B17">
            <w:pPr>
              <w:suppressAutoHyphens/>
              <w:spacing w:after="120"/>
              <w:ind w:right="40"/>
              <w:jc w:val="right"/>
              <w:rPr>
                <w:lang w:val="fr-FR"/>
              </w:rPr>
            </w:pPr>
            <w:r>
              <w:rPr>
                <w:lang w:val="fr-FR"/>
              </w:rPr>
              <w:t>19</w:t>
            </w:r>
          </w:p>
        </w:tc>
      </w:tr>
      <w:tr w:rsidR="002B3B17" w:rsidRPr="00A66C9F" w14:paraId="0FA633C9" w14:textId="77777777" w:rsidTr="002B3B17">
        <w:tc>
          <w:tcPr>
            <w:tcW w:w="9333" w:type="dxa"/>
            <w:gridSpan w:val="3"/>
            <w:shd w:val="clear" w:color="auto" w:fill="auto"/>
          </w:tcPr>
          <w:p w14:paraId="06F66E65" w14:textId="77777777" w:rsidR="002B3B17" w:rsidRPr="00A66C9F" w:rsidRDefault="002B3B17" w:rsidP="002B3B17">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ind w:left="1728" w:hanging="378"/>
              <w:rPr>
                <w:spacing w:val="60"/>
                <w:sz w:val="17"/>
                <w:lang w:val="fr-FR"/>
              </w:rPr>
            </w:pPr>
            <w:r w:rsidRPr="00A66C9F">
              <w:rPr>
                <w:lang w:val="fr-FR"/>
              </w:rPr>
              <w:t>IV.</w:t>
            </w:r>
            <w:r w:rsidRPr="00A66C9F">
              <w:rPr>
                <w:lang w:val="fr-FR"/>
              </w:rPr>
              <w:tab/>
              <w:t>État comparatif des montants inscrits au budget et des montants effectifs sur une base comparable ; dépenses d’administration de l’exercice biennal 2018-2019</w:t>
            </w:r>
            <w:r w:rsidRPr="00A66C9F">
              <w:rPr>
                <w:spacing w:val="60"/>
                <w:sz w:val="17"/>
                <w:lang w:val="fr-FR"/>
              </w:rPr>
              <w:tab/>
            </w:r>
          </w:p>
        </w:tc>
        <w:tc>
          <w:tcPr>
            <w:tcW w:w="522" w:type="dxa"/>
            <w:shd w:val="clear" w:color="auto" w:fill="auto"/>
            <w:vAlign w:val="bottom"/>
          </w:tcPr>
          <w:p w14:paraId="36F5D2D6" w14:textId="389A149F" w:rsidR="002B3B17" w:rsidRPr="00A66C9F" w:rsidRDefault="00100F73" w:rsidP="002B3B17">
            <w:pPr>
              <w:suppressAutoHyphens/>
              <w:spacing w:after="120"/>
              <w:ind w:left="475" w:right="40" w:hanging="475"/>
              <w:jc w:val="right"/>
              <w:rPr>
                <w:lang w:val="fr-FR"/>
              </w:rPr>
            </w:pPr>
            <w:r>
              <w:rPr>
                <w:lang w:val="fr-FR"/>
              </w:rPr>
              <w:t>20</w:t>
            </w:r>
          </w:p>
        </w:tc>
      </w:tr>
      <w:tr w:rsidR="002B3B17" w:rsidRPr="00A66C9F" w14:paraId="54F02AB8" w14:textId="77777777" w:rsidTr="002B3B17">
        <w:tc>
          <w:tcPr>
            <w:tcW w:w="9333" w:type="dxa"/>
            <w:gridSpan w:val="3"/>
            <w:shd w:val="clear" w:color="auto" w:fill="auto"/>
          </w:tcPr>
          <w:p w14:paraId="761D69E7" w14:textId="77777777" w:rsidR="002B3B17" w:rsidRPr="00A66C9F" w:rsidRDefault="002B3B17" w:rsidP="002B3B17">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uppressAutoHyphens/>
              <w:spacing w:after="120"/>
              <w:ind w:left="1728" w:hanging="378"/>
              <w:rPr>
                <w:spacing w:val="60"/>
                <w:sz w:val="17"/>
                <w:lang w:val="fr-FR"/>
              </w:rPr>
            </w:pPr>
            <w:r w:rsidRPr="00A66C9F">
              <w:rPr>
                <w:lang w:val="fr-FR"/>
              </w:rPr>
              <w:t>V.</w:t>
            </w:r>
            <w:r w:rsidRPr="00A66C9F">
              <w:rPr>
                <w:lang w:val="fr-FR"/>
              </w:rPr>
              <w:tab/>
              <w:t>État comparatif des montants inscrits au budget et des montants effectifs sur une base comparable ; dépenses d’administration pour l’année terminée le 31 décembre 2019</w:t>
            </w:r>
            <w:r w:rsidRPr="00A66C9F">
              <w:rPr>
                <w:spacing w:val="60"/>
                <w:sz w:val="17"/>
                <w:lang w:val="fr-FR"/>
              </w:rPr>
              <w:tab/>
            </w:r>
          </w:p>
        </w:tc>
        <w:tc>
          <w:tcPr>
            <w:tcW w:w="522" w:type="dxa"/>
            <w:shd w:val="clear" w:color="auto" w:fill="auto"/>
            <w:vAlign w:val="bottom"/>
          </w:tcPr>
          <w:p w14:paraId="6174B27C" w14:textId="1C860339" w:rsidR="002B3B17" w:rsidRPr="00A66C9F" w:rsidRDefault="00B34E1B" w:rsidP="002B3B17">
            <w:pPr>
              <w:suppressAutoHyphens/>
              <w:spacing w:after="120"/>
              <w:ind w:right="40"/>
              <w:jc w:val="right"/>
              <w:rPr>
                <w:lang w:val="fr-FR"/>
              </w:rPr>
            </w:pPr>
            <w:r>
              <w:rPr>
                <w:lang w:val="fr-FR"/>
              </w:rPr>
              <w:t>25</w:t>
            </w:r>
          </w:p>
        </w:tc>
      </w:tr>
      <w:tr w:rsidR="002B3B17" w:rsidRPr="00A66C9F" w14:paraId="4A5AA04B" w14:textId="77777777" w:rsidTr="002B3B17">
        <w:tc>
          <w:tcPr>
            <w:tcW w:w="9333" w:type="dxa"/>
            <w:gridSpan w:val="3"/>
            <w:shd w:val="clear" w:color="auto" w:fill="auto"/>
          </w:tcPr>
          <w:p w14:paraId="1CA3AF5C" w14:textId="77777777" w:rsidR="002B3B17" w:rsidRPr="00A66C9F" w:rsidRDefault="002B3B17" w:rsidP="002B3B17">
            <w:pPr>
              <w:pStyle w:val="ListParagraph"/>
              <w:tabs>
                <w:tab w:val="left" w:pos="1296"/>
                <w:tab w:val="left" w:pos="1728"/>
                <w:tab w:val="left" w:pos="2160"/>
                <w:tab w:val="left" w:pos="2592"/>
                <w:tab w:val="left" w:pos="3024"/>
                <w:tab w:val="left" w:pos="3456"/>
                <w:tab w:val="left" w:pos="3888"/>
                <w:tab w:val="right" w:leader="dot" w:pos="9360"/>
              </w:tabs>
              <w:suppressAutoHyphens/>
              <w:spacing w:after="120"/>
              <w:ind w:left="1296"/>
              <w:rPr>
                <w:spacing w:val="60"/>
                <w:sz w:val="17"/>
                <w:lang w:val="fr-FR"/>
              </w:rPr>
            </w:pPr>
            <w:r w:rsidRPr="00A66C9F">
              <w:rPr>
                <w:lang w:val="fr-FR"/>
              </w:rPr>
              <w:t>Notes relatives aux états financiers</w:t>
            </w:r>
            <w:r w:rsidRPr="00A66C9F">
              <w:rPr>
                <w:spacing w:val="60"/>
                <w:sz w:val="17"/>
                <w:lang w:val="fr-FR"/>
              </w:rPr>
              <w:tab/>
            </w:r>
          </w:p>
        </w:tc>
        <w:tc>
          <w:tcPr>
            <w:tcW w:w="522" w:type="dxa"/>
            <w:shd w:val="clear" w:color="auto" w:fill="auto"/>
            <w:vAlign w:val="bottom"/>
          </w:tcPr>
          <w:p w14:paraId="4E8B2015" w14:textId="65B99E89" w:rsidR="002B3B17" w:rsidRPr="00A66C9F" w:rsidRDefault="00B34E1B" w:rsidP="002B3B17">
            <w:pPr>
              <w:suppressAutoHyphens/>
              <w:spacing w:after="120"/>
              <w:ind w:right="40"/>
              <w:jc w:val="right"/>
              <w:rPr>
                <w:lang w:val="fr-FR"/>
              </w:rPr>
            </w:pPr>
            <w:r>
              <w:rPr>
                <w:lang w:val="fr-FR"/>
              </w:rPr>
              <w:t>29</w:t>
            </w:r>
          </w:p>
        </w:tc>
      </w:tr>
    </w:tbl>
    <w:p w14:paraId="29FD7B56" w14:textId="77777777" w:rsidR="00E56F8B" w:rsidRPr="00A66C9F" w:rsidRDefault="00E56F8B" w:rsidP="00DB7521">
      <w:pPr>
        <w:suppressAutoHyphens/>
        <w:spacing w:line="240" w:lineRule="auto"/>
        <w:ind w:left="1260"/>
        <w:rPr>
          <w:lang w:val="fr-FR"/>
        </w:rPr>
      </w:pPr>
    </w:p>
    <w:p w14:paraId="7C7168C8" w14:textId="613522E8" w:rsidR="00E56F8B" w:rsidRPr="00A66C9F" w:rsidRDefault="00E56F8B" w:rsidP="00DB7521">
      <w:pPr>
        <w:framePr w:w="2880" w:h="288" w:hSpace="180" w:wrap="notBeside" w:vAnchor="page" w:hAnchor="margin" w:x="1268" w:y="13393" w:anchorLock="1"/>
        <w:suppressAutoHyphens/>
        <w:rPr>
          <w:lang w:val="fr-FR"/>
        </w:rPr>
      </w:pPr>
    </w:p>
    <w:p w14:paraId="0D69EB71" w14:textId="77777777" w:rsidR="00E56F8B" w:rsidRPr="00A66C9F" w:rsidRDefault="00E56F8B" w:rsidP="00DB7521">
      <w:pPr>
        <w:suppressAutoHyphens/>
        <w:spacing w:after="200" w:line="276" w:lineRule="auto"/>
        <w:rPr>
          <w:lang w:val="fr-FR"/>
        </w:rPr>
      </w:pPr>
      <w:r w:rsidRPr="00A66C9F">
        <w:rPr>
          <w:lang w:val="fr-FR"/>
        </w:rPr>
        <w:br w:type="page"/>
      </w:r>
    </w:p>
    <w:p w14:paraId="337A13F6" w14:textId="77777777" w:rsidR="00E56F8B" w:rsidRPr="00A66C9F" w:rsidRDefault="00E56F8B" w:rsidP="00DB7521">
      <w:pPr>
        <w:suppressAutoHyphens/>
        <w:rPr>
          <w:lang w:val="fr-FR"/>
        </w:rPr>
      </w:pPr>
    </w:p>
    <w:p w14:paraId="12232BFA" w14:textId="107985BB" w:rsidR="00E56F8B" w:rsidRPr="00A66C9F" w:rsidRDefault="00E56F8B" w:rsidP="00DB7521">
      <w:pPr>
        <w:suppressAutoHyphens/>
        <w:spacing w:before="1360" w:after="240"/>
        <w:rPr>
          <w:sz w:val="28"/>
          <w:lang w:val="fr-FR"/>
        </w:rPr>
      </w:pPr>
      <w:r w:rsidRPr="00A66C9F">
        <w:rPr>
          <w:sz w:val="28"/>
          <w:lang w:val="fr-FR"/>
        </w:rPr>
        <w:t>Lettres d</w:t>
      </w:r>
      <w:bookmarkStart w:id="0" w:name="_GoBack"/>
      <w:bookmarkEnd w:id="0"/>
      <w:r w:rsidR="00091B26" w:rsidRPr="00A66C9F">
        <w:rPr>
          <w:sz w:val="28"/>
          <w:lang w:val="fr-FR"/>
        </w:rPr>
        <w:t>’</w:t>
      </w:r>
      <w:r w:rsidRPr="00A66C9F">
        <w:rPr>
          <w:sz w:val="28"/>
          <w:lang w:val="fr-FR"/>
        </w:rPr>
        <w:t>envoi</w:t>
      </w:r>
    </w:p>
    <w:p w14:paraId="1136B3B9" w14:textId="674B608E" w:rsidR="00F255A2" w:rsidRPr="00A66C9F" w:rsidRDefault="00B10299" w:rsidP="00DB752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r>
      <w:bookmarkStart w:id="1" w:name="_Hlk50998300"/>
      <w:r w:rsidRPr="00A66C9F">
        <w:rPr>
          <w:lang w:val="fr-FR"/>
        </w:rPr>
        <w:t>Lettre datée du 12 juin 2020, adressée au Président du Comité des</w:t>
      </w:r>
      <w:r w:rsidR="00AB2342" w:rsidRPr="00A66C9F">
        <w:rPr>
          <w:lang w:val="fr-FR"/>
        </w:rPr>
        <w:t> </w:t>
      </w:r>
      <w:r w:rsidRPr="00A66C9F">
        <w:rPr>
          <w:lang w:val="fr-FR"/>
        </w:rPr>
        <w:t>commissaires aux comptes par l</w:t>
      </w:r>
      <w:r w:rsidR="00091B26" w:rsidRPr="00A66C9F">
        <w:rPr>
          <w:lang w:val="fr-FR"/>
        </w:rPr>
        <w:t>’</w:t>
      </w:r>
      <w:r w:rsidRPr="00A66C9F">
        <w:rPr>
          <w:lang w:val="fr-FR"/>
        </w:rPr>
        <w:t>Administratrice des pensions de la Caisse commune des pensions du personnel des Nations Unies et le Représentant par intérim du Secrétaire général</w:t>
      </w:r>
      <w:r w:rsidR="00AB2342" w:rsidRPr="00A66C9F">
        <w:rPr>
          <w:lang w:val="fr-FR"/>
        </w:rPr>
        <w:br/>
      </w:r>
      <w:r w:rsidRPr="00A66C9F">
        <w:rPr>
          <w:lang w:val="fr-FR"/>
        </w:rPr>
        <w:t>pour les investissements de la Caisse commune des pensions du</w:t>
      </w:r>
      <w:r w:rsidR="00AB2342" w:rsidRPr="00A66C9F">
        <w:rPr>
          <w:lang w:val="fr-FR"/>
        </w:rPr>
        <w:t> </w:t>
      </w:r>
      <w:r w:rsidRPr="00A66C9F">
        <w:rPr>
          <w:lang w:val="fr-FR"/>
        </w:rPr>
        <w:t>personnel des Nations Unies</w:t>
      </w:r>
    </w:p>
    <w:p w14:paraId="402442AF" w14:textId="38F92FC5" w:rsidR="00B10299" w:rsidRPr="00A66C9F" w:rsidRDefault="00B10299" w:rsidP="00DB7521">
      <w:pPr>
        <w:pStyle w:val="SingleTxt"/>
        <w:spacing w:after="0" w:line="120" w:lineRule="exact"/>
        <w:rPr>
          <w:sz w:val="10"/>
          <w:lang w:val="fr-FR"/>
        </w:rPr>
      </w:pPr>
    </w:p>
    <w:p w14:paraId="4AAA764D" w14:textId="08894ABB" w:rsidR="00AB2342" w:rsidRPr="00A66C9F" w:rsidRDefault="00AB2342" w:rsidP="00DB7521">
      <w:pPr>
        <w:pStyle w:val="SingleTxt"/>
        <w:spacing w:after="0" w:line="120" w:lineRule="exact"/>
        <w:rPr>
          <w:sz w:val="10"/>
          <w:lang w:val="fr-FR"/>
        </w:rPr>
      </w:pPr>
    </w:p>
    <w:p w14:paraId="267D3439" w14:textId="65DD23F1" w:rsidR="00B10299" w:rsidRPr="00A66C9F" w:rsidRDefault="00B10299" w:rsidP="00DB7521">
      <w:pPr>
        <w:pStyle w:val="SingleTxt"/>
        <w:rPr>
          <w:lang w:val="fr-FR"/>
        </w:rPr>
      </w:pPr>
      <w:r w:rsidRPr="00A66C9F">
        <w:rPr>
          <w:lang w:val="fr-FR"/>
        </w:rPr>
        <w:tab/>
        <w:t>Nous avons l</w:t>
      </w:r>
      <w:r w:rsidR="00091B26" w:rsidRPr="00A66C9F">
        <w:rPr>
          <w:lang w:val="fr-FR"/>
        </w:rPr>
        <w:t>’</w:t>
      </w:r>
      <w:r w:rsidRPr="00A66C9F">
        <w:rPr>
          <w:lang w:val="fr-FR"/>
        </w:rPr>
        <w:t>honneur, conformément à la règle de gestion financière G.5 de la Caisse commune des pensions du personnel des Nations Unies, de vous transmettre ci-joint les états financiers de la Caisse pour l</w:t>
      </w:r>
      <w:r w:rsidR="00091B26" w:rsidRPr="00A66C9F">
        <w:rPr>
          <w:lang w:val="fr-FR"/>
        </w:rPr>
        <w:t>’</w:t>
      </w:r>
      <w:r w:rsidRPr="00A66C9F">
        <w:rPr>
          <w:lang w:val="fr-FR"/>
        </w:rPr>
        <w:t xml:space="preserve">année terminée le </w:t>
      </w:r>
      <w:r w:rsidR="00F255A2" w:rsidRPr="00A66C9F">
        <w:rPr>
          <w:lang w:val="fr-FR"/>
        </w:rPr>
        <w:t>31 </w:t>
      </w:r>
      <w:r w:rsidRPr="00A66C9F">
        <w:rPr>
          <w:lang w:val="fr-FR"/>
        </w:rPr>
        <w:t>décembre 2019, que nous approuvons par la présente lettre. L</w:t>
      </w:r>
      <w:r w:rsidR="00091B26" w:rsidRPr="00A66C9F">
        <w:rPr>
          <w:lang w:val="fr-FR"/>
        </w:rPr>
        <w:t>’</w:t>
      </w:r>
      <w:r w:rsidRPr="00A66C9F">
        <w:rPr>
          <w:lang w:val="fr-FR"/>
        </w:rPr>
        <w:t>Administratrice des pensions et le Représentant par intérim du Secrétaire général pour les investissements de la Caisse approuvent les états financiers dans leurs domaines de responsabilité respectifs. Les états financiers ont été établis et certifiés exacts par le Directeur financier de la Caisse pour tous les éléments de caractère significatif.</w:t>
      </w:r>
    </w:p>
    <w:bookmarkEnd w:id="1"/>
    <w:p w14:paraId="2C492C00" w14:textId="4C1B022D" w:rsidR="00B10299" w:rsidRPr="00A66C9F" w:rsidRDefault="00B10299" w:rsidP="00DB7521">
      <w:pPr>
        <w:pStyle w:val="SingleTxt"/>
        <w:spacing w:after="0" w:line="120" w:lineRule="exact"/>
        <w:rPr>
          <w:sz w:val="10"/>
          <w:lang w:val="fr-FR"/>
        </w:rPr>
      </w:pPr>
    </w:p>
    <w:p w14:paraId="5E78557B" w14:textId="20C6C1CA" w:rsidR="00B10299" w:rsidRPr="00A66C9F" w:rsidRDefault="00B10299" w:rsidP="00DB7521">
      <w:pPr>
        <w:pStyle w:val="SingleTxt"/>
        <w:jc w:val="right"/>
        <w:rPr>
          <w:b/>
          <w:bCs/>
          <w:lang w:val="fr-FR"/>
        </w:rPr>
      </w:pPr>
      <w:r w:rsidRPr="00A66C9F">
        <w:rPr>
          <w:lang w:val="fr-FR"/>
        </w:rPr>
        <w:t>L</w:t>
      </w:r>
      <w:r w:rsidR="00091B26" w:rsidRPr="00A66C9F">
        <w:rPr>
          <w:lang w:val="fr-FR"/>
        </w:rPr>
        <w:t>’</w:t>
      </w:r>
      <w:r w:rsidRPr="00A66C9F">
        <w:rPr>
          <w:lang w:val="fr-FR"/>
        </w:rPr>
        <w:t>Administratrice des pensions</w:t>
      </w:r>
      <w:r w:rsidR="00AB2342" w:rsidRPr="00A66C9F">
        <w:rPr>
          <w:lang w:val="fr-FR"/>
        </w:rPr>
        <w:t xml:space="preserve"> </w:t>
      </w:r>
      <w:r w:rsidRPr="00A66C9F">
        <w:rPr>
          <w:lang w:val="fr-FR"/>
        </w:rPr>
        <w:t>de la Caisse commune</w:t>
      </w:r>
      <w:r w:rsidR="00AB2342" w:rsidRPr="00A66C9F">
        <w:rPr>
          <w:lang w:val="fr-FR"/>
        </w:rPr>
        <w:br/>
      </w:r>
      <w:r w:rsidRPr="00A66C9F">
        <w:rPr>
          <w:lang w:val="fr-FR"/>
        </w:rPr>
        <w:t>des pensions du personnel des Nations Unies</w:t>
      </w:r>
      <w:r w:rsidR="00AB2342" w:rsidRPr="00A66C9F">
        <w:rPr>
          <w:lang w:val="fr-FR"/>
        </w:rPr>
        <w:br/>
      </w:r>
      <w:r w:rsidRPr="00A66C9F">
        <w:rPr>
          <w:lang w:val="fr-FR"/>
        </w:rPr>
        <w:t>(</w:t>
      </w:r>
      <w:r w:rsidRPr="00A66C9F">
        <w:rPr>
          <w:i/>
          <w:iCs/>
          <w:lang w:val="fr-FR"/>
        </w:rPr>
        <w:t>Signé</w:t>
      </w:r>
      <w:r w:rsidRPr="00A66C9F">
        <w:rPr>
          <w:lang w:val="fr-FR"/>
        </w:rPr>
        <w:t xml:space="preserve">) Rosemarie </w:t>
      </w:r>
      <w:r w:rsidRPr="00A66C9F">
        <w:rPr>
          <w:b/>
          <w:bCs/>
          <w:lang w:val="fr-FR"/>
        </w:rPr>
        <w:t>McClean</w:t>
      </w:r>
    </w:p>
    <w:p w14:paraId="6FBB37DC" w14:textId="53140EBF" w:rsidR="00E56F8B" w:rsidRPr="00A66C9F" w:rsidRDefault="00B10299" w:rsidP="00DB7521">
      <w:pPr>
        <w:pStyle w:val="SingleTxt"/>
        <w:jc w:val="right"/>
        <w:rPr>
          <w:lang w:val="fr-FR"/>
        </w:rPr>
      </w:pPr>
      <w:r w:rsidRPr="00A66C9F">
        <w:rPr>
          <w:lang w:val="fr-FR"/>
        </w:rPr>
        <w:t>Le Représentant par intérim du Secrétaire général</w:t>
      </w:r>
      <w:r w:rsidR="00AB2342" w:rsidRPr="00A66C9F">
        <w:rPr>
          <w:lang w:val="fr-FR"/>
        </w:rPr>
        <w:br/>
      </w:r>
      <w:r w:rsidRPr="00A66C9F">
        <w:rPr>
          <w:lang w:val="fr-FR"/>
        </w:rPr>
        <w:t>pour les investissements</w:t>
      </w:r>
      <w:r w:rsidR="00AB2342" w:rsidRPr="00A66C9F">
        <w:rPr>
          <w:lang w:val="fr-FR"/>
        </w:rPr>
        <w:t xml:space="preserve"> </w:t>
      </w:r>
      <w:r w:rsidRPr="00A66C9F">
        <w:rPr>
          <w:lang w:val="fr-FR"/>
        </w:rPr>
        <w:t>de la Caisse commune</w:t>
      </w:r>
      <w:r w:rsidR="00AB2342" w:rsidRPr="00A66C9F">
        <w:rPr>
          <w:lang w:val="fr-FR"/>
        </w:rPr>
        <w:br/>
      </w:r>
      <w:r w:rsidRPr="00A66C9F">
        <w:rPr>
          <w:lang w:val="fr-FR"/>
        </w:rPr>
        <w:t>des pensions du personnel des Nations Unies</w:t>
      </w:r>
      <w:r w:rsidR="00AB2342" w:rsidRPr="00A66C9F">
        <w:rPr>
          <w:lang w:val="fr-FR"/>
        </w:rPr>
        <w:br/>
      </w:r>
      <w:r w:rsidRPr="00A66C9F">
        <w:rPr>
          <w:lang w:val="fr-FR"/>
        </w:rPr>
        <w:t>(</w:t>
      </w:r>
      <w:r w:rsidRPr="00A66C9F">
        <w:rPr>
          <w:i/>
          <w:iCs/>
          <w:lang w:val="fr-FR"/>
        </w:rPr>
        <w:t>Signé</w:t>
      </w:r>
      <w:r w:rsidRPr="00A66C9F">
        <w:rPr>
          <w:lang w:val="fr-FR"/>
        </w:rPr>
        <w:t xml:space="preserve">) Pedro </w:t>
      </w:r>
      <w:r w:rsidRPr="00A66C9F">
        <w:rPr>
          <w:b/>
          <w:bCs/>
          <w:lang w:val="fr-FR"/>
        </w:rPr>
        <w:t>Guazo</w:t>
      </w:r>
    </w:p>
    <w:p w14:paraId="7C5AD4A0" w14:textId="77777777" w:rsidR="00E56F8B" w:rsidRPr="00A66C9F" w:rsidRDefault="00E56F8B" w:rsidP="00DB7521">
      <w:pPr>
        <w:suppressAutoHyphens/>
        <w:spacing w:after="200" w:line="276" w:lineRule="auto"/>
        <w:rPr>
          <w:lang w:val="fr-FR"/>
        </w:rPr>
      </w:pPr>
      <w:r w:rsidRPr="00A66C9F">
        <w:rPr>
          <w:lang w:val="fr-FR"/>
        </w:rPr>
        <w:br w:type="page"/>
      </w:r>
    </w:p>
    <w:p w14:paraId="7305C463" w14:textId="5842B1B0" w:rsidR="00F255A2" w:rsidRPr="00A66C9F" w:rsidRDefault="00B10299" w:rsidP="002B3B1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lastRenderedPageBreak/>
        <w:tab/>
      </w:r>
      <w:r w:rsidR="002B3B17">
        <w:rPr>
          <w:lang w:val="fr-FR"/>
        </w:rPr>
        <w:t>Ch</w:t>
      </w:r>
      <w:r w:rsidR="007032B3" w:rsidRPr="00A66C9F">
        <w:rPr>
          <w:lang w:val="fr-FR"/>
        </w:rPr>
        <w:t>apitre I</w:t>
      </w:r>
    </w:p>
    <w:p w14:paraId="3998AA1C" w14:textId="1E482F58" w:rsidR="007032B3" w:rsidRPr="00A66C9F" w:rsidRDefault="007032B3" w:rsidP="00DB752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Rapport du Comité des commissaires aux comptes</w:t>
      </w:r>
      <w:r w:rsidR="00F255A2" w:rsidRPr="00A66C9F">
        <w:rPr>
          <w:lang w:val="fr-FR"/>
        </w:rPr>
        <w:t> :</w:t>
      </w:r>
      <w:r w:rsidRPr="00A66C9F">
        <w:rPr>
          <w:lang w:val="fr-FR"/>
        </w:rPr>
        <w:t xml:space="preserve"> opinion des commissaires aux comptes</w:t>
      </w:r>
    </w:p>
    <w:p w14:paraId="30C2BD14" w14:textId="20E131E7" w:rsidR="007032B3" w:rsidRPr="00A66C9F" w:rsidRDefault="007032B3" w:rsidP="00DB7521">
      <w:pPr>
        <w:pStyle w:val="SingleTxt"/>
        <w:spacing w:after="0" w:line="120" w:lineRule="exact"/>
        <w:rPr>
          <w:sz w:val="10"/>
          <w:lang w:val="fr-FR"/>
        </w:rPr>
      </w:pPr>
    </w:p>
    <w:p w14:paraId="7A442A61" w14:textId="241AC5AC" w:rsidR="00D27653" w:rsidRPr="00A66C9F" w:rsidRDefault="00D27653" w:rsidP="00DB7521">
      <w:pPr>
        <w:pStyle w:val="SingleTxt"/>
        <w:spacing w:after="0" w:line="120" w:lineRule="exact"/>
        <w:rPr>
          <w:sz w:val="10"/>
          <w:lang w:val="fr-FR"/>
        </w:rPr>
      </w:pPr>
    </w:p>
    <w:p w14:paraId="59F408F0" w14:textId="77777777" w:rsidR="007032B3" w:rsidRPr="00A66C9F" w:rsidRDefault="007032B3" w:rsidP="00DB75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Opinion des commissaires aux comptes</w:t>
      </w:r>
    </w:p>
    <w:p w14:paraId="0207CBD6" w14:textId="4A379BC2" w:rsidR="007032B3" w:rsidRPr="00A66C9F" w:rsidRDefault="007032B3" w:rsidP="00DB7521">
      <w:pPr>
        <w:pStyle w:val="SingleTxt"/>
        <w:spacing w:after="0" w:line="120" w:lineRule="exact"/>
        <w:rPr>
          <w:sz w:val="10"/>
          <w:lang w:val="fr-FR"/>
        </w:rPr>
      </w:pPr>
    </w:p>
    <w:p w14:paraId="002392C2" w14:textId="2DF5B3A5" w:rsidR="007032B3" w:rsidRPr="00A66C9F" w:rsidRDefault="007032B3" w:rsidP="00DB7521">
      <w:pPr>
        <w:pStyle w:val="SingleTxt"/>
        <w:rPr>
          <w:lang w:val="fr-FR"/>
        </w:rPr>
      </w:pPr>
      <w:r w:rsidRPr="00A66C9F">
        <w:rPr>
          <w:lang w:val="fr-FR"/>
        </w:rPr>
        <w:tab/>
        <w:t>Nous avons vérifié les états financiers de la Caisse commune des pensions du personnel des Nations Unies, qui comprennent l</w:t>
      </w:r>
      <w:r w:rsidR="00091B26" w:rsidRPr="00A66C9F">
        <w:rPr>
          <w:lang w:val="fr-FR"/>
        </w:rPr>
        <w:t>’</w:t>
      </w:r>
      <w:r w:rsidRPr="00A66C9F">
        <w:rPr>
          <w:lang w:val="fr-FR"/>
        </w:rPr>
        <w:t>état de l</w:t>
      </w:r>
      <w:r w:rsidR="00091B26" w:rsidRPr="00A66C9F">
        <w:rPr>
          <w:lang w:val="fr-FR"/>
        </w:rPr>
        <w:t>’</w:t>
      </w:r>
      <w:r w:rsidRPr="00A66C9F">
        <w:rPr>
          <w:lang w:val="fr-FR"/>
        </w:rPr>
        <w:t xml:space="preserve">actif net disponible pour le versement des prestations (état I) au </w:t>
      </w:r>
      <w:r w:rsidR="00F255A2" w:rsidRPr="00A66C9F">
        <w:rPr>
          <w:lang w:val="fr-FR"/>
        </w:rPr>
        <w:t>31 </w:t>
      </w:r>
      <w:r w:rsidRPr="00A66C9F">
        <w:rPr>
          <w:lang w:val="fr-FR"/>
        </w:rPr>
        <w:t>décembre 2019 et l</w:t>
      </w:r>
      <w:r w:rsidR="00091B26" w:rsidRPr="00A66C9F">
        <w:rPr>
          <w:lang w:val="fr-FR"/>
        </w:rPr>
        <w:t>’</w:t>
      </w:r>
      <w:r w:rsidRPr="00A66C9F">
        <w:rPr>
          <w:lang w:val="fr-FR"/>
        </w:rPr>
        <w:t>état des variations de l</w:t>
      </w:r>
      <w:r w:rsidR="00091B26" w:rsidRPr="00A66C9F">
        <w:rPr>
          <w:lang w:val="fr-FR"/>
        </w:rPr>
        <w:t>’</w:t>
      </w:r>
      <w:r w:rsidRPr="00A66C9F">
        <w:rPr>
          <w:lang w:val="fr-FR"/>
        </w:rPr>
        <w:t>actif net disponible pour le versement des prestations (état II), l</w:t>
      </w:r>
      <w:r w:rsidR="00091B26" w:rsidRPr="00A66C9F">
        <w:rPr>
          <w:lang w:val="fr-FR"/>
        </w:rPr>
        <w:t>’</w:t>
      </w:r>
      <w:r w:rsidRPr="00A66C9F">
        <w:rPr>
          <w:lang w:val="fr-FR"/>
        </w:rPr>
        <w:t>état des flux de trésorerie (état III), l</w:t>
      </w:r>
      <w:r w:rsidR="00091B26" w:rsidRPr="00A66C9F">
        <w:rPr>
          <w:lang w:val="fr-FR"/>
        </w:rPr>
        <w:t>’</w:t>
      </w:r>
      <w:r w:rsidRPr="00A66C9F">
        <w:rPr>
          <w:lang w:val="fr-FR"/>
        </w:rPr>
        <w:t>état comparatif des montants inscrits au budget et des montants effectifs, présentés sur une base comparable avec les dépenses d</w:t>
      </w:r>
      <w:r w:rsidR="00091B26" w:rsidRPr="00A66C9F">
        <w:rPr>
          <w:lang w:val="fr-FR"/>
        </w:rPr>
        <w:t>’</w:t>
      </w:r>
      <w:r w:rsidRPr="00A66C9F">
        <w:rPr>
          <w:lang w:val="fr-FR"/>
        </w:rPr>
        <w:t>administration pour l</w:t>
      </w:r>
      <w:r w:rsidR="00091B26" w:rsidRPr="00A66C9F">
        <w:rPr>
          <w:lang w:val="fr-FR"/>
        </w:rPr>
        <w:t>’</w:t>
      </w:r>
      <w:r w:rsidRPr="00A66C9F">
        <w:rPr>
          <w:lang w:val="fr-FR"/>
        </w:rPr>
        <w:t>exercice biennal 2018-2019 (état IV) et l</w:t>
      </w:r>
      <w:r w:rsidR="00091B26" w:rsidRPr="00A66C9F">
        <w:rPr>
          <w:lang w:val="fr-FR"/>
        </w:rPr>
        <w:t>’</w:t>
      </w:r>
      <w:r w:rsidRPr="00A66C9F">
        <w:rPr>
          <w:lang w:val="fr-FR"/>
        </w:rPr>
        <w:t>état comparatif des montants inscrits au budget et des montants effectifs, présentés sur une base comparable avec les dépenses d</w:t>
      </w:r>
      <w:r w:rsidR="00091B26" w:rsidRPr="00A66C9F">
        <w:rPr>
          <w:lang w:val="fr-FR"/>
        </w:rPr>
        <w:t>’</w:t>
      </w:r>
      <w:r w:rsidRPr="00A66C9F">
        <w:rPr>
          <w:lang w:val="fr-FR"/>
        </w:rPr>
        <w:t>administration pour l</w:t>
      </w:r>
      <w:r w:rsidR="00091B26" w:rsidRPr="00A66C9F">
        <w:rPr>
          <w:lang w:val="fr-FR"/>
        </w:rPr>
        <w:t>’</w:t>
      </w:r>
      <w:r w:rsidRPr="00A66C9F">
        <w:rPr>
          <w:lang w:val="fr-FR"/>
        </w:rPr>
        <w:t xml:space="preserve">année terminée le </w:t>
      </w:r>
      <w:r w:rsidR="00F255A2" w:rsidRPr="00A66C9F">
        <w:rPr>
          <w:lang w:val="fr-FR"/>
        </w:rPr>
        <w:t>31 </w:t>
      </w:r>
      <w:r w:rsidRPr="00A66C9F">
        <w:rPr>
          <w:lang w:val="fr-FR"/>
        </w:rPr>
        <w:t>décembre 2019 (état V), ainsi que les notes relatives à ces états, y compris un récapitulatif des principales conventions comptables.</w:t>
      </w:r>
    </w:p>
    <w:p w14:paraId="6FC1D0ED" w14:textId="0CFA00A5" w:rsidR="007032B3" w:rsidRPr="00A66C9F" w:rsidRDefault="007032B3" w:rsidP="00DB7521">
      <w:pPr>
        <w:pStyle w:val="SingleTxt"/>
        <w:rPr>
          <w:lang w:val="fr-FR"/>
        </w:rPr>
      </w:pPr>
      <w:r w:rsidRPr="00A66C9F">
        <w:rPr>
          <w:lang w:val="fr-FR"/>
        </w:rPr>
        <w:tab/>
        <w:t>Nous considérons que les états financiers donnent pour tout élément de caractère significatif une image fidèle de l</w:t>
      </w:r>
      <w:r w:rsidR="00091B26" w:rsidRPr="00A66C9F">
        <w:rPr>
          <w:lang w:val="fr-FR"/>
        </w:rPr>
        <w:t>’</w:t>
      </w:r>
      <w:r w:rsidRPr="00A66C9F">
        <w:rPr>
          <w:lang w:val="fr-FR"/>
        </w:rPr>
        <w:t xml:space="preserve">actif net dont disposait la Caisse commune des pensions du personnel des Nations Unies pour le versement des prestations au </w:t>
      </w:r>
      <w:r w:rsidR="00F255A2" w:rsidRPr="00A66C9F">
        <w:rPr>
          <w:lang w:val="fr-FR"/>
        </w:rPr>
        <w:t>31 </w:t>
      </w:r>
      <w:r w:rsidRPr="00A66C9F">
        <w:rPr>
          <w:lang w:val="fr-FR"/>
        </w:rPr>
        <w:t>décembre 2019, ainsi que des variations de cet actif et du flux de trésorerie de la Caisse pour l</w:t>
      </w:r>
      <w:r w:rsidR="00091B26" w:rsidRPr="00A66C9F">
        <w:rPr>
          <w:lang w:val="fr-FR"/>
        </w:rPr>
        <w:t>’</w:t>
      </w:r>
      <w:r w:rsidRPr="00A66C9F">
        <w:rPr>
          <w:lang w:val="fr-FR"/>
        </w:rPr>
        <w:t>année terminée à cette date, conformément aux Normes comptables internationales pour le secteur public (normes IPSAS) et à la norme comptable internationale 26.</w:t>
      </w:r>
    </w:p>
    <w:p w14:paraId="35DED790" w14:textId="77777777" w:rsidR="00D27653" w:rsidRPr="00A66C9F" w:rsidRDefault="00D27653" w:rsidP="00DB7521">
      <w:pPr>
        <w:pStyle w:val="SingleTxt"/>
        <w:spacing w:after="0" w:line="120" w:lineRule="exact"/>
        <w:rPr>
          <w:sz w:val="10"/>
          <w:lang w:val="fr-FR"/>
        </w:rPr>
      </w:pPr>
    </w:p>
    <w:p w14:paraId="79790AA0" w14:textId="28E6B5F2" w:rsidR="007032B3" w:rsidRPr="00A66C9F" w:rsidRDefault="007032B3" w:rsidP="00DB75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Base de notre opinion</w:t>
      </w:r>
    </w:p>
    <w:p w14:paraId="339999C8" w14:textId="41007033" w:rsidR="007032B3" w:rsidRPr="00A66C9F" w:rsidRDefault="007032B3" w:rsidP="00DB7521">
      <w:pPr>
        <w:pStyle w:val="SingleTxt"/>
        <w:spacing w:after="0" w:line="120" w:lineRule="exact"/>
        <w:rPr>
          <w:sz w:val="10"/>
          <w:lang w:val="fr-FR"/>
        </w:rPr>
      </w:pPr>
    </w:p>
    <w:p w14:paraId="26AD58A9" w14:textId="4C9D7C60" w:rsidR="007032B3" w:rsidRPr="00A66C9F" w:rsidRDefault="007032B3" w:rsidP="00DB7521">
      <w:pPr>
        <w:pStyle w:val="SingleTxt"/>
        <w:rPr>
          <w:lang w:val="fr-FR"/>
        </w:rPr>
      </w:pPr>
      <w:r w:rsidRPr="00A66C9F">
        <w:rPr>
          <w:lang w:val="fr-FR"/>
        </w:rPr>
        <w:tab/>
        <w:t>Nous avons procédé à l</w:t>
      </w:r>
      <w:r w:rsidR="00091B26" w:rsidRPr="00A66C9F">
        <w:rPr>
          <w:lang w:val="fr-FR"/>
        </w:rPr>
        <w:t>’</w:t>
      </w:r>
      <w:r w:rsidRPr="00A66C9F">
        <w:rPr>
          <w:lang w:val="fr-FR"/>
        </w:rPr>
        <w:t>audit conformément aux Normes internationales d</w:t>
      </w:r>
      <w:r w:rsidR="00091B26" w:rsidRPr="00A66C9F">
        <w:rPr>
          <w:lang w:val="fr-FR"/>
        </w:rPr>
        <w:t>’</w:t>
      </w:r>
      <w:r w:rsidRPr="00A66C9F">
        <w:rPr>
          <w:lang w:val="fr-FR"/>
        </w:rPr>
        <w:t>audit. Les responsabilités qui nous incombent en vertu de ces normes sont énoncées à la section « Responsabilités des commissaires aux comptes concernant l</w:t>
      </w:r>
      <w:r w:rsidR="00091B26" w:rsidRPr="00A66C9F">
        <w:rPr>
          <w:lang w:val="fr-FR"/>
        </w:rPr>
        <w:t>’</w:t>
      </w:r>
      <w:r w:rsidRPr="00A66C9F">
        <w:rPr>
          <w:lang w:val="fr-FR"/>
        </w:rPr>
        <w:t>audit des états financiers ». Nous sommes indépendants de la Caisse, conformément aux règles déontologiques qui s</w:t>
      </w:r>
      <w:r w:rsidR="00091B26" w:rsidRPr="00A66C9F">
        <w:rPr>
          <w:lang w:val="fr-FR"/>
        </w:rPr>
        <w:t>’</w:t>
      </w:r>
      <w:r w:rsidRPr="00A66C9F">
        <w:rPr>
          <w:lang w:val="fr-FR"/>
        </w:rPr>
        <w:t>appliquent à l</w:t>
      </w:r>
      <w:r w:rsidR="00091B26" w:rsidRPr="00A66C9F">
        <w:rPr>
          <w:lang w:val="fr-FR"/>
        </w:rPr>
        <w:t>’</w:t>
      </w:r>
      <w:r w:rsidRPr="00A66C9F">
        <w:rPr>
          <w:lang w:val="fr-FR"/>
        </w:rPr>
        <w:t>audit des états financiers, et nous nous sommes acquittés de nos responsabilités dans le respect de ces règles. Nous estimons que les éléments que nous avons réunis à l</w:t>
      </w:r>
      <w:r w:rsidR="00091B26" w:rsidRPr="00A66C9F">
        <w:rPr>
          <w:lang w:val="fr-FR"/>
        </w:rPr>
        <w:t>’</w:t>
      </w:r>
      <w:r w:rsidRPr="00A66C9F">
        <w:rPr>
          <w:lang w:val="fr-FR"/>
        </w:rPr>
        <w:t>occasion de notre audit sont appropriés et suffisants pour nous permettre de former notre opinion.</w:t>
      </w:r>
    </w:p>
    <w:p w14:paraId="632F1E6A" w14:textId="7193BA92" w:rsidR="007032B3" w:rsidRPr="00A66C9F" w:rsidRDefault="007032B3" w:rsidP="00DB7521">
      <w:pPr>
        <w:pStyle w:val="SingleTxt"/>
        <w:spacing w:after="0" w:line="120" w:lineRule="exact"/>
        <w:rPr>
          <w:sz w:val="10"/>
          <w:lang w:val="fr-FR"/>
        </w:rPr>
      </w:pPr>
    </w:p>
    <w:p w14:paraId="21AEAC3D" w14:textId="32B50D27" w:rsidR="007032B3" w:rsidRPr="00A66C9F" w:rsidRDefault="007032B3" w:rsidP="00DB75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Informations autres que les états financiers et le rapport des commissaires aux</w:t>
      </w:r>
      <w:r w:rsidR="001D10E9" w:rsidRPr="00A66C9F">
        <w:rPr>
          <w:lang w:val="fr-FR"/>
        </w:rPr>
        <w:t> </w:t>
      </w:r>
      <w:r w:rsidRPr="00A66C9F">
        <w:rPr>
          <w:lang w:val="fr-FR"/>
        </w:rPr>
        <w:t>comptes</w:t>
      </w:r>
    </w:p>
    <w:p w14:paraId="451270EF" w14:textId="66C65F2B" w:rsidR="007032B3" w:rsidRPr="00A66C9F" w:rsidRDefault="007032B3" w:rsidP="00DB7521">
      <w:pPr>
        <w:pStyle w:val="SingleTxt"/>
        <w:spacing w:after="0" w:line="120" w:lineRule="exact"/>
        <w:rPr>
          <w:sz w:val="10"/>
          <w:lang w:val="fr-FR"/>
        </w:rPr>
      </w:pPr>
    </w:p>
    <w:p w14:paraId="6F835351" w14:textId="09A3B1D9" w:rsidR="007032B3" w:rsidRPr="00A66C9F" w:rsidRDefault="007032B3" w:rsidP="00DB7521">
      <w:pPr>
        <w:pStyle w:val="SingleTxt"/>
        <w:rPr>
          <w:lang w:val="fr-FR"/>
        </w:rPr>
      </w:pPr>
      <w:r w:rsidRPr="00A66C9F">
        <w:rPr>
          <w:lang w:val="fr-FR"/>
        </w:rPr>
        <w:tab/>
        <w:t>Les autres informations présentées dans le présent rapport ont été établies, dans la limite des attributions respectives que leur confèrent les Statuts de la Caisse, par l</w:t>
      </w:r>
      <w:r w:rsidR="00091B26" w:rsidRPr="00A66C9F">
        <w:rPr>
          <w:lang w:val="fr-FR"/>
        </w:rPr>
        <w:t>’</w:t>
      </w:r>
      <w:r w:rsidRPr="00A66C9F">
        <w:rPr>
          <w:lang w:val="fr-FR"/>
        </w:rPr>
        <w:t>Administratrice des pensions de la Caisse et le Représentant par intérim du Secrétaire général pour les investissements de la Caisse et comprennent l</w:t>
      </w:r>
      <w:r w:rsidR="00091B26" w:rsidRPr="00A66C9F">
        <w:rPr>
          <w:lang w:val="fr-FR"/>
        </w:rPr>
        <w:t>’</w:t>
      </w:r>
      <w:r w:rsidRPr="00A66C9F">
        <w:rPr>
          <w:lang w:val="fr-FR"/>
        </w:rPr>
        <w:t>aperçu de la situation financière pour l</w:t>
      </w:r>
      <w:r w:rsidR="00091B26" w:rsidRPr="00A66C9F">
        <w:rPr>
          <w:lang w:val="fr-FR"/>
        </w:rPr>
        <w:t>’</w:t>
      </w:r>
      <w:r w:rsidRPr="00A66C9F">
        <w:rPr>
          <w:lang w:val="fr-FR"/>
        </w:rPr>
        <w:t xml:space="preserve">année terminée le </w:t>
      </w:r>
      <w:r w:rsidR="00F255A2" w:rsidRPr="00A66C9F">
        <w:rPr>
          <w:lang w:val="fr-FR"/>
        </w:rPr>
        <w:t>31 </w:t>
      </w:r>
      <w:r w:rsidRPr="00A66C9F">
        <w:rPr>
          <w:lang w:val="fr-FR"/>
        </w:rPr>
        <w:t>décembre 2019 (chap. IV), mais non les états financiers ni le rapport des commissaires aux comptes à proprement parler.</w:t>
      </w:r>
    </w:p>
    <w:p w14:paraId="1C204A1B" w14:textId="2B8A538E" w:rsidR="007032B3" w:rsidRPr="00A66C9F" w:rsidRDefault="007032B3" w:rsidP="00DB7521">
      <w:pPr>
        <w:pStyle w:val="SingleTxt"/>
        <w:rPr>
          <w:lang w:val="fr-FR"/>
        </w:rPr>
      </w:pPr>
      <w:r w:rsidRPr="00A66C9F">
        <w:rPr>
          <w:lang w:val="fr-FR"/>
        </w:rPr>
        <w:tab/>
        <w:t>Notre opinion sur les états financiers ne porte pas sur ces autres informations et nous ne formulons aucune expression d</w:t>
      </w:r>
      <w:r w:rsidR="00091B26" w:rsidRPr="00A66C9F">
        <w:rPr>
          <w:lang w:val="fr-FR"/>
        </w:rPr>
        <w:t>’</w:t>
      </w:r>
      <w:r w:rsidRPr="00A66C9F">
        <w:rPr>
          <w:lang w:val="fr-FR"/>
        </w:rPr>
        <w:t>assurance à leur égard.</w:t>
      </w:r>
    </w:p>
    <w:p w14:paraId="1DC7B511" w14:textId="55459434" w:rsidR="007032B3" w:rsidRPr="00A66C9F" w:rsidRDefault="007032B3" w:rsidP="00DB7521">
      <w:pPr>
        <w:pStyle w:val="SingleTxt"/>
        <w:rPr>
          <w:lang w:val="fr-FR"/>
        </w:rPr>
      </w:pPr>
      <w:r w:rsidRPr="00A66C9F">
        <w:rPr>
          <w:lang w:val="fr-FR"/>
        </w:rPr>
        <w:tab/>
        <w:t>Nous sommes tenus, dans le cadre de l</w:t>
      </w:r>
      <w:r w:rsidR="00091B26" w:rsidRPr="00A66C9F">
        <w:rPr>
          <w:lang w:val="fr-FR"/>
        </w:rPr>
        <w:t>’</w:t>
      </w:r>
      <w:r w:rsidRPr="00A66C9F">
        <w:rPr>
          <w:lang w:val="fr-FR"/>
        </w:rPr>
        <w:t>audit des états financiers, de prendre connaissance de ces autres informations et de nous assurer qu</w:t>
      </w:r>
      <w:r w:rsidR="00091B26" w:rsidRPr="00A66C9F">
        <w:rPr>
          <w:lang w:val="fr-FR"/>
        </w:rPr>
        <w:t>’</w:t>
      </w:r>
      <w:r w:rsidRPr="00A66C9F">
        <w:rPr>
          <w:lang w:val="fr-FR"/>
        </w:rPr>
        <w:t>elles concordent avec les états financiers et avec les constatations que l</w:t>
      </w:r>
      <w:r w:rsidR="00091B26" w:rsidRPr="00A66C9F">
        <w:rPr>
          <w:lang w:val="fr-FR"/>
        </w:rPr>
        <w:t>’</w:t>
      </w:r>
      <w:r w:rsidRPr="00A66C9F">
        <w:rPr>
          <w:lang w:val="fr-FR"/>
        </w:rPr>
        <w:t>audit nous a permis de dégager et qu</w:t>
      </w:r>
      <w:r w:rsidR="00091B26" w:rsidRPr="00A66C9F">
        <w:rPr>
          <w:lang w:val="fr-FR"/>
        </w:rPr>
        <w:t>’</w:t>
      </w:r>
      <w:r w:rsidRPr="00A66C9F">
        <w:rPr>
          <w:lang w:val="fr-FR"/>
        </w:rPr>
        <w:t>elles ne présentent pas d</w:t>
      </w:r>
      <w:r w:rsidR="00091B26" w:rsidRPr="00A66C9F">
        <w:rPr>
          <w:lang w:val="fr-FR"/>
        </w:rPr>
        <w:t>’</w:t>
      </w:r>
      <w:r w:rsidRPr="00A66C9F">
        <w:rPr>
          <w:lang w:val="fr-FR"/>
        </w:rPr>
        <w:t>anomalies significatives. Nous sommes tenus de rendre compte de toute anomalie significative que nous pourrions déceler à cette occasion. Nous n</w:t>
      </w:r>
      <w:r w:rsidR="00091B26" w:rsidRPr="00A66C9F">
        <w:rPr>
          <w:lang w:val="fr-FR"/>
        </w:rPr>
        <w:t>’</w:t>
      </w:r>
      <w:r w:rsidRPr="00A66C9F">
        <w:rPr>
          <w:lang w:val="fr-FR"/>
        </w:rPr>
        <w:t>avons rien à signaler à cet égard.</w:t>
      </w:r>
    </w:p>
    <w:p w14:paraId="117A1D0D" w14:textId="55A7B0B8" w:rsidR="007032B3" w:rsidRPr="00A66C9F" w:rsidRDefault="007032B3" w:rsidP="00DB7521">
      <w:pPr>
        <w:pStyle w:val="SingleTxt"/>
        <w:spacing w:after="0" w:line="120" w:lineRule="exact"/>
        <w:rPr>
          <w:sz w:val="10"/>
          <w:lang w:val="fr-FR"/>
        </w:rPr>
      </w:pPr>
    </w:p>
    <w:p w14:paraId="3DB173B6" w14:textId="3F67254C" w:rsidR="007032B3" w:rsidRPr="00A66C9F" w:rsidRDefault="007032B3" w:rsidP="00DB75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lastRenderedPageBreak/>
        <w:tab/>
      </w:r>
      <w:r w:rsidRPr="00A66C9F">
        <w:rPr>
          <w:lang w:val="fr-FR"/>
        </w:rPr>
        <w:tab/>
        <w:t>Responsabilités de la direction et des organes de gouvernance en matière d</w:t>
      </w:r>
      <w:r w:rsidR="00091B26" w:rsidRPr="00A66C9F">
        <w:rPr>
          <w:lang w:val="fr-FR"/>
        </w:rPr>
        <w:t>’</w:t>
      </w:r>
      <w:r w:rsidRPr="00A66C9F">
        <w:rPr>
          <w:lang w:val="fr-FR"/>
        </w:rPr>
        <w:t>états financiers</w:t>
      </w:r>
      <w:bookmarkStart w:id="2" w:name="_Hlk15466962"/>
      <w:bookmarkEnd w:id="2"/>
    </w:p>
    <w:p w14:paraId="5BB0E0E3" w14:textId="028FD8B9" w:rsidR="007032B3" w:rsidRPr="00A66C9F" w:rsidRDefault="007032B3" w:rsidP="00DB7521">
      <w:pPr>
        <w:pStyle w:val="SingleTxt"/>
        <w:spacing w:after="0" w:line="120" w:lineRule="exact"/>
        <w:rPr>
          <w:sz w:val="10"/>
          <w:lang w:val="fr-FR"/>
        </w:rPr>
      </w:pPr>
    </w:p>
    <w:p w14:paraId="2BB04127" w14:textId="641B4BF2" w:rsidR="007032B3" w:rsidRPr="00A66C9F" w:rsidRDefault="007032B3" w:rsidP="00DB7521">
      <w:pPr>
        <w:pStyle w:val="SingleTxt"/>
        <w:rPr>
          <w:lang w:val="fr-FR"/>
        </w:rPr>
      </w:pPr>
      <w:bookmarkStart w:id="3" w:name="_Hlk15467000"/>
      <w:r w:rsidRPr="00A66C9F">
        <w:rPr>
          <w:lang w:val="fr-FR"/>
        </w:rPr>
        <w:tab/>
        <w:t>Il incombe à l</w:t>
      </w:r>
      <w:r w:rsidR="00091B26" w:rsidRPr="00A66C9F">
        <w:rPr>
          <w:lang w:val="fr-FR"/>
        </w:rPr>
        <w:t>’</w:t>
      </w:r>
      <w:r w:rsidRPr="00A66C9F">
        <w:rPr>
          <w:lang w:val="fr-FR"/>
        </w:rPr>
        <w:t>Administratrice des pensions de la Caisse et au Représentant par intérim du Secrétaire général pour les investissements de la Caisse, dans la limite des attributions respectives que leur confèrent les Statuts de la Caisse, d</w:t>
      </w:r>
      <w:r w:rsidR="00091B26" w:rsidRPr="00A66C9F">
        <w:rPr>
          <w:lang w:val="fr-FR"/>
        </w:rPr>
        <w:t>’</w:t>
      </w:r>
      <w:r w:rsidRPr="00A66C9F">
        <w:rPr>
          <w:lang w:val="fr-FR"/>
        </w:rPr>
        <w:t>établir des états financiers conformes à la norme comptable internationale 26 (norme IAS 26) et aux normes IPSAS, qui présentent une image fidèle de la situation de la Caisse et d</w:t>
      </w:r>
      <w:r w:rsidR="00091B26" w:rsidRPr="00A66C9F">
        <w:rPr>
          <w:lang w:val="fr-FR"/>
        </w:rPr>
        <w:t>’</w:t>
      </w:r>
      <w:r w:rsidRPr="00A66C9F">
        <w:rPr>
          <w:lang w:val="fr-FR"/>
        </w:rPr>
        <w:t>exercer le contrôle interne qu</w:t>
      </w:r>
      <w:r w:rsidR="00091B26" w:rsidRPr="00A66C9F">
        <w:rPr>
          <w:lang w:val="fr-FR"/>
        </w:rPr>
        <w:t>’</w:t>
      </w:r>
      <w:r w:rsidRPr="00A66C9F">
        <w:rPr>
          <w:lang w:val="fr-FR"/>
        </w:rPr>
        <w:t>ils jugent nécessaire pour permettre d</w:t>
      </w:r>
      <w:r w:rsidR="00091B26" w:rsidRPr="00A66C9F">
        <w:rPr>
          <w:lang w:val="fr-FR"/>
        </w:rPr>
        <w:t>’</w:t>
      </w:r>
      <w:r w:rsidRPr="00A66C9F">
        <w:rPr>
          <w:lang w:val="fr-FR"/>
        </w:rPr>
        <w:t>établir des états exempts d</w:t>
      </w:r>
      <w:r w:rsidR="00091B26" w:rsidRPr="00A66C9F">
        <w:rPr>
          <w:lang w:val="fr-FR"/>
        </w:rPr>
        <w:t>’</w:t>
      </w:r>
      <w:r w:rsidRPr="00A66C9F">
        <w:rPr>
          <w:lang w:val="fr-FR"/>
        </w:rPr>
        <w:t>inexactitudes significatives, qu</w:t>
      </w:r>
      <w:r w:rsidR="00091B26" w:rsidRPr="00A66C9F">
        <w:rPr>
          <w:lang w:val="fr-FR"/>
        </w:rPr>
        <w:t>’</w:t>
      </w:r>
      <w:r w:rsidRPr="00A66C9F">
        <w:rPr>
          <w:lang w:val="fr-FR"/>
        </w:rPr>
        <w:t>elles soient dues à la fraude ou à l</w:t>
      </w:r>
      <w:r w:rsidR="00091B26" w:rsidRPr="00A66C9F">
        <w:rPr>
          <w:lang w:val="fr-FR"/>
        </w:rPr>
        <w:t>’</w:t>
      </w:r>
      <w:r w:rsidRPr="00A66C9F">
        <w:rPr>
          <w:lang w:val="fr-FR"/>
        </w:rPr>
        <w:t>erreur.</w:t>
      </w:r>
    </w:p>
    <w:bookmarkEnd w:id="3"/>
    <w:p w14:paraId="23C04318" w14:textId="081190B3" w:rsidR="007032B3" w:rsidRPr="00A66C9F" w:rsidRDefault="007032B3" w:rsidP="00DB7521">
      <w:pPr>
        <w:pStyle w:val="SingleTxt"/>
        <w:rPr>
          <w:lang w:val="fr-FR"/>
        </w:rPr>
      </w:pPr>
      <w:r w:rsidRPr="00A66C9F">
        <w:rPr>
          <w:lang w:val="fr-FR"/>
        </w:rPr>
        <w:tab/>
        <w:t>Lors de l</w:t>
      </w:r>
      <w:r w:rsidR="00091B26" w:rsidRPr="00A66C9F">
        <w:rPr>
          <w:lang w:val="fr-FR"/>
        </w:rPr>
        <w:t>’</w:t>
      </w:r>
      <w:r w:rsidRPr="00A66C9F">
        <w:rPr>
          <w:lang w:val="fr-FR"/>
        </w:rPr>
        <w:t>établissement des états financiers, la direction est tenue d</w:t>
      </w:r>
      <w:r w:rsidR="00091B26" w:rsidRPr="00A66C9F">
        <w:rPr>
          <w:lang w:val="fr-FR"/>
        </w:rPr>
        <w:t>’</w:t>
      </w:r>
      <w:r w:rsidRPr="00A66C9F">
        <w:rPr>
          <w:lang w:val="fr-FR"/>
        </w:rPr>
        <w:t>évaluer la capacité de la Caisse de poursuivre son activité, de rendre compte, le cas échéant, des éléments touchant la continuité d</w:t>
      </w:r>
      <w:r w:rsidR="00091B26" w:rsidRPr="00A66C9F">
        <w:rPr>
          <w:lang w:val="fr-FR"/>
        </w:rPr>
        <w:t>’</w:t>
      </w:r>
      <w:r w:rsidRPr="00A66C9F">
        <w:rPr>
          <w:lang w:val="fr-FR"/>
        </w:rPr>
        <w:t>activité et de considérer que la Caisse poursuivra son activité, à moins que la direction n</w:t>
      </w:r>
      <w:r w:rsidR="00091B26" w:rsidRPr="00A66C9F">
        <w:rPr>
          <w:lang w:val="fr-FR"/>
        </w:rPr>
        <w:t>’</w:t>
      </w:r>
      <w:r w:rsidRPr="00A66C9F">
        <w:rPr>
          <w:lang w:val="fr-FR"/>
        </w:rPr>
        <w:t>ait l</w:t>
      </w:r>
      <w:r w:rsidR="00091B26" w:rsidRPr="00A66C9F">
        <w:rPr>
          <w:lang w:val="fr-FR"/>
        </w:rPr>
        <w:t>’</w:t>
      </w:r>
      <w:r w:rsidRPr="00A66C9F">
        <w:rPr>
          <w:lang w:val="fr-FR"/>
        </w:rPr>
        <w:t>intention de procéder à la liquidation de la Caisse ou de mettre fin à son activité, ou qu</w:t>
      </w:r>
      <w:r w:rsidR="00091B26" w:rsidRPr="00A66C9F">
        <w:rPr>
          <w:lang w:val="fr-FR"/>
        </w:rPr>
        <w:t>’</w:t>
      </w:r>
      <w:r w:rsidRPr="00A66C9F">
        <w:rPr>
          <w:lang w:val="fr-FR"/>
        </w:rPr>
        <w:t>elle n</w:t>
      </w:r>
      <w:r w:rsidR="00091B26" w:rsidRPr="00A66C9F">
        <w:rPr>
          <w:lang w:val="fr-FR"/>
        </w:rPr>
        <w:t>’</w:t>
      </w:r>
      <w:r w:rsidRPr="00A66C9F">
        <w:rPr>
          <w:lang w:val="fr-FR"/>
        </w:rPr>
        <w:t>ait pas d</w:t>
      </w:r>
      <w:r w:rsidR="00091B26" w:rsidRPr="00A66C9F">
        <w:rPr>
          <w:lang w:val="fr-FR"/>
        </w:rPr>
        <w:t>’</w:t>
      </w:r>
      <w:r w:rsidRPr="00A66C9F">
        <w:rPr>
          <w:lang w:val="fr-FR"/>
        </w:rPr>
        <w:t>autre solution à sa portée.</w:t>
      </w:r>
    </w:p>
    <w:p w14:paraId="21DAC5F7" w14:textId="11E1B6E7" w:rsidR="007032B3" w:rsidRPr="00A66C9F" w:rsidRDefault="007032B3" w:rsidP="00DB7521">
      <w:pPr>
        <w:pStyle w:val="SingleTxt"/>
        <w:rPr>
          <w:lang w:val="fr-FR"/>
        </w:rPr>
      </w:pPr>
      <w:r w:rsidRPr="00A66C9F">
        <w:rPr>
          <w:lang w:val="fr-FR"/>
        </w:rPr>
        <w:tab/>
        <w:t>Les organes de gouvernance sont tenus de superviser la procédure d</w:t>
      </w:r>
      <w:r w:rsidR="00091B26" w:rsidRPr="00A66C9F">
        <w:rPr>
          <w:lang w:val="fr-FR"/>
        </w:rPr>
        <w:t>’</w:t>
      </w:r>
      <w:r w:rsidRPr="00A66C9F">
        <w:rPr>
          <w:lang w:val="fr-FR"/>
        </w:rPr>
        <w:t>information financière de la Caisse.</w:t>
      </w:r>
    </w:p>
    <w:p w14:paraId="60E94AD4" w14:textId="5777918A" w:rsidR="007032B3" w:rsidRPr="00A66C9F" w:rsidRDefault="007032B3" w:rsidP="00DB7521">
      <w:pPr>
        <w:pStyle w:val="SingleTxt"/>
        <w:spacing w:after="0" w:line="120" w:lineRule="exact"/>
        <w:rPr>
          <w:sz w:val="10"/>
          <w:lang w:val="fr-FR"/>
        </w:rPr>
      </w:pPr>
    </w:p>
    <w:p w14:paraId="70E88666" w14:textId="7A4CB753" w:rsidR="007032B3" w:rsidRPr="00A66C9F" w:rsidRDefault="007032B3" w:rsidP="00DB75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Responsabilités des commissaires aux comptes concernant l</w:t>
      </w:r>
      <w:r w:rsidR="00091B26" w:rsidRPr="00A66C9F">
        <w:rPr>
          <w:lang w:val="fr-FR"/>
        </w:rPr>
        <w:t>’</w:t>
      </w:r>
      <w:r w:rsidRPr="00A66C9F">
        <w:rPr>
          <w:lang w:val="fr-FR"/>
        </w:rPr>
        <w:t>audit des états financiers</w:t>
      </w:r>
    </w:p>
    <w:p w14:paraId="2378D9AA" w14:textId="45F31159" w:rsidR="007032B3" w:rsidRPr="00A66C9F" w:rsidRDefault="007032B3" w:rsidP="00DB7521">
      <w:pPr>
        <w:pStyle w:val="SingleTxt"/>
        <w:spacing w:after="0" w:line="120" w:lineRule="exact"/>
        <w:rPr>
          <w:sz w:val="10"/>
          <w:lang w:val="fr-FR"/>
        </w:rPr>
      </w:pPr>
    </w:p>
    <w:p w14:paraId="6E4303BB" w14:textId="6BE17AF8" w:rsidR="007032B3" w:rsidRPr="00A66C9F" w:rsidRDefault="007032B3" w:rsidP="00DB7521">
      <w:pPr>
        <w:pStyle w:val="SingleTxt"/>
        <w:rPr>
          <w:lang w:val="fr-FR"/>
        </w:rPr>
      </w:pPr>
      <w:r w:rsidRPr="00A66C9F">
        <w:rPr>
          <w:lang w:val="fr-FR"/>
        </w:rPr>
        <w:tab/>
        <w:t>Notre objectif est d</w:t>
      </w:r>
      <w:r w:rsidR="00091B26" w:rsidRPr="00A66C9F">
        <w:rPr>
          <w:lang w:val="fr-FR"/>
        </w:rPr>
        <w:t>’</w:t>
      </w:r>
      <w:r w:rsidRPr="00A66C9F">
        <w:rPr>
          <w:lang w:val="fr-FR"/>
        </w:rPr>
        <w:t>acquérir l</w:t>
      </w:r>
      <w:r w:rsidR="00091B26" w:rsidRPr="00A66C9F">
        <w:rPr>
          <w:lang w:val="fr-FR"/>
        </w:rPr>
        <w:t>’</w:t>
      </w:r>
      <w:r w:rsidRPr="00A66C9F">
        <w:rPr>
          <w:lang w:val="fr-FR"/>
        </w:rPr>
        <w:t>assurance raisonnable que les états financiers sont exempts d</w:t>
      </w:r>
      <w:r w:rsidR="00091B26" w:rsidRPr="00A66C9F">
        <w:rPr>
          <w:lang w:val="fr-FR"/>
        </w:rPr>
        <w:t>’</w:t>
      </w:r>
      <w:r w:rsidRPr="00A66C9F">
        <w:rPr>
          <w:lang w:val="fr-FR"/>
        </w:rPr>
        <w:t>inexactitudes significatives, qu</w:t>
      </w:r>
      <w:r w:rsidR="00091B26" w:rsidRPr="00A66C9F">
        <w:rPr>
          <w:lang w:val="fr-FR"/>
        </w:rPr>
        <w:t>’</w:t>
      </w:r>
      <w:r w:rsidRPr="00A66C9F">
        <w:rPr>
          <w:lang w:val="fr-FR"/>
        </w:rPr>
        <w:t>elles soient dues à la fraude ou à l</w:t>
      </w:r>
      <w:r w:rsidR="00091B26" w:rsidRPr="00A66C9F">
        <w:rPr>
          <w:lang w:val="fr-FR"/>
        </w:rPr>
        <w:t>’</w:t>
      </w:r>
      <w:r w:rsidRPr="00A66C9F">
        <w:rPr>
          <w:lang w:val="fr-FR"/>
        </w:rPr>
        <w:t>erreur, et de publier un rapport dans lequel nous faisons part de notre opinion. L</w:t>
      </w:r>
      <w:r w:rsidR="00091B26" w:rsidRPr="00A66C9F">
        <w:rPr>
          <w:lang w:val="fr-FR"/>
        </w:rPr>
        <w:t>’</w:t>
      </w:r>
      <w:r w:rsidRPr="00A66C9F">
        <w:rPr>
          <w:lang w:val="fr-FR"/>
        </w:rPr>
        <w:t>assurance raisonnable est un niveau d</w:t>
      </w:r>
      <w:r w:rsidR="00091B26" w:rsidRPr="00A66C9F">
        <w:rPr>
          <w:lang w:val="fr-FR"/>
        </w:rPr>
        <w:t>’</w:t>
      </w:r>
      <w:r w:rsidRPr="00A66C9F">
        <w:rPr>
          <w:lang w:val="fr-FR"/>
        </w:rPr>
        <w:t>assurance élevé</w:t>
      </w:r>
      <w:r w:rsidR="00F255A2" w:rsidRPr="00A66C9F">
        <w:rPr>
          <w:lang w:val="fr-FR"/>
        </w:rPr>
        <w:t> ;</w:t>
      </w:r>
      <w:r w:rsidRPr="00A66C9F">
        <w:rPr>
          <w:lang w:val="fr-FR"/>
        </w:rPr>
        <w:t xml:space="preserve"> elle ne garantit cependant pas qu</w:t>
      </w:r>
      <w:r w:rsidR="00091B26" w:rsidRPr="00A66C9F">
        <w:rPr>
          <w:lang w:val="fr-FR"/>
        </w:rPr>
        <w:t>’</w:t>
      </w:r>
      <w:r w:rsidRPr="00A66C9F">
        <w:rPr>
          <w:lang w:val="fr-FR"/>
        </w:rPr>
        <w:t>un audit mené conformément aux Normes internationales d</w:t>
      </w:r>
      <w:r w:rsidR="00091B26" w:rsidRPr="00A66C9F">
        <w:rPr>
          <w:lang w:val="fr-FR"/>
        </w:rPr>
        <w:t>’</w:t>
      </w:r>
      <w:r w:rsidRPr="00A66C9F">
        <w:rPr>
          <w:lang w:val="fr-FR"/>
        </w:rPr>
        <w:t>audit permette de déceler systématiquement les anomalies significatives. Les anomalies peuvent tenir à la fraude ou à l</w:t>
      </w:r>
      <w:r w:rsidR="00091B26" w:rsidRPr="00A66C9F">
        <w:rPr>
          <w:lang w:val="fr-FR"/>
        </w:rPr>
        <w:t>’</w:t>
      </w:r>
      <w:r w:rsidRPr="00A66C9F">
        <w:rPr>
          <w:lang w:val="fr-FR"/>
        </w:rPr>
        <w:t>erreur et sont considérées comme significatives si, individuellement ou collectivement, elles peuvent influencer les décisions économiques que les utilisateurs prendront sur la base des états financiers.</w:t>
      </w:r>
    </w:p>
    <w:p w14:paraId="1BF306E2" w14:textId="1A5B55C8" w:rsidR="007032B3" w:rsidRPr="00A66C9F" w:rsidRDefault="007032B3" w:rsidP="00DB7521">
      <w:pPr>
        <w:pStyle w:val="SingleTxt"/>
        <w:rPr>
          <w:lang w:val="fr-FR"/>
        </w:rPr>
      </w:pPr>
      <w:r w:rsidRPr="00A66C9F">
        <w:rPr>
          <w:lang w:val="fr-FR"/>
        </w:rPr>
        <w:tab/>
        <w:t>Dans le respect des Normes internationales d</w:t>
      </w:r>
      <w:r w:rsidR="00091B26" w:rsidRPr="00A66C9F">
        <w:rPr>
          <w:lang w:val="fr-FR"/>
        </w:rPr>
        <w:t>’</w:t>
      </w:r>
      <w:r w:rsidRPr="00A66C9F">
        <w:rPr>
          <w:lang w:val="fr-FR"/>
        </w:rPr>
        <w:t>audit, nous exerçons notre jugement professionnel et un esprit critique tout au long de l</w:t>
      </w:r>
      <w:r w:rsidR="00091B26" w:rsidRPr="00A66C9F">
        <w:rPr>
          <w:lang w:val="fr-FR"/>
        </w:rPr>
        <w:t>’</w:t>
      </w:r>
      <w:r w:rsidRPr="00A66C9F">
        <w:rPr>
          <w:lang w:val="fr-FR"/>
        </w:rPr>
        <w:t>audit. Nous menons également les activités suivantes</w:t>
      </w:r>
      <w:r w:rsidR="00F255A2" w:rsidRPr="00A66C9F">
        <w:rPr>
          <w:lang w:val="fr-FR"/>
        </w:rPr>
        <w:t> :</w:t>
      </w:r>
    </w:p>
    <w:p w14:paraId="555BDFF2" w14:textId="1EF551BE" w:rsidR="007032B3" w:rsidRPr="00A66C9F" w:rsidRDefault="007032B3" w:rsidP="00DB7521">
      <w:pPr>
        <w:pStyle w:val="SingleTxt"/>
        <w:tabs>
          <w:tab w:val="right" w:pos="1685"/>
        </w:tabs>
        <w:ind w:left="1742" w:hanging="475"/>
        <w:rPr>
          <w:lang w:val="fr-FR"/>
        </w:rPr>
      </w:pPr>
      <w:r w:rsidRPr="00A66C9F">
        <w:rPr>
          <w:lang w:val="fr-FR"/>
        </w:rPr>
        <w:tab/>
        <w:t>•</w:t>
      </w:r>
      <w:r w:rsidRPr="00A66C9F">
        <w:rPr>
          <w:lang w:val="fr-FR"/>
        </w:rPr>
        <w:tab/>
        <w:t>Nous décelons et évaluons les risques que pourrait poser la présence d</w:t>
      </w:r>
      <w:r w:rsidR="00091B26" w:rsidRPr="00A66C9F">
        <w:rPr>
          <w:lang w:val="fr-FR"/>
        </w:rPr>
        <w:t>’</w:t>
      </w:r>
      <w:r w:rsidRPr="00A66C9F">
        <w:rPr>
          <w:lang w:val="fr-FR"/>
        </w:rPr>
        <w:t>inexactitudes significatives dans les états financiers, que celles-ci soient dues à la fraude ou à l</w:t>
      </w:r>
      <w:r w:rsidR="00091B26" w:rsidRPr="00A66C9F">
        <w:rPr>
          <w:lang w:val="fr-FR"/>
        </w:rPr>
        <w:t>’</w:t>
      </w:r>
      <w:r w:rsidRPr="00A66C9F">
        <w:rPr>
          <w:lang w:val="fr-FR"/>
        </w:rPr>
        <w:t>erreur, nous concevons et appliquons des procédures d</w:t>
      </w:r>
      <w:r w:rsidR="00091B26" w:rsidRPr="00A66C9F">
        <w:rPr>
          <w:lang w:val="fr-FR"/>
        </w:rPr>
        <w:t>’</w:t>
      </w:r>
      <w:r w:rsidRPr="00A66C9F">
        <w:rPr>
          <w:lang w:val="fr-FR"/>
        </w:rPr>
        <w:t>audit adaptées à ces risques et nous réunissons, à l</w:t>
      </w:r>
      <w:r w:rsidR="00091B26" w:rsidRPr="00A66C9F">
        <w:rPr>
          <w:lang w:val="fr-FR"/>
        </w:rPr>
        <w:t>’</w:t>
      </w:r>
      <w:r w:rsidRPr="00A66C9F">
        <w:rPr>
          <w:lang w:val="fr-FR"/>
        </w:rPr>
        <w:t>occasion de notre audit, des éléments qui sont appropriés et suffisants pour nous permettre de former notre opinion. Le risque de ne pas déceler une inexactitude significative découlant d</w:t>
      </w:r>
      <w:r w:rsidR="00091B26" w:rsidRPr="00A66C9F">
        <w:rPr>
          <w:lang w:val="fr-FR"/>
        </w:rPr>
        <w:t>’</w:t>
      </w:r>
      <w:r w:rsidRPr="00A66C9F">
        <w:rPr>
          <w:lang w:val="fr-FR"/>
        </w:rPr>
        <w:t>une fraude est plus élevé que celui lié à une inexactitude résultant d</w:t>
      </w:r>
      <w:r w:rsidR="00091B26" w:rsidRPr="00A66C9F">
        <w:rPr>
          <w:lang w:val="fr-FR"/>
        </w:rPr>
        <w:t>’</w:t>
      </w:r>
      <w:r w:rsidRPr="00A66C9F">
        <w:rPr>
          <w:lang w:val="fr-FR"/>
        </w:rPr>
        <w:t>une erreur, car la fraude peut recouvrir des actes de collusion ou de falsification, des omissions intentionnelles, des fausses déclarations ou le non-respect des procédures de contrôle interne</w:t>
      </w:r>
      <w:r w:rsidR="001D10E9" w:rsidRPr="00A66C9F">
        <w:rPr>
          <w:lang w:val="fr-FR"/>
        </w:rPr>
        <w:t> ;</w:t>
      </w:r>
    </w:p>
    <w:p w14:paraId="40AB2A92" w14:textId="1ABC7439" w:rsidR="007032B3" w:rsidRPr="00A66C9F" w:rsidRDefault="007032B3" w:rsidP="00DB7521">
      <w:pPr>
        <w:pStyle w:val="SingleTxt"/>
        <w:tabs>
          <w:tab w:val="right" w:pos="1685"/>
        </w:tabs>
        <w:ind w:left="1742" w:hanging="475"/>
        <w:rPr>
          <w:lang w:val="fr-FR"/>
        </w:rPr>
      </w:pPr>
      <w:r w:rsidRPr="00A66C9F">
        <w:rPr>
          <w:lang w:val="fr-FR"/>
        </w:rPr>
        <w:tab/>
        <w:t>•</w:t>
      </w:r>
      <w:r w:rsidRPr="00A66C9F">
        <w:rPr>
          <w:lang w:val="fr-FR"/>
        </w:rPr>
        <w:tab/>
        <w:t>Nous évaluons les contrôles internes exercés par la Caisse afin de concevoir des procédures d</w:t>
      </w:r>
      <w:r w:rsidR="00091B26" w:rsidRPr="00A66C9F">
        <w:rPr>
          <w:lang w:val="fr-FR"/>
        </w:rPr>
        <w:t>’</w:t>
      </w:r>
      <w:r w:rsidRPr="00A66C9F">
        <w:rPr>
          <w:lang w:val="fr-FR"/>
        </w:rPr>
        <w:t>audit appropriées, mais notre intention n</w:t>
      </w:r>
      <w:r w:rsidR="00091B26" w:rsidRPr="00A66C9F">
        <w:rPr>
          <w:lang w:val="fr-FR"/>
        </w:rPr>
        <w:t>’</w:t>
      </w:r>
      <w:r w:rsidRPr="00A66C9F">
        <w:rPr>
          <w:lang w:val="fr-FR"/>
        </w:rPr>
        <w:t>est pas d</w:t>
      </w:r>
      <w:r w:rsidR="00091B26" w:rsidRPr="00A66C9F">
        <w:rPr>
          <w:lang w:val="fr-FR"/>
        </w:rPr>
        <w:t>’</w:t>
      </w:r>
      <w:r w:rsidRPr="00A66C9F">
        <w:rPr>
          <w:lang w:val="fr-FR"/>
        </w:rPr>
        <w:t>exprimer une opinion sur l</w:t>
      </w:r>
      <w:r w:rsidR="00091B26" w:rsidRPr="00A66C9F">
        <w:rPr>
          <w:lang w:val="fr-FR"/>
        </w:rPr>
        <w:t>’</w:t>
      </w:r>
      <w:r w:rsidRPr="00A66C9F">
        <w:rPr>
          <w:lang w:val="fr-FR"/>
        </w:rPr>
        <w:t>efficacité de ces contrôles</w:t>
      </w:r>
      <w:r w:rsidR="00F255A2" w:rsidRPr="00A66C9F">
        <w:rPr>
          <w:lang w:val="fr-FR"/>
        </w:rPr>
        <w:t> ;</w:t>
      </w:r>
    </w:p>
    <w:p w14:paraId="018CECD9" w14:textId="46DF1C9F" w:rsidR="007032B3" w:rsidRPr="00A66C9F" w:rsidRDefault="007032B3" w:rsidP="00DB7521">
      <w:pPr>
        <w:pStyle w:val="SingleTxt"/>
        <w:tabs>
          <w:tab w:val="right" w:pos="1685"/>
        </w:tabs>
        <w:ind w:left="1742" w:hanging="475"/>
        <w:rPr>
          <w:lang w:val="fr-FR"/>
        </w:rPr>
      </w:pPr>
      <w:r w:rsidRPr="00A66C9F">
        <w:rPr>
          <w:lang w:val="fr-FR"/>
        </w:rPr>
        <w:tab/>
        <w:t>•</w:t>
      </w:r>
      <w:r w:rsidRPr="00A66C9F">
        <w:rPr>
          <w:lang w:val="fr-FR"/>
        </w:rPr>
        <w:tab/>
        <w:t>Nous évaluons les méthodes comptables suivies et les estimations faites par la direction, de même que l</w:t>
      </w:r>
      <w:r w:rsidR="00091B26" w:rsidRPr="00A66C9F">
        <w:rPr>
          <w:lang w:val="fr-FR"/>
        </w:rPr>
        <w:t>’</w:t>
      </w:r>
      <w:r w:rsidRPr="00A66C9F">
        <w:rPr>
          <w:lang w:val="fr-FR"/>
        </w:rPr>
        <w:t>information dont elle fait état</w:t>
      </w:r>
      <w:r w:rsidR="00F255A2" w:rsidRPr="00A66C9F">
        <w:rPr>
          <w:lang w:val="fr-FR"/>
        </w:rPr>
        <w:t> ;</w:t>
      </w:r>
    </w:p>
    <w:p w14:paraId="1666F117" w14:textId="5BC1E8C7" w:rsidR="007032B3" w:rsidRPr="00A66C9F" w:rsidRDefault="007032B3" w:rsidP="00DB7521">
      <w:pPr>
        <w:pStyle w:val="SingleTxt"/>
        <w:tabs>
          <w:tab w:val="right" w:pos="1685"/>
        </w:tabs>
        <w:ind w:left="1742" w:hanging="475"/>
        <w:rPr>
          <w:lang w:val="fr-FR"/>
        </w:rPr>
      </w:pPr>
      <w:r w:rsidRPr="00A66C9F">
        <w:rPr>
          <w:lang w:val="fr-FR"/>
        </w:rPr>
        <w:tab/>
        <w:t>•</w:t>
      </w:r>
      <w:r w:rsidRPr="00A66C9F">
        <w:rPr>
          <w:lang w:val="fr-FR"/>
        </w:rPr>
        <w:tab/>
        <w:t>Nous tirons des conclusions concernant l</w:t>
      </w:r>
      <w:r w:rsidR="00091B26" w:rsidRPr="00A66C9F">
        <w:rPr>
          <w:lang w:val="fr-FR"/>
        </w:rPr>
        <w:t>’</w:t>
      </w:r>
      <w:r w:rsidRPr="00A66C9F">
        <w:rPr>
          <w:lang w:val="fr-FR"/>
        </w:rPr>
        <w:t>utilisation par la direction du principe de la continuité d</w:t>
      </w:r>
      <w:r w:rsidR="00091B26" w:rsidRPr="00A66C9F">
        <w:rPr>
          <w:lang w:val="fr-FR"/>
        </w:rPr>
        <w:t>’</w:t>
      </w:r>
      <w:r w:rsidRPr="00A66C9F">
        <w:rPr>
          <w:lang w:val="fr-FR"/>
        </w:rPr>
        <w:t>activité et, nous fondant sur les éléments que nous avons réunis dans le cadre de l</w:t>
      </w:r>
      <w:r w:rsidR="00091B26" w:rsidRPr="00A66C9F">
        <w:rPr>
          <w:lang w:val="fr-FR"/>
        </w:rPr>
        <w:t>’</w:t>
      </w:r>
      <w:r w:rsidRPr="00A66C9F">
        <w:rPr>
          <w:lang w:val="fr-FR"/>
        </w:rPr>
        <w:t>audit, nous estimons s</w:t>
      </w:r>
      <w:r w:rsidR="00091B26" w:rsidRPr="00A66C9F">
        <w:rPr>
          <w:lang w:val="fr-FR"/>
        </w:rPr>
        <w:t>’</w:t>
      </w:r>
      <w:r w:rsidRPr="00A66C9F">
        <w:rPr>
          <w:lang w:val="fr-FR"/>
        </w:rPr>
        <w:t xml:space="preserve">il existe une incertitude significative quant à des événements ou des conditions qui pourraient compromettre la capacité </w:t>
      </w:r>
      <w:r w:rsidRPr="00A66C9F">
        <w:rPr>
          <w:lang w:val="fr-FR"/>
        </w:rPr>
        <w:lastRenderedPageBreak/>
        <w:t>de la Caisse de poursuivre son activité. Si nous concluons à l</w:t>
      </w:r>
      <w:r w:rsidR="00091B26" w:rsidRPr="00A66C9F">
        <w:rPr>
          <w:lang w:val="fr-FR"/>
        </w:rPr>
        <w:t>’</w:t>
      </w:r>
      <w:r w:rsidRPr="00A66C9F">
        <w:rPr>
          <w:lang w:val="fr-FR"/>
        </w:rPr>
        <w:t>existence d</w:t>
      </w:r>
      <w:r w:rsidR="00091B26" w:rsidRPr="00A66C9F">
        <w:rPr>
          <w:lang w:val="fr-FR"/>
        </w:rPr>
        <w:t>’</w:t>
      </w:r>
      <w:r w:rsidRPr="00A66C9F">
        <w:rPr>
          <w:lang w:val="fr-FR"/>
        </w:rPr>
        <w:t>une incertitude significative, nous sommes tenus d</w:t>
      </w:r>
      <w:r w:rsidR="00091B26" w:rsidRPr="00A66C9F">
        <w:rPr>
          <w:lang w:val="fr-FR"/>
        </w:rPr>
        <w:t>’</w:t>
      </w:r>
      <w:r w:rsidRPr="00A66C9F">
        <w:rPr>
          <w:lang w:val="fr-FR"/>
        </w:rPr>
        <w:t>appeler l</w:t>
      </w:r>
      <w:r w:rsidR="00091B26" w:rsidRPr="00A66C9F">
        <w:rPr>
          <w:lang w:val="fr-FR"/>
        </w:rPr>
        <w:t>’</w:t>
      </w:r>
      <w:r w:rsidRPr="00A66C9F">
        <w:rPr>
          <w:lang w:val="fr-FR"/>
        </w:rPr>
        <w:t>attention sur les informations pertinentes figurant dans les états financiers et d</w:t>
      </w:r>
      <w:r w:rsidR="00091B26" w:rsidRPr="00A66C9F">
        <w:rPr>
          <w:lang w:val="fr-FR"/>
        </w:rPr>
        <w:t>’</w:t>
      </w:r>
      <w:r w:rsidRPr="00A66C9F">
        <w:rPr>
          <w:lang w:val="fr-FR"/>
        </w:rPr>
        <w:t>émettre une opinion modifiée si elles ne sont pas satisfaisantes. Nos conclusions sont fondées sur les éléments réunis à la date d</w:t>
      </w:r>
      <w:r w:rsidR="00091B26" w:rsidRPr="00A66C9F">
        <w:rPr>
          <w:lang w:val="fr-FR"/>
        </w:rPr>
        <w:t>’</w:t>
      </w:r>
      <w:r w:rsidRPr="00A66C9F">
        <w:rPr>
          <w:lang w:val="fr-FR"/>
        </w:rPr>
        <w:t>établissement de notre rapport, mais nous ne pouvons pas nous engager pour l</w:t>
      </w:r>
      <w:r w:rsidR="00091B26" w:rsidRPr="00A66C9F">
        <w:rPr>
          <w:lang w:val="fr-FR"/>
        </w:rPr>
        <w:t>’</w:t>
      </w:r>
      <w:r w:rsidRPr="00A66C9F">
        <w:rPr>
          <w:lang w:val="fr-FR"/>
        </w:rPr>
        <w:t>avenir puisque l</w:t>
      </w:r>
      <w:r w:rsidR="00091B26" w:rsidRPr="00A66C9F">
        <w:rPr>
          <w:lang w:val="fr-FR"/>
        </w:rPr>
        <w:t>’</w:t>
      </w:r>
      <w:r w:rsidRPr="00A66C9F">
        <w:rPr>
          <w:lang w:val="fr-FR"/>
        </w:rPr>
        <w:t>on ne peut pas exclure que des circonstances ou des événements futurs empêchent la Caisse de poursuivre son activité</w:t>
      </w:r>
      <w:r w:rsidR="00F255A2" w:rsidRPr="00A66C9F">
        <w:rPr>
          <w:lang w:val="fr-FR"/>
        </w:rPr>
        <w:t> ;</w:t>
      </w:r>
    </w:p>
    <w:p w14:paraId="063BB1F0" w14:textId="68C66BC1" w:rsidR="007032B3" w:rsidRPr="00A66C9F" w:rsidRDefault="007032B3" w:rsidP="00DB7521">
      <w:pPr>
        <w:pStyle w:val="SingleTxt"/>
        <w:tabs>
          <w:tab w:val="right" w:pos="1685"/>
        </w:tabs>
        <w:ind w:left="1742" w:hanging="475"/>
        <w:rPr>
          <w:lang w:val="fr-FR"/>
        </w:rPr>
      </w:pPr>
      <w:r w:rsidRPr="00A66C9F">
        <w:rPr>
          <w:lang w:val="fr-FR"/>
        </w:rPr>
        <w:tab/>
        <w:t>•</w:t>
      </w:r>
      <w:r w:rsidRPr="00A66C9F">
        <w:rPr>
          <w:lang w:val="fr-FR"/>
        </w:rPr>
        <w:tab/>
        <w:t>Nous évaluons la présentation générale, la structure et la teneur des états financiers et des informations qui les accompagnent</w:t>
      </w:r>
      <w:r w:rsidR="00F255A2" w:rsidRPr="00A66C9F">
        <w:rPr>
          <w:lang w:val="fr-FR"/>
        </w:rPr>
        <w:t> ;</w:t>
      </w:r>
      <w:r w:rsidRPr="00A66C9F">
        <w:rPr>
          <w:lang w:val="fr-FR"/>
        </w:rPr>
        <w:t xml:space="preserve"> nous évaluons également si les états financiers représentent les opérations et les événements sous-jacents avec fidélité.</w:t>
      </w:r>
    </w:p>
    <w:p w14:paraId="3B25F41B" w14:textId="3ACE40F7" w:rsidR="007032B3" w:rsidRPr="00A66C9F" w:rsidRDefault="007032B3" w:rsidP="00DB7521">
      <w:pPr>
        <w:pStyle w:val="SingleTxt"/>
        <w:rPr>
          <w:lang w:val="fr-FR"/>
        </w:rPr>
      </w:pPr>
      <w:r w:rsidRPr="00A66C9F">
        <w:rPr>
          <w:lang w:val="fr-FR"/>
        </w:rPr>
        <w:tab/>
        <w:t>Nous communiquons avec les organes de gouvernance concernant, entre autres points, l</w:t>
      </w:r>
      <w:r w:rsidR="00091B26" w:rsidRPr="00A66C9F">
        <w:rPr>
          <w:lang w:val="fr-FR"/>
        </w:rPr>
        <w:t>’</w:t>
      </w:r>
      <w:r w:rsidRPr="00A66C9F">
        <w:rPr>
          <w:lang w:val="fr-FR"/>
        </w:rPr>
        <w:t>étendue et le calendrier de l</w:t>
      </w:r>
      <w:r w:rsidR="00091B26" w:rsidRPr="00A66C9F">
        <w:rPr>
          <w:lang w:val="fr-FR"/>
        </w:rPr>
        <w:t>’</w:t>
      </w:r>
      <w:r w:rsidRPr="00A66C9F">
        <w:rPr>
          <w:lang w:val="fr-FR"/>
        </w:rPr>
        <w:t>audit et les principales constatations, notamment les insuffisances significatives concernant les contrôles internes que nous pourrions avoir décelées dans le cadre de nos activités.</w:t>
      </w:r>
    </w:p>
    <w:p w14:paraId="3A127C93" w14:textId="3146A233" w:rsidR="007032B3" w:rsidRPr="00A66C9F" w:rsidRDefault="007032B3" w:rsidP="00DB7521">
      <w:pPr>
        <w:pStyle w:val="SingleTxt"/>
        <w:spacing w:after="0" w:line="120" w:lineRule="exact"/>
        <w:rPr>
          <w:sz w:val="10"/>
          <w:lang w:val="fr-FR"/>
        </w:rPr>
      </w:pPr>
    </w:p>
    <w:p w14:paraId="7241DD94" w14:textId="77777777" w:rsidR="007032B3" w:rsidRPr="00A66C9F" w:rsidRDefault="007032B3" w:rsidP="00DB75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Rapport sur les autres obligations légales ou réglementaires</w:t>
      </w:r>
    </w:p>
    <w:p w14:paraId="63DE7039" w14:textId="2EF12F99" w:rsidR="007032B3" w:rsidRPr="00A66C9F" w:rsidRDefault="007032B3" w:rsidP="00DB7521">
      <w:pPr>
        <w:pStyle w:val="SingleTxt"/>
        <w:spacing w:after="0" w:line="120" w:lineRule="exact"/>
        <w:rPr>
          <w:sz w:val="10"/>
          <w:lang w:val="fr-FR"/>
        </w:rPr>
      </w:pPr>
    </w:p>
    <w:p w14:paraId="6784257A" w14:textId="14CDF53F" w:rsidR="007032B3" w:rsidRPr="00A66C9F" w:rsidRDefault="007032B3" w:rsidP="00DB7521">
      <w:pPr>
        <w:pStyle w:val="SingleTxt"/>
        <w:rPr>
          <w:lang w:val="fr-FR"/>
        </w:rPr>
      </w:pPr>
      <w:r w:rsidRPr="00A66C9F">
        <w:rPr>
          <w:lang w:val="fr-FR"/>
        </w:rPr>
        <w:tab/>
        <w:t>Nous estimons en outre que les opérations comptables de la Caisse qui ont retenu notre attention ou que nous avons examinées par sondage dans le cadre de notre audit ont été, dans tous leurs aspects significatifs, conformes aux Règlement financier et règles de gestion financière de l</w:t>
      </w:r>
      <w:r w:rsidR="00091B26" w:rsidRPr="00A66C9F">
        <w:rPr>
          <w:lang w:val="fr-FR"/>
        </w:rPr>
        <w:t>’</w:t>
      </w:r>
      <w:r w:rsidRPr="00A66C9F">
        <w:rPr>
          <w:lang w:val="fr-FR"/>
        </w:rPr>
        <w:t>Organisation des Nations Unies et aux règles de gestion financière de la Caisse commune des pensions du personnel des Nations Unies et aux autorisations de leurs organes délibérants.</w:t>
      </w:r>
    </w:p>
    <w:p w14:paraId="539EB34D" w14:textId="0A969E92" w:rsidR="007032B3" w:rsidRPr="00A66C9F" w:rsidRDefault="007032B3" w:rsidP="00DB7521">
      <w:pPr>
        <w:pStyle w:val="SingleTxt"/>
        <w:rPr>
          <w:lang w:val="fr-FR"/>
        </w:rPr>
      </w:pPr>
      <w:r w:rsidRPr="00A66C9F">
        <w:rPr>
          <w:lang w:val="fr-FR"/>
        </w:rPr>
        <w:tab/>
        <w:t>Conformément à l</w:t>
      </w:r>
      <w:r w:rsidR="00091B26" w:rsidRPr="00A66C9F">
        <w:rPr>
          <w:lang w:val="fr-FR"/>
        </w:rPr>
        <w:t>’</w:t>
      </w:r>
      <w:r w:rsidRPr="00A66C9F">
        <w:rPr>
          <w:lang w:val="fr-FR"/>
        </w:rPr>
        <w:t>article VII du Règlement financier et des règles de gestion financière de l</w:t>
      </w:r>
      <w:r w:rsidR="00091B26" w:rsidRPr="00A66C9F">
        <w:rPr>
          <w:lang w:val="fr-FR"/>
        </w:rPr>
        <w:t>’</w:t>
      </w:r>
      <w:r w:rsidRPr="00A66C9F">
        <w:rPr>
          <w:lang w:val="fr-FR"/>
        </w:rPr>
        <w:t>Organisation des Nations Unies, nous avons également établi un rapport détaillé sur notre audit.</w:t>
      </w:r>
    </w:p>
    <w:p w14:paraId="0A518617" w14:textId="43412CB3" w:rsidR="007032B3" w:rsidRPr="00A66C9F" w:rsidRDefault="007032B3" w:rsidP="00DB7521">
      <w:pPr>
        <w:pStyle w:val="SingleTxt"/>
        <w:spacing w:after="0" w:line="120" w:lineRule="exact"/>
        <w:rPr>
          <w:sz w:val="10"/>
          <w:lang w:val="fr-FR"/>
        </w:rPr>
      </w:pPr>
    </w:p>
    <w:p w14:paraId="176CFF10" w14:textId="7C73D86D" w:rsidR="007032B3" w:rsidRPr="00A66C9F" w:rsidRDefault="007032B3" w:rsidP="00DB7521">
      <w:pPr>
        <w:pStyle w:val="SingleTxt"/>
        <w:jc w:val="right"/>
        <w:rPr>
          <w:lang w:val="fr-FR"/>
        </w:rPr>
      </w:pPr>
      <w:r w:rsidRPr="00A66C9F">
        <w:rPr>
          <w:lang w:val="fr-FR"/>
        </w:rPr>
        <w:t>Le Président de la Cour des comptes fédérale de l</w:t>
      </w:r>
      <w:r w:rsidR="00091B26" w:rsidRPr="00A66C9F">
        <w:rPr>
          <w:lang w:val="fr-FR"/>
        </w:rPr>
        <w:t>’</w:t>
      </w:r>
      <w:r w:rsidRPr="00A66C9F">
        <w:rPr>
          <w:lang w:val="fr-FR"/>
        </w:rPr>
        <w:t>Allemagne,</w:t>
      </w:r>
      <w:r w:rsidR="001D10E9" w:rsidRPr="00A66C9F">
        <w:rPr>
          <w:lang w:val="fr-FR"/>
        </w:rPr>
        <w:br/>
      </w:r>
      <w:r w:rsidRPr="00A66C9F">
        <w:rPr>
          <w:lang w:val="fr-FR"/>
        </w:rPr>
        <w:t>Président du Comité des commissaires aux comptes</w:t>
      </w:r>
      <w:r w:rsidR="001D10E9" w:rsidRPr="00A66C9F">
        <w:rPr>
          <w:lang w:val="fr-FR"/>
        </w:rPr>
        <w:br/>
      </w:r>
      <w:r w:rsidRPr="00A66C9F">
        <w:rPr>
          <w:lang w:val="fr-FR"/>
        </w:rPr>
        <w:t>(</w:t>
      </w:r>
      <w:r w:rsidRPr="00A66C9F">
        <w:rPr>
          <w:i/>
          <w:iCs/>
          <w:lang w:val="fr-FR"/>
        </w:rPr>
        <w:t>Signé</w:t>
      </w:r>
      <w:r w:rsidRPr="00A66C9F">
        <w:rPr>
          <w:lang w:val="fr-FR"/>
        </w:rPr>
        <w:t xml:space="preserve">) Kay </w:t>
      </w:r>
      <w:r w:rsidRPr="00A66C9F">
        <w:rPr>
          <w:b/>
          <w:bCs/>
          <w:lang w:val="fr-FR"/>
        </w:rPr>
        <w:t>Scheller</w:t>
      </w:r>
    </w:p>
    <w:p w14:paraId="660F8234" w14:textId="420BB4CE" w:rsidR="007032B3" w:rsidRPr="00A66C9F" w:rsidRDefault="007032B3" w:rsidP="00DB7521">
      <w:pPr>
        <w:pStyle w:val="SingleTxt"/>
        <w:jc w:val="right"/>
        <w:rPr>
          <w:lang w:val="fr-FR"/>
        </w:rPr>
      </w:pPr>
      <w:r w:rsidRPr="00A66C9F">
        <w:rPr>
          <w:lang w:val="fr-FR"/>
        </w:rPr>
        <w:t>Le Contrôleur général de la République du Chili</w:t>
      </w:r>
      <w:r w:rsidR="001D10E9" w:rsidRPr="00A66C9F">
        <w:rPr>
          <w:lang w:val="fr-FR"/>
        </w:rPr>
        <w:br/>
      </w:r>
      <w:r w:rsidRPr="00A66C9F">
        <w:rPr>
          <w:lang w:val="fr-FR"/>
        </w:rPr>
        <w:t>(Auditeur principal)</w:t>
      </w:r>
      <w:r w:rsidR="001D10E9" w:rsidRPr="00A66C9F">
        <w:rPr>
          <w:lang w:val="fr-FR"/>
        </w:rPr>
        <w:br/>
      </w:r>
      <w:r w:rsidRPr="00A66C9F">
        <w:rPr>
          <w:lang w:val="fr-FR"/>
        </w:rPr>
        <w:t>(</w:t>
      </w:r>
      <w:r w:rsidRPr="00A66C9F">
        <w:rPr>
          <w:i/>
          <w:iCs/>
          <w:lang w:val="fr-FR"/>
        </w:rPr>
        <w:t>Signé</w:t>
      </w:r>
      <w:r w:rsidRPr="00A66C9F">
        <w:rPr>
          <w:lang w:val="fr-FR"/>
        </w:rPr>
        <w:t xml:space="preserve">) Jorge </w:t>
      </w:r>
      <w:r w:rsidRPr="00A66C9F">
        <w:rPr>
          <w:b/>
          <w:bCs/>
          <w:lang w:val="fr-FR"/>
        </w:rPr>
        <w:t>Bermúdez</w:t>
      </w:r>
    </w:p>
    <w:p w14:paraId="4B082331" w14:textId="32B33C41" w:rsidR="007032B3" w:rsidRPr="00A66C9F" w:rsidRDefault="007032B3" w:rsidP="00DB7521">
      <w:pPr>
        <w:pStyle w:val="SingleTxt"/>
        <w:jc w:val="right"/>
        <w:rPr>
          <w:lang w:val="fr-FR"/>
        </w:rPr>
      </w:pPr>
      <w:r w:rsidRPr="00A66C9F">
        <w:rPr>
          <w:lang w:val="fr-FR"/>
        </w:rPr>
        <w:t>Le Contrôleur et Auditeur général des comptes de l</w:t>
      </w:r>
      <w:r w:rsidR="00091B26" w:rsidRPr="00A66C9F">
        <w:rPr>
          <w:lang w:val="fr-FR"/>
        </w:rPr>
        <w:t>’</w:t>
      </w:r>
      <w:r w:rsidRPr="00A66C9F">
        <w:rPr>
          <w:lang w:val="fr-FR"/>
        </w:rPr>
        <w:t>Inde</w:t>
      </w:r>
      <w:r w:rsidR="001D10E9" w:rsidRPr="00A66C9F">
        <w:rPr>
          <w:lang w:val="fr-FR"/>
        </w:rPr>
        <w:br/>
      </w:r>
      <w:r w:rsidRPr="00A66C9F">
        <w:rPr>
          <w:lang w:val="fr-FR"/>
        </w:rPr>
        <w:t>(</w:t>
      </w:r>
      <w:r w:rsidRPr="00A66C9F">
        <w:rPr>
          <w:i/>
          <w:iCs/>
          <w:lang w:val="fr-FR"/>
        </w:rPr>
        <w:t>Signé</w:t>
      </w:r>
      <w:r w:rsidRPr="00A66C9F">
        <w:rPr>
          <w:lang w:val="fr-FR"/>
        </w:rPr>
        <w:t xml:space="preserve">) Rajiv </w:t>
      </w:r>
      <w:r w:rsidRPr="00A66C9F">
        <w:rPr>
          <w:b/>
          <w:bCs/>
          <w:lang w:val="fr-FR"/>
        </w:rPr>
        <w:t>Mehrishi</w:t>
      </w:r>
    </w:p>
    <w:p w14:paraId="123AFC93" w14:textId="674EAC99" w:rsidR="007032B3" w:rsidRPr="00A66C9F" w:rsidRDefault="007032B3" w:rsidP="00DB7521">
      <w:pPr>
        <w:pStyle w:val="SingleTxt"/>
        <w:spacing w:after="0" w:line="120" w:lineRule="exact"/>
        <w:rPr>
          <w:sz w:val="10"/>
          <w:lang w:val="fr-FR"/>
        </w:rPr>
      </w:pPr>
    </w:p>
    <w:p w14:paraId="127472A0" w14:textId="7AFB0E6E" w:rsidR="00E56F8B" w:rsidRPr="00A66C9F" w:rsidRDefault="007032B3" w:rsidP="00DB7521">
      <w:pPr>
        <w:pStyle w:val="SingleTxt"/>
        <w:rPr>
          <w:lang w:val="fr-FR"/>
        </w:rPr>
      </w:pPr>
      <w:r w:rsidRPr="00A66C9F">
        <w:rPr>
          <w:lang w:val="fr-FR"/>
        </w:rPr>
        <w:t>21 juillet 2020</w:t>
      </w:r>
    </w:p>
    <w:p w14:paraId="0C65820F" w14:textId="2D3B22BC" w:rsidR="007032B3" w:rsidRPr="00A66C9F" w:rsidRDefault="007032B3" w:rsidP="00DB7521">
      <w:pPr>
        <w:suppressAutoHyphens/>
        <w:spacing w:after="200" w:line="276" w:lineRule="auto"/>
        <w:rPr>
          <w:lang w:val="fr-FR"/>
        </w:rPr>
      </w:pPr>
      <w:r w:rsidRPr="00A66C9F">
        <w:rPr>
          <w:lang w:val="fr-FR"/>
        </w:rPr>
        <w:br w:type="page"/>
      </w:r>
    </w:p>
    <w:p w14:paraId="5F9FC068" w14:textId="77777777" w:rsidR="00D62B67" w:rsidRPr="00A66C9F" w:rsidRDefault="00D62B67" w:rsidP="00DB7521">
      <w:pPr>
        <w:pStyle w:val="SingleTxt"/>
        <w:tabs>
          <w:tab w:val="right" w:pos="1685"/>
        </w:tabs>
        <w:ind w:left="1742" w:hanging="475"/>
        <w:rPr>
          <w:lang w:val="fr-FR"/>
        </w:rPr>
        <w:sectPr w:rsidR="00D62B67" w:rsidRPr="00A66C9F" w:rsidSect="00100F73">
          <w:footerReference w:type="even" r:id="rId9"/>
          <w:footerReference w:type="default" r:id="rId10"/>
          <w:pgSz w:w="12240" w:h="15840"/>
          <w:pgMar w:top="1440" w:right="1080" w:bottom="1440" w:left="1080" w:header="576" w:footer="1037" w:gutter="0"/>
          <w:cols w:space="720"/>
          <w:noEndnote/>
          <w:bidi/>
          <w:rtlGutter/>
          <w:docGrid w:linePitch="360"/>
        </w:sectPr>
      </w:pPr>
    </w:p>
    <w:p w14:paraId="23B851CA" w14:textId="59D6B81E" w:rsidR="006A2B1E" w:rsidRPr="00A66C9F" w:rsidRDefault="006A2B1E" w:rsidP="006A2B1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fr-FR"/>
        </w:rPr>
      </w:pPr>
      <w:bookmarkStart w:id="4" w:name="_Hlk45033472"/>
      <w:r w:rsidRPr="00A66C9F">
        <w:rPr>
          <w:lang w:val="fr-FR"/>
        </w:rPr>
        <w:lastRenderedPageBreak/>
        <w:t>Chapitre II</w:t>
      </w:r>
    </w:p>
    <w:p w14:paraId="712688D9" w14:textId="77777777" w:rsidR="006A2B1E" w:rsidRPr="00A66C9F" w:rsidRDefault="006A2B1E" w:rsidP="006A2B1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Certification des états financiers</w:t>
      </w:r>
    </w:p>
    <w:p w14:paraId="6E5CDE32" w14:textId="77777777" w:rsidR="006A2B1E" w:rsidRPr="00A66C9F" w:rsidRDefault="006A2B1E" w:rsidP="006A2B1E">
      <w:pPr>
        <w:pStyle w:val="SingleTxt"/>
        <w:spacing w:after="0" w:line="120" w:lineRule="exact"/>
        <w:rPr>
          <w:sz w:val="10"/>
          <w:lang w:val="fr-FR"/>
        </w:rPr>
      </w:pPr>
    </w:p>
    <w:p w14:paraId="7BC51D9F" w14:textId="77777777" w:rsidR="006A2B1E" w:rsidRPr="00A66C9F" w:rsidRDefault="006A2B1E" w:rsidP="006A2B1E">
      <w:pPr>
        <w:pStyle w:val="SingleTxt"/>
        <w:spacing w:after="0" w:line="120" w:lineRule="exact"/>
        <w:rPr>
          <w:sz w:val="10"/>
          <w:lang w:val="fr-FR"/>
        </w:rPr>
      </w:pPr>
    </w:p>
    <w:p w14:paraId="540E4789" w14:textId="77777777" w:rsidR="006A2B1E" w:rsidRPr="00A66C9F" w:rsidRDefault="006A2B1E" w:rsidP="006A2B1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fr-FR"/>
        </w:rPr>
      </w:pPr>
      <w:r w:rsidRPr="00A66C9F">
        <w:rPr>
          <w:lang w:val="fr-FR"/>
        </w:rPr>
        <w:tab/>
      </w:r>
      <w:r w:rsidRPr="00A66C9F">
        <w:rPr>
          <w:lang w:val="fr-FR"/>
        </w:rPr>
        <w:tab/>
        <w:t xml:space="preserve">Lettre datée du 12 juin 2020, adressée au Président du Comité </w:t>
      </w:r>
      <w:r w:rsidRPr="00A66C9F">
        <w:rPr>
          <w:lang w:val="fr-FR"/>
        </w:rPr>
        <w:br/>
        <w:t xml:space="preserve">des commissaires aux comptes par le Directeur financier </w:t>
      </w:r>
      <w:r w:rsidRPr="00A66C9F">
        <w:rPr>
          <w:lang w:val="fr-FR"/>
        </w:rPr>
        <w:br/>
        <w:t xml:space="preserve">de la Caisse commune des pensions du personnel </w:t>
      </w:r>
      <w:r w:rsidRPr="00A66C9F">
        <w:rPr>
          <w:lang w:val="fr-FR"/>
        </w:rPr>
        <w:br/>
        <w:t>des Nations Unies</w:t>
      </w:r>
      <w:bookmarkStart w:id="5" w:name="_Toc339633480"/>
      <w:bookmarkStart w:id="6" w:name="_Toc339633815"/>
      <w:bookmarkEnd w:id="4"/>
    </w:p>
    <w:p w14:paraId="42DB2677" w14:textId="77777777" w:rsidR="006A2B1E" w:rsidRPr="00A66C9F" w:rsidRDefault="006A2B1E" w:rsidP="006A2B1E">
      <w:pPr>
        <w:pStyle w:val="SingleTxt"/>
        <w:spacing w:after="0" w:line="120" w:lineRule="exact"/>
        <w:rPr>
          <w:sz w:val="10"/>
          <w:lang w:val="fr-FR"/>
        </w:rPr>
      </w:pPr>
    </w:p>
    <w:p w14:paraId="6C5F78F2" w14:textId="77777777" w:rsidR="006A2B1E" w:rsidRPr="00A66C9F" w:rsidRDefault="006A2B1E" w:rsidP="006A2B1E">
      <w:pPr>
        <w:pStyle w:val="SingleTxt"/>
        <w:spacing w:after="0" w:line="120" w:lineRule="exact"/>
        <w:rPr>
          <w:sz w:val="10"/>
          <w:lang w:val="fr-FR"/>
        </w:rPr>
      </w:pPr>
    </w:p>
    <w:p w14:paraId="25AFD453" w14:textId="77777777" w:rsidR="006A2B1E" w:rsidRPr="00A66C9F" w:rsidRDefault="006A2B1E" w:rsidP="006A2B1E">
      <w:pPr>
        <w:pStyle w:val="SingleTxt"/>
        <w:rPr>
          <w:szCs w:val="20"/>
          <w:lang w:val="fr-FR"/>
        </w:rPr>
      </w:pPr>
      <w:r w:rsidRPr="00A66C9F">
        <w:rPr>
          <w:lang w:val="fr-FR"/>
        </w:rPr>
        <w:tab/>
        <w:t xml:space="preserve">Les états financiers de la Caisse commune des pensions du personnel des Nations Unies pour l’année terminée le 31 décembre 2019 ont été établis conformément aux Statuts, aux Règlements et au système d’ajustement des pensions de la </w:t>
      </w:r>
      <w:r w:rsidRPr="00A66C9F">
        <w:rPr>
          <w:szCs w:val="20"/>
          <w:lang w:val="fr-FR"/>
        </w:rPr>
        <w:t>Caisse</w:t>
      </w:r>
      <w:r w:rsidRPr="00A66C9F">
        <w:rPr>
          <w:rStyle w:val="FootnoteReference"/>
          <w:sz w:val="20"/>
          <w:szCs w:val="20"/>
          <w:lang w:val="fr-FR"/>
        </w:rPr>
        <w:footnoteReference w:id="1"/>
      </w:r>
      <w:r w:rsidRPr="00A66C9F">
        <w:rPr>
          <w:szCs w:val="20"/>
          <w:lang w:val="fr-FR"/>
        </w:rPr>
        <w:t>,</w:t>
      </w:r>
      <w:r w:rsidRPr="00A66C9F">
        <w:rPr>
          <w:lang w:val="fr-FR"/>
        </w:rPr>
        <w:t xml:space="preserve"> aux Normes comptables internationales pour le secteur public (normes IPSAS), publiées par le Conseil des normes comptables internationales pour le secteur public, et à la norme comptable internationale 26 (Comptabilité et rapports financiers des régimes de retraite), publiée par l’International Accounting Standards Board. Les principales méthodes comptables utilisées pour établir ces états sont récapitulées dans les notes qui les accompagnent. Celles-ci donnent des renseignements et explications complémentaires sur les activités financières de la Caisse au cours de la période considérée.</w:t>
      </w:r>
    </w:p>
    <w:p w14:paraId="65714A18" w14:textId="77777777" w:rsidR="006A2B1E" w:rsidRPr="00A66C9F" w:rsidRDefault="006A2B1E" w:rsidP="006A2B1E">
      <w:pPr>
        <w:pStyle w:val="SingleTxt"/>
        <w:rPr>
          <w:lang w:val="fr-FR"/>
        </w:rPr>
      </w:pPr>
      <w:r w:rsidRPr="00A66C9F">
        <w:rPr>
          <w:lang w:val="fr-FR"/>
        </w:rPr>
        <w:tab/>
        <w:t>Je certifie que les états financiers de la Caisse qui figurent ci-après sont corrects pour tous les éléments de caractère significatif.</w:t>
      </w:r>
    </w:p>
    <w:p w14:paraId="463461AC" w14:textId="77777777" w:rsidR="006A2B1E" w:rsidRPr="00A66C9F" w:rsidRDefault="006A2B1E" w:rsidP="006A2B1E">
      <w:pPr>
        <w:pStyle w:val="SingleTxt"/>
        <w:spacing w:after="0" w:line="120" w:lineRule="exact"/>
        <w:rPr>
          <w:sz w:val="10"/>
          <w:lang w:val="fr-FR"/>
        </w:rPr>
      </w:pPr>
    </w:p>
    <w:p w14:paraId="6293CCFD" w14:textId="77777777" w:rsidR="006A2B1E" w:rsidRPr="00A66C9F" w:rsidRDefault="006A2B1E" w:rsidP="006A2B1E">
      <w:pPr>
        <w:pStyle w:val="SingleTxt"/>
        <w:jc w:val="right"/>
        <w:rPr>
          <w:b/>
          <w:bCs/>
          <w:lang w:val="fr-FR"/>
        </w:rPr>
      </w:pPr>
      <w:r w:rsidRPr="00A66C9F">
        <w:rPr>
          <w:lang w:val="fr-FR"/>
        </w:rPr>
        <w:t>Le Directeur financier</w:t>
      </w:r>
      <w:r w:rsidRPr="00A66C9F">
        <w:rPr>
          <w:lang w:val="fr-FR"/>
        </w:rPr>
        <w:br/>
        <w:t xml:space="preserve">de la Caisse commune des pensions </w:t>
      </w:r>
      <w:r w:rsidRPr="00A66C9F">
        <w:rPr>
          <w:lang w:val="fr-FR"/>
        </w:rPr>
        <w:br/>
        <w:t>du personnel des Nations Unies</w:t>
      </w:r>
      <w:r w:rsidRPr="00A66C9F">
        <w:rPr>
          <w:lang w:val="fr-FR"/>
        </w:rPr>
        <w:br/>
        <w:t>(</w:t>
      </w:r>
      <w:r w:rsidRPr="00A66C9F">
        <w:rPr>
          <w:i/>
          <w:iCs/>
          <w:lang w:val="fr-FR"/>
        </w:rPr>
        <w:t>Signé</w:t>
      </w:r>
      <w:r w:rsidRPr="00A66C9F">
        <w:rPr>
          <w:lang w:val="fr-FR"/>
        </w:rPr>
        <w:t xml:space="preserve">) Karl-Ludwig W. </w:t>
      </w:r>
      <w:r w:rsidRPr="00A66C9F">
        <w:rPr>
          <w:b/>
          <w:bCs/>
          <w:lang w:val="fr-FR"/>
        </w:rPr>
        <w:t>Soll</w:t>
      </w:r>
      <w:bookmarkStart w:id="7" w:name="_Toc38529155"/>
    </w:p>
    <w:p w14:paraId="5B2BE704" w14:textId="77777777" w:rsidR="006A2B1E" w:rsidRPr="00A66C9F" w:rsidRDefault="006A2B1E" w:rsidP="006A2B1E">
      <w:pPr>
        <w:suppressAutoHyphens/>
        <w:spacing w:after="200" w:line="276" w:lineRule="auto"/>
        <w:rPr>
          <w:b/>
          <w:bCs/>
          <w:lang w:val="fr-FR"/>
        </w:rPr>
      </w:pPr>
      <w:r w:rsidRPr="00A66C9F">
        <w:rPr>
          <w:b/>
          <w:bCs/>
          <w:lang w:val="fr-FR"/>
        </w:rPr>
        <w:br w:type="page"/>
      </w:r>
    </w:p>
    <w:p w14:paraId="3E4A6DE1" w14:textId="77777777" w:rsidR="006A2B1E" w:rsidRPr="00A66C9F" w:rsidRDefault="006A2B1E" w:rsidP="006A2B1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fr-FR"/>
        </w:rPr>
      </w:pPr>
      <w:r w:rsidRPr="00A66C9F">
        <w:rPr>
          <w:lang w:val="fr-FR"/>
        </w:rPr>
        <w:lastRenderedPageBreak/>
        <w:tab/>
      </w:r>
      <w:r w:rsidRPr="00A66C9F">
        <w:rPr>
          <w:lang w:val="fr-FR"/>
        </w:rPr>
        <w:tab/>
        <w:t>Déclaration relative au contrôle interne pour l’année terminée le 31 décembre 2019</w:t>
      </w:r>
      <w:bookmarkEnd w:id="7"/>
    </w:p>
    <w:p w14:paraId="48661A05" w14:textId="77777777" w:rsidR="006A2B1E" w:rsidRPr="00A66C9F" w:rsidRDefault="006A2B1E" w:rsidP="006A2B1E">
      <w:pPr>
        <w:pStyle w:val="SingleTxt"/>
        <w:spacing w:after="0" w:line="120" w:lineRule="exact"/>
        <w:rPr>
          <w:sz w:val="10"/>
          <w:lang w:val="fr-FR" w:eastAsia="ko-KR"/>
        </w:rPr>
      </w:pPr>
    </w:p>
    <w:p w14:paraId="1000FE06" w14:textId="77777777" w:rsidR="006A2B1E" w:rsidRPr="00A66C9F" w:rsidRDefault="006A2B1E" w:rsidP="006A2B1E">
      <w:pPr>
        <w:pStyle w:val="SingleTxt"/>
        <w:spacing w:after="0" w:line="120" w:lineRule="exact"/>
        <w:rPr>
          <w:sz w:val="10"/>
          <w:lang w:val="fr-FR" w:eastAsia="ko-KR"/>
        </w:rPr>
      </w:pPr>
    </w:p>
    <w:p w14:paraId="111DD53E" w14:textId="77777777" w:rsidR="006A2B1E" w:rsidRPr="00A66C9F" w:rsidRDefault="006A2B1E" w:rsidP="006A2B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fr-FR"/>
        </w:rPr>
      </w:pPr>
      <w:r w:rsidRPr="00A66C9F">
        <w:rPr>
          <w:lang w:val="fr-FR"/>
        </w:rPr>
        <w:tab/>
      </w:r>
      <w:r w:rsidRPr="00A66C9F">
        <w:rPr>
          <w:lang w:val="fr-FR"/>
        </w:rPr>
        <w:tab/>
        <w:t>Responsabilités</w:t>
      </w:r>
    </w:p>
    <w:p w14:paraId="408A73AE" w14:textId="77777777" w:rsidR="006A2B1E" w:rsidRPr="00A66C9F" w:rsidRDefault="006A2B1E" w:rsidP="006A2B1E">
      <w:pPr>
        <w:pStyle w:val="SingleTxt"/>
        <w:spacing w:after="0" w:line="120" w:lineRule="exact"/>
        <w:rPr>
          <w:sz w:val="10"/>
          <w:lang w:val="fr-FR" w:eastAsia="ko-KR"/>
        </w:rPr>
      </w:pPr>
    </w:p>
    <w:p w14:paraId="1A84B0FB" w14:textId="77777777" w:rsidR="006A2B1E" w:rsidRPr="00A66C9F" w:rsidRDefault="006A2B1E" w:rsidP="006A2B1E">
      <w:pPr>
        <w:pStyle w:val="SingleTxt"/>
        <w:rPr>
          <w:lang w:val="fr-FR"/>
        </w:rPr>
      </w:pPr>
      <w:r w:rsidRPr="00A66C9F">
        <w:rPr>
          <w:lang w:val="fr-FR"/>
        </w:rPr>
        <w:tab/>
        <w:t>La Caisse commune des pensions du personnel des Nations Unies a été créée par l’Assemblée générale en 1949 pour servir des prestations de retraite, de décès et d’invalidité et des prestations connexes au personnel de l’Organisation des Nations Unies et des autres organisations internationales qui y sont affiliées. Le régime de la Caisse des pensions est un régime multiemployeur à prestations définies.</w:t>
      </w:r>
    </w:p>
    <w:p w14:paraId="6F864DB2" w14:textId="77777777" w:rsidR="006A2B1E" w:rsidRPr="00A66C9F" w:rsidRDefault="006A2B1E" w:rsidP="006A2B1E">
      <w:pPr>
        <w:pStyle w:val="SingleTxt"/>
        <w:rPr>
          <w:lang w:val="fr-FR"/>
        </w:rPr>
      </w:pPr>
      <w:r w:rsidRPr="00A66C9F">
        <w:rPr>
          <w:lang w:val="fr-FR"/>
        </w:rPr>
        <w:tab/>
        <w:t>Le Comité mixte de la Caisse commune des pensions du personnel des Nations Unies, organe subsidiaire de l’Assemblée générale, est chargé de la supervision générale de l’administration de la Caisse et veille au respect des Statuts et règlements. Il nomme un ou une Secrétaire indépendant(e), qui est chargé(e) d’une gamme complète de services de gestion de conférences et de services de secrétariat.</w:t>
      </w:r>
    </w:p>
    <w:p w14:paraId="0E5F8E91" w14:textId="77777777" w:rsidR="006A2B1E" w:rsidRPr="00A66C9F" w:rsidRDefault="006A2B1E" w:rsidP="006A2B1E">
      <w:pPr>
        <w:pStyle w:val="SingleTxt"/>
        <w:rPr>
          <w:lang w:val="fr-FR"/>
        </w:rPr>
      </w:pPr>
      <w:r w:rsidRPr="00A66C9F">
        <w:rPr>
          <w:lang w:val="fr-FR"/>
        </w:rPr>
        <w:tab/>
        <w:t>L’Administratrice des pensions assume, pour le compte du Comité mixte, la responsabilité de la supervision de l’administration des pensions. Sous la direction du Comité mixte, elle recouvre les cotisations, veille à la tenue des dossiers touchant à l’administration des pensions, ordonnance le paiement des prestations et s’occupe des autres questions liées aux participants à la Caisse et aux bénéficiaires. Elle veille également à ce que les questions actuarielles soient réglées de manière à préserver la viabilité à long terme et la santé financière de la Caisse. Jusqu’au 31 décembre 2019, l’Administrateur-Secrétaire du Comité mixte exerçait un double rôle, désormais réparti entre le Secrétaire du Comité mixte et l’Administratrice des pensions.</w:t>
      </w:r>
    </w:p>
    <w:p w14:paraId="02ED0F8B" w14:textId="77777777" w:rsidR="006A2B1E" w:rsidRPr="00A66C9F" w:rsidRDefault="006A2B1E" w:rsidP="006A2B1E">
      <w:pPr>
        <w:pStyle w:val="SingleTxt"/>
        <w:rPr>
          <w:lang w:val="fr-FR"/>
        </w:rPr>
      </w:pPr>
      <w:r w:rsidRPr="00A66C9F">
        <w:rPr>
          <w:lang w:val="fr-FR"/>
        </w:rPr>
        <w:tab/>
        <w:t>Le Secrétaire général décide du placement des avoirs de la Caisse et a délégué à son représentant pour les investissements de la Caisse commune des pensions du personnel des Nations Unies le pouvoir et la charge d’exercer en son nom ses fonctions fiduciaires en ce qui concerne les investissements de la Caisse. Celui-ci a reçu également délégation de pouvoir pour assurer la gestion et la comptabilité des investissements de la Caisse. Il exerce cette fonction et décide des investissements en consultation avec le Comité des placements et à la lumière des observations que le Comité mixte formule de temps à autre sur la politique d’investissement.</w:t>
      </w:r>
    </w:p>
    <w:p w14:paraId="5B7A0A2E" w14:textId="77777777" w:rsidR="006A2B1E" w:rsidRPr="00A66C9F" w:rsidRDefault="006A2B1E" w:rsidP="006A2B1E">
      <w:pPr>
        <w:pStyle w:val="SingleTxt"/>
        <w:rPr>
          <w:szCs w:val="20"/>
          <w:lang w:val="fr-FR"/>
        </w:rPr>
      </w:pPr>
      <w:r w:rsidRPr="00A66C9F">
        <w:rPr>
          <w:lang w:val="fr-FR"/>
        </w:rPr>
        <w:tab/>
        <w:t>L’Administratrice et le Représentant du Secrétaire général sont chargés de mettre en place et de gérer un dispositif de contrôle interne rationnel, chacun dans son domaine de responsabilité, pour veiller à la réalisation des objectifs, à l’utilisation économique des ressources, à la fiabilité et à l’intégrité de l’information, au respect des règles et règlements et à la préservation des avoirs.</w:t>
      </w:r>
    </w:p>
    <w:p w14:paraId="73E579E0" w14:textId="77777777" w:rsidR="006A2B1E" w:rsidRPr="00A66C9F" w:rsidRDefault="006A2B1E" w:rsidP="006A2B1E">
      <w:pPr>
        <w:pStyle w:val="SingleTxt"/>
        <w:spacing w:after="0" w:line="120" w:lineRule="exact"/>
        <w:rPr>
          <w:sz w:val="10"/>
          <w:lang w:val="fr-FR" w:eastAsia="ko-KR"/>
        </w:rPr>
      </w:pPr>
    </w:p>
    <w:p w14:paraId="45817E2F" w14:textId="77777777" w:rsidR="006A2B1E" w:rsidRPr="00A66C9F" w:rsidRDefault="006A2B1E" w:rsidP="006A2B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fr-FR"/>
        </w:rPr>
      </w:pPr>
      <w:r w:rsidRPr="00A66C9F">
        <w:rPr>
          <w:lang w:val="fr-FR"/>
        </w:rPr>
        <w:tab/>
      </w:r>
      <w:r w:rsidRPr="00A66C9F">
        <w:rPr>
          <w:lang w:val="fr-FR"/>
        </w:rPr>
        <w:tab/>
        <w:t>Objet du dispositif de contrôle interne</w:t>
      </w:r>
    </w:p>
    <w:p w14:paraId="13D2BC00" w14:textId="77777777" w:rsidR="006A2B1E" w:rsidRPr="00A66C9F" w:rsidRDefault="006A2B1E" w:rsidP="006A2B1E">
      <w:pPr>
        <w:pStyle w:val="SingleTxt"/>
        <w:spacing w:after="0" w:line="120" w:lineRule="exact"/>
        <w:rPr>
          <w:sz w:val="10"/>
          <w:lang w:val="fr-FR"/>
        </w:rPr>
      </w:pPr>
    </w:p>
    <w:p w14:paraId="16830732" w14:textId="77777777" w:rsidR="006A2B1E" w:rsidRPr="00A66C9F" w:rsidRDefault="006A2B1E" w:rsidP="006A2B1E">
      <w:pPr>
        <w:pStyle w:val="SingleTxt"/>
        <w:rPr>
          <w:szCs w:val="20"/>
          <w:lang w:val="fr-FR"/>
        </w:rPr>
      </w:pPr>
      <w:r w:rsidRPr="00A66C9F">
        <w:rPr>
          <w:lang w:val="fr-FR"/>
        </w:rPr>
        <w:tab/>
        <w:t>Le dispositif de contrôle interne vise à réduire et à maîtriser le risque de défaillance dans la réalisation des objectifs de la Caisse, mais non à l’éliminer, et à améliorer les résultats. Il ne peut donc offrir qu’une assurance raisonnable, au lieu d’une assurance absolue, d’efficacité. Le contrôle interne représente un effort continu, mené par les organes directeurs, les hauts responsables et le personnel de la Caisse, qui vise à donner une assurance raisonnable concernant la réalisation des objectifs de contrôle interne qui suivent :</w:t>
      </w:r>
    </w:p>
    <w:p w14:paraId="3BB7CFAC" w14:textId="77777777" w:rsidR="006A2B1E" w:rsidRPr="00A66C9F" w:rsidRDefault="006A2B1E" w:rsidP="006A2B1E">
      <w:pPr>
        <w:pStyle w:val="SingleTxt"/>
        <w:tabs>
          <w:tab w:val="right" w:pos="1685"/>
        </w:tabs>
        <w:ind w:left="1742" w:hanging="475"/>
        <w:rPr>
          <w:szCs w:val="20"/>
          <w:lang w:val="fr-FR"/>
        </w:rPr>
      </w:pPr>
      <w:r w:rsidRPr="00A66C9F">
        <w:rPr>
          <w:lang w:val="fr-FR"/>
        </w:rPr>
        <w:tab/>
        <w:t>•</w:t>
      </w:r>
      <w:r w:rsidRPr="00A66C9F">
        <w:rPr>
          <w:lang w:val="fr-FR"/>
        </w:rPr>
        <w:tab/>
        <w:t>efficacité et efficience des opérations ;</w:t>
      </w:r>
    </w:p>
    <w:p w14:paraId="15A6D067" w14:textId="77777777" w:rsidR="006A2B1E" w:rsidRPr="00A66C9F" w:rsidRDefault="006A2B1E" w:rsidP="006A2B1E">
      <w:pPr>
        <w:pStyle w:val="SingleTxt"/>
        <w:tabs>
          <w:tab w:val="right" w:pos="1685"/>
        </w:tabs>
        <w:ind w:left="1742" w:hanging="475"/>
        <w:rPr>
          <w:szCs w:val="20"/>
          <w:lang w:val="fr-FR"/>
        </w:rPr>
      </w:pPr>
      <w:r w:rsidRPr="00A66C9F">
        <w:rPr>
          <w:lang w:val="fr-FR"/>
        </w:rPr>
        <w:tab/>
        <w:t>•</w:t>
      </w:r>
      <w:r w:rsidRPr="00A66C9F">
        <w:rPr>
          <w:lang w:val="fr-FR"/>
        </w:rPr>
        <w:tab/>
        <w:t>fiabilité de l’information financière ;</w:t>
      </w:r>
    </w:p>
    <w:p w14:paraId="3B95CDDE" w14:textId="77777777" w:rsidR="006A2B1E" w:rsidRPr="00A66C9F" w:rsidRDefault="006A2B1E" w:rsidP="006A2B1E">
      <w:pPr>
        <w:pStyle w:val="SingleTxt"/>
        <w:tabs>
          <w:tab w:val="right" w:pos="1685"/>
        </w:tabs>
        <w:ind w:left="1742" w:hanging="475"/>
        <w:rPr>
          <w:szCs w:val="20"/>
          <w:lang w:val="fr-FR"/>
        </w:rPr>
      </w:pPr>
      <w:r w:rsidRPr="00A66C9F">
        <w:rPr>
          <w:lang w:val="fr-FR"/>
        </w:rPr>
        <w:tab/>
        <w:t>•</w:t>
      </w:r>
      <w:r w:rsidRPr="00A66C9F">
        <w:rPr>
          <w:lang w:val="fr-FR"/>
        </w:rPr>
        <w:tab/>
        <w:t>conformité aux règles et règlements applicables.</w:t>
      </w:r>
    </w:p>
    <w:p w14:paraId="7D079E4D" w14:textId="77777777" w:rsidR="006A2B1E" w:rsidRPr="00A66C9F" w:rsidRDefault="006A2B1E" w:rsidP="006A2B1E">
      <w:pPr>
        <w:pStyle w:val="SingleTxt"/>
        <w:rPr>
          <w:szCs w:val="20"/>
          <w:lang w:val="fr-FR"/>
        </w:rPr>
      </w:pPr>
      <w:r w:rsidRPr="00A66C9F">
        <w:rPr>
          <w:lang w:val="fr-FR"/>
        </w:rPr>
        <w:lastRenderedPageBreak/>
        <w:tab/>
        <w:t>La déclaration de la Caisse relative au contrôle interne a trait à l’objectif de fiabilité de l’information financière et porte donc uniquement sur l’efficacité des mesures prises pour contrôler cette fiabilité au 31 décembre 2019.</w:t>
      </w:r>
    </w:p>
    <w:p w14:paraId="2850FC51" w14:textId="77777777" w:rsidR="006A2B1E" w:rsidRPr="00A66C9F" w:rsidRDefault="006A2B1E" w:rsidP="006A2B1E">
      <w:pPr>
        <w:pStyle w:val="SingleTxt"/>
        <w:spacing w:after="0" w:line="120" w:lineRule="exact"/>
        <w:rPr>
          <w:sz w:val="10"/>
          <w:lang w:val="fr-FR"/>
        </w:rPr>
      </w:pPr>
    </w:p>
    <w:p w14:paraId="45EC6B25" w14:textId="77777777" w:rsidR="006A2B1E" w:rsidRPr="00A66C9F" w:rsidRDefault="006A2B1E" w:rsidP="006A2B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fr-FR"/>
        </w:rPr>
      </w:pPr>
      <w:r w:rsidRPr="00A66C9F">
        <w:rPr>
          <w:lang w:val="fr-FR"/>
        </w:rPr>
        <w:tab/>
      </w:r>
      <w:r w:rsidRPr="00A66C9F">
        <w:rPr>
          <w:lang w:val="fr-FR"/>
        </w:rPr>
        <w:tab/>
        <w:t>Capacité de gérer le risque</w:t>
      </w:r>
    </w:p>
    <w:p w14:paraId="19D73B5E" w14:textId="77777777" w:rsidR="006A2B1E" w:rsidRPr="00A66C9F" w:rsidRDefault="006A2B1E" w:rsidP="006A2B1E">
      <w:pPr>
        <w:pStyle w:val="SingleTxt"/>
        <w:spacing w:after="0" w:line="120" w:lineRule="exact"/>
        <w:rPr>
          <w:sz w:val="10"/>
          <w:lang w:val="fr-FR" w:eastAsia="ko-KR"/>
        </w:rPr>
      </w:pPr>
    </w:p>
    <w:p w14:paraId="710D3F37" w14:textId="77777777" w:rsidR="006A2B1E" w:rsidRPr="00A66C9F" w:rsidRDefault="006A2B1E" w:rsidP="006A2B1E">
      <w:pPr>
        <w:pStyle w:val="SingleTxt"/>
        <w:rPr>
          <w:lang w:val="fr-FR"/>
        </w:rPr>
      </w:pPr>
      <w:r w:rsidRPr="00A66C9F">
        <w:rPr>
          <w:lang w:val="fr-FR"/>
        </w:rPr>
        <w:tab/>
        <w:t>La Caisse a mis en place de solides mécanismes de gouvernance, de gestion et de contrôle interne et externe qui permettent de déterminer, d’évaluer, de gérer, de suivre et de signaler les risques inhérents à son activité. Elle a adopté un dispositif de gestion globale des risques qui tient compte de la nature de ses activités et de son évolution ainsi que de ses besoins propres.</w:t>
      </w:r>
    </w:p>
    <w:p w14:paraId="243F186B" w14:textId="77777777" w:rsidR="006A2B1E" w:rsidRPr="00A66C9F" w:rsidRDefault="006A2B1E" w:rsidP="006A2B1E">
      <w:pPr>
        <w:pStyle w:val="SingleTxt"/>
        <w:rPr>
          <w:lang w:val="fr-FR"/>
        </w:rPr>
      </w:pPr>
      <w:r w:rsidRPr="00A66C9F">
        <w:rPr>
          <w:lang w:val="fr-FR"/>
        </w:rPr>
        <w:tab/>
        <w:t>La Politique de contrôle interne approuvée par la Caisse en mai 2014 définit les objectifs, composantes et responsabilités en la matière ainsi qu’un système de défense à quatre niveaux axé sur : a) la gestion ; b) la gestion des risques et la conformité ; c) l’audit interne ; d) l’audit externe. Les contrôles internes de la Caisse portant sur l’information financière visent à donner une assurance raisonnable que les avoirs sont protégés, que les opérations sont dûment autorisées et comptabilisées et que les états financiers ne présentent aucune inexactitude significative.</w:t>
      </w:r>
    </w:p>
    <w:p w14:paraId="23988907" w14:textId="77777777" w:rsidR="006A2B1E" w:rsidRPr="00A66C9F" w:rsidRDefault="006A2B1E" w:rsidP="006A2B1E">
      <w:pPr>
        <w:pStyle w:val="SingleTxt"/>
        <w:spacing w:after="0" w:line="120" w:lineRule="exact"/>
        <w:rPr>
          <w:sz w:val="10"/>
          <w:lang w:val="fr-FR"/>
        </w:rPr>
      </w:pPr>
    </w:p>
    <w:p w14:paraId="2DCDA850" w14:textId="77777777" w:rsidR="006A2B1E" w:rsidRPr="00A66C9F" w:rsidRDefault="006A2B1E" w:rsidP="006A2B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fr-FR"/>
        </w:rPr>
      </w:pPr>
      <w:r w:rsidRPr="00A66C9F">
        <w:rPr>
          <w:lang w:val="fr-FR"/>
        </w:rPr>
        <w:tab/>
      </w:r>
      <w:r w:rsidRPr="00A66C9F">
        <w:rPr>
          <w:lang w:val="fr-FR"/>
        </w:rPr>
        <w:tab/>
        <w:t>Dispositif de gestion des risques et de contrôle interne de la Caisse</w:t>
      </w:r>
    </w:p>
    <w:p w14:paraId="45BEC593" w14:textId="77777777" w:rsidR="006A2B1E" w:rsidRPr="00A66C9F" w:rsidRDefault="006A2B1E" w:rsidP="006A2B1E">
      <w:pPr>
        <w:pStyle w:val="SingleTxt"/>
        <w:spacing w:after="0" w:line="120" w:lineRule="exact"/>
        <w:rPr>
          <w:sz w:val="10"/>
          <w:lang w:val="fr-FR" w:eastAsia="ko-KR"/>
        </w:rPr>
      </w:pPr>
    </w:p>
    <w:p w14:paraId="42AE814D" w14:textId="77777777" w:rsidR="006A2B1E" w:rsidRPr="00A66C9F" w:rsidRDefault="006A2B1E" w:rsidP="006A2B1E">
      <w:pPr>
        <w:pStyle w:val="SingleTxt"/>
        <w:rPr>
          <w:szCs w:val="20"/>
          <w:lang w:val="fr-FR"/>
        </w:rPr>
      </w:pPr>
      <w:r w:rsidRPr="00A66C9F">
        <w:rPr>
          <w:lang w:val="fr-FR"/>
        </w:rPr>
        <w:tab/>
        <w:t>Le dispositif de gestion globale des risques a pour objet de cerner les dangers qui pourraient menacer la Caisse et de gérer les risques qu’elle accepte de prendre. Il se compose des éléments suivants :</w:t>
      </w:r>
    </w:p>
    <w:p w14:paraId="3BA34C34" w14:textId="77777777" w:rsidR="006A2B1E" w:rsidRPr="00A66C9F" w:rsidRDefault="006A2B1E" w:rsidP="006A2B1E">
      <w:pPr>
        <w:pStyle w:val="SingleTxt"/>
        <w:rPr>
          <w:lang w:val="fr-FR"/>
        </w:rPr>
      </w:pPr>
      <w:r w:rsidRPr="00A66C9F">
        <w:rPr>
          <w:lang w:val="fr-FR"/>
        </w:rPr>
        <w:tab/>
        <w:t>a)</w:t>
      </w:r>
      <w:r w:rsidRPr="00A66C9F">
        <w:rPr>
          <w:lang w:val="fr-FR"/>
        </w:rPr>
        <w:tab/>
      </w:r>
      <w:r w:rsidRPr="00A66C9F">
        <w:rPr>
          <w:i/>
          <w:iCs/>
          <w:lang w:val="fr-FR"/>
        </w:rPr>
        <w:t>Gouvernance de la gestion des risques</w:t>
      </w:r>
      <w:r w:rsidRPr="00A66C9F">
        <w:rPr>
          <w:lang w:val="fr-FR"/>
        </w:rPr>
        <w:t>. Le Comité mixte, l’administration et le personnel de la Caisse répondent du fonctionnement du dispositif de gestion des risques et des activités y relatives. Les comités spécialisés suivants procèdent à des contrôles et conseillent le Comité mixte sur les questions touchant la gestion des risques et le contrôle interne :</w:t>
      </w:r>
    </w:p>
    <w:p w14:paraId="02AF2995" w14:textId="77777777" w:rsidR="006A2B1E" w:rsidRPr="00A66C9F" w:rsidRDefault="006A2B1E" w:rsidP="006A2B1E">
      <w:pPr>
        <w:pStyle w:val="SingleTxt"/>
        <w:ind w:left="1742" w:hanging="475"/>
        <w:rPr>
          <w:szCs w:val="20"/>
          <w:lang w:val="fr-FR"/>
        </w:rPr>
      </w:pPr>
      <w:r w:rsidRPr="00A66C9F">
        <w:rPr>
          <w:lang w:val="fr-FR"/>
        </w:rPr>
        <w:tab/>
        <w:t>i)</w:t>
      </w:r>
      <w:r w:rsidRPr="00A66C9F">
        <w:rPr>
          <w:lang w:val="fr-FR"/>
        </w:rPr>
        <w:tab/>
        <w:t>le Comité d’audit assure une supervision d’ensemble et formule des recommandations quant aux activités d’audit interne et externe et au fonctionnement du dispositif de gestion des risques et de contrôle interne ;</w:t>
      </w:r>
    </w:p>
    <w:p w14:paraId="14DADF92" w14:textId="77777777" w:rsidR="006A2B1E" w:rsidRPr="00A66C9F" w:rsidRDefault="006A2B1E" w:rsidP="006A2B1E">
      <w:pPr>
        <w:pStyle w:val="SingleTxt"/>
        <w:ind w:left="1742" w:hanging="475"/>
        <w:rPr>
          <w:lang w:val="fr-FR"/>
        </w:rPr>
      </w:pPr>
      <w:r w:rsidRPr="00A66C9F">
        <w:rPr>
          <w:lang w:val="fr-FR"/>
        </w:rPr>
        <w:tab/>
        <w:t>ii)</w:t>
      </w:r>
      <w:r w:rsidRPr="00A66C9F">
        <w:rPr>
          <w:lang w:val="fr-FR"/>
        </w:rPr>
        <w:tab/>
        <w:t>le Comité de suivi de la solvabilité de la Caisse et de la gestion actif-passif conseille le Comité mixte en ce qui concerne la gestion des risques, la politique de financement, la gestion actif-passif et la politique d’investissement ;</w:t>
      </w:r>
    </w:p>
    <w:p w14:paraId="2BBF9E7D" w14:textId="77777777" w:rsidR="006A2B1E" w:rsidRPr="00A66C9F" w:rsidRDefault="006A2B1E" w:rsidP="006A2B1E">
      <w:pPr>
        <w:pStyle w:val="SingleTxt"/>
        <w:rPr>
          <w:szCs w:val="20"/>
          <w:u w:val="single"/>
          <w:lang w:val="fr-FR"/>
        </w:rPr>
      </w:pPr>
      <w:r w:rsidRPr="00A66C9F">
        <w:rPr>
          <w:lang w:val="fr-FR"/>
        </w:rPr>
        <w:tab/>
        <w:t>b)</w:t>
      </w:r>
      <w:r w:rsidRPr="00A66C9F">
        <w:rPr>
          <w:lang w:val="fr-FR"/>
        </w:rPr>
        <w:tab/>
      </w:r>
      <w:r w:rsidRPr="00A66C9F">
        <w:rPr>
          <w:i/>
          <w:iCs/>
          <w:lang w:val="fr-FR"/>
        </w:rPr>
        <w:t>Politique de gestion globale des risques</w:t>
      </w:r>
      <w:r w:rsidRPr="00A66C9F">
        <w:rPr>
          <w:lang w:val="fr-FR"/>
        </w:rPr>
        <w:t>. Elle définit les modalités d’application du dispositif de gestion des risques dans l’ensemble de la Caisse. Elle est assortie d’une méthode précisant les étapes de la procédure de gestion des risques et les attributions de chacun ;</w:t>
      </w:r>
    </w:p>
    <w:p w14:paraId="712FDF99" w14:textId="77777777" w:rsidR="006A2B1E" w:rsidRPr="00A66C9F" w:rsidRDefault="006A2B1E" w:rsidP="006A2B1E">
      <w:pPr>
        <w:pStyle w:val="SingleTxt"/>
        <w:rPr>
          <w:lang w:val="fr-FR"/>
        </w:rPr>
      </w:pPr>
      <w:r w:rsidRPr="00A66C9F">
        <w:rPr>
          <w:lang w:val="fr-FR"/>
        </w:rPr>
        <w:tab/>
        <w:t>c)</w:t>
      </w:r>
      <w:r w:rsidRPr="00A66C9F">
        <w:rPr>
          <w:lang w:val="fr-FR"/>
        </w:rPr>
        <w:tab/>
      </w:r>
      <w:r w:rsidRPr="00A66C9F">
        <w:rPr>
          <w:i/>
          <w:iCs/>
          <w:lang w:val="fr-FR"/>
        </w:rPr>
        <w:t>Évaluation des risques</w:t>
      </w:r>
      <w:r w:rsidRPr="00A66C9F">
        <w:rPr>
          <w:lang w:val="fr-FR"/>
        </w:rPr>
        <w:t>. La Caisse procède à des évaluations périodiques, qui l’aident à définir des stratégies lui permettant de faire face aux risques majeurs auxquels elle est exposée ;</w:t>
      </w:r>
    </w:p>
    <w:p w14:paraId="54A1E7A4" w14:textId="77777777" w:rsidR="006A2B1E" w:rsidRPr="00A66C9F" w:rsidRDefault="006A2B1E" w:rsidP="006A2B1E">
      <w:pPr>
        <w:pStyle w:val="SingleTxt"/>
        <w:rPr>
          <w:szCs w:val="20"/>
          <w:lang w:val="fr-FR"/>
        </w:rPr>
      </w:pPr>
      <w:r w:rsidRPr="00A66C9F">
        <w:rPr>
          <w:lang w:val="fr-FR"/>
        </w:rPr>
        <w:tab/>
        <w:t>d)</w:t>
      </w:r>
      <w:r w:rsidRPr="00A66C9F">
        <w:rPr>
          <w:lang w:val="fr-FR"/>
        </w:rPr>
        <w:tab/>
      </w:r>
      <w:r w:rsidRPr="00A66C9F">
        <w:rPr>
          <w:i/>
          <w:iCs/>
          <w:lang w:val="fr-FR"/>
        </w:rPr>
        <w:t>Suivi des risques</w:t>
      </w:r>
      <w:r w:rsidRPr="00A66C9F">
        <w:rPr>
          <w:lang w:val="fr-FR"/>
        </w:rPr>
        <w:t>. Le Groupe de travail sur la gestion globale des risques, coprésidé par l’Administratrice de la Caisse et le Représentant du Secrétaire général, se compose de représentants de chacune des unités administratives de la Caisse ; il surveille le profil de risque de celle-ci et l’application des stratégies de gestion des risques. Les spécialistes du contrôle des risques appuient l’application du dispositif de gestion globale des risques, contribuent à l’évaluation des risques, prodiguent des conseils concernant l’application des stratégies de gestion des risques, surveillent le profil de risque de la Caisse et communiquent des informations à ce sujet ;</w:t>
      </w:r>
    </w:p>
    <w:p w14:paraId="6240708B" w14:textId="77777777" w:rsidR="006A2B1E" w:rsidRPr="00A66C9F" w:rsidRDefault="006A2B1E" w:rsidP="006A2B1E">
      <w:pPr>
        <w:pStyle w:val="SingleTxt"/>
        <w:rPr>
          <w:lang w:val="fr-FR"/>
        </w:rPr>
      </w:pPr>
      <w:r w:rsidRPr="00A66C9F">
        <w:rPr>
          <w:lang w:val="fr-FR"/>
        </w:rPr>
        <w:tab/>
        <w:t>e)</w:t>
      </w:r>
      <w:r w:rsidRPr="00A66C9F">
        <w:rPr>
          <w:lang w:val="fr-FR"/>
        </w:rPr>
        <w:tab/>
      </w:r>
      <w:r w:rsidRPr="00A66C9F">
        <w:rPr>
          <w:i/>
          <w:iCs/>
          <w:spacing w:val="2"/>
          <w:lang w:val="fr-FR"/>
        </w:rPr>
        <w:t>Évaluation des risques de fraude</w:t>
      </w:r>
      <w:r w:rsidRPr="00A66C9F">
        <w:rPr>
          <w:spacing w:val="2"/>
          <w:lang w:val="fr-FR"/>
        </w:rPr>
        <w:t xml:space="preserve">. L’administration des pensions et le Bureau de la gestion des investissements procède à l’évaluation d’ensemble des risques de </w:t>
      </w:r>
      <w:r w:rsidRPr="00A66C9F">
        <w:rPr>
          <w:spacing w:val="2"/>
          <w:lang w:val="fr-FR"/>
        </w:rPr>
        <w:lastRenderedPageBreak/>
        <w:t>fraude et s’attache à détecter les opérations frauduleuses et les risques de fraude, à évaluer la probabilité pour la Caisse d’en être victime et la gravité des dommages qui lui seraient causés le cas échéant, à évaluer les activités existantes de lutte contre la fraude et à prendre des mesures pour atténuer les risques de fraude résiduels.</w:t>
      </w:r>
    </w:p>
    <w:p w14:paraId="5D2A68E6" w14:textId="77777777" w:rsidR="006A2B1E" w:rsidRPr="00A66C9F" w:rsidRDefault="006A2B1E" w:rsidP="006A2B1E">
      <w:pPr>
        <w:pStyle w:val="SingleTxt"/>
        <w:spacing w:after="0" w:line="120" w:lineRule="exact"/>
        <w:rPr>
          <w:sz w:val="10"/>
          <w:lang w:val="fr-FR"/>
        </w:rPr>
      </w:pPr>
    </w:p>
    <w:p w14:paraId="3F0728AE" w14:textId="77777777" w:rsidR="006A2B1E" w:rsidRPr="00A66C9F" w:rsidRDefault="006A2B1E" w:rsidP="006A2B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fr-FR"/>
        </w:rPr>
      </w:pPr>
      <w:r w:rsidRPr="00A66C9F">
        <w:rPr>
          <w:lang w:val="fr-FR"/>
        </w:rPr>
        <w:tab/>
      </w:r>
      <w:r w:rsidRPr="00A66C9F">
        <w:rPr>
          <w:lang w:val="fr-FR"/>
        </w:rPr>
        <w:tab/>
        <w:t>Évaluation de l’efficacité des contrôles internes portant sur l’information financière</w:t>
      </w:r>
    </w:p>
    <w:p w14:paraId="10B06EFC" w14:textId="77777777" w:rsidR="006A2B1E" w:rsidRPr="00A66C9F" w:rsidRDefault="006A2B1E" w:rsidP="006A2B1E">
      <w:pPr>
        <w:pStyle w:val="SingleTxt"/>
        <w:spacing w:after="0" w:line="120" w:lineRule="exact"/>
        <w:rPr>
          <w:sz w:val="10"/>
          <w:lang w:val="fr-FR"/>
        </w:rPr>
      </w:pPr>
    </w:p>
    <w:p w14:paraId="5B9E6FDE" w14:textId="77777777" w:rsidR="006A2B1E" w:rsidRPr="00A66C9F" w:rsidRDefault="006A2B1E" w:rsidP="006A2B1E">
      <w:pPr>
        <w:pStyle w:val="SingleTxt"/>
        <w:rPr>
          <w:lang w:val="fr-FR"/>
        </w:rPr>
      </w:pPr>
      <w:r w:rsidRPr="00A66C9F">
        <w:rPr>
          <w:lang w:val="fr-FR"/>
        </w:rPr>
        <w:tab/>
        <w:t>L’administration de la Caisse s’est fondée sur le cadre intégré de contrôle interne (</w:t>
      </w:r>
      <w:r w:rsidRPr="00A66C9F">
        <w:rPr>
          <w:i/>
          <w:iCs/>
          <w:lang w:val="fr-FR"/>
        </w:rPr>
        <w:t>Internal Control Integrated Framework</w:t>
      </w:r>
      <w:r w:rsidRPr="00A66C9F">
        <w:rPr>
          <w:lang w:val="fr-FR"/>
        </w:rPr>
        <w:t>) du Comité des organisations coparrainantes de la Commission Treadway pour évaluer ses contrôles internes de l’information financière. L’évaluation au 31 décembre 2019 a reposé sur les éléments suivants :</w:t>
      </w:r>
    </w:p>
    <w:p w14:paraId="68368BEF" w14:textId="77777777" w:rsidR="006A2B1E" w:rsidRPr="00A66C9F" w:rsidRDefault="006A2B1E" w:rsidP="006A2B1E">
      <w:pPr>
        <w:pStyle w:val="SingleTxt"/>
        <w:rPr>
          <w:lang w:val="fr-FR"/>
        </w:rPr>
      </w:pPr>
      <w:r w:rsidRPr="00A66C9F">
        <w:rPr>
          <w:lang w:val="fr-FR"/>
        </w:rPr>
        <w:tab/>
        <w:t>a)</w:t>
      </w:r>
      <w:r w:rsidRPr="00A66C9F">
        <w:rPr>
          <w:lang w:val="fr-FR"/>
        </w:rPr>
        <w:tab/>
        <w:t>la déclaration relative au contrôle interne, qui a été élaborée à l’issue des activités suivantes :</w:t>
      </w:r>
    </w:p>
    <w:p w14:paraId="0FA34C6F" w14:textId="77777777" w:rsidR="006A2B1E" w:rsidRPr="00A66C9F" w:rsidRDefault="006A2B1E" w:rsidP="006A2B1E">
      <w:pPr>
        <w:pStyle w:val="SingleTxt"/>
        <w:ind w:left="1742" w:hanging="475"/>
        <w:rPr>
          <w:lang w:val="fr-FR"/>
        </w:rPr>
      </w:pPr>
      <w:r w:rsidRPr="00A66C9F">
        <w:rPr>
          <w:lang w:val="fr-FR"/>
        </w:rPr>
        <w:tab/>
        <w:t>i)</w:t>
      </w:r>
      <w:r w:rsidRPr="00A66C9F">
        <w:rPr>
          <w:lang w:val="fr-FR"/>
        </w:rPr>
        <w:tab/>
        <w:t>réalisation d’une étude préliminaire visant à recenser les principaux comptes, procédures et informations, ainsi que les principaux services d’appui dans les domaines de l’informatique et des communications ;</w:t>
      </w:r>
    </w:p>
    <w:p w14:paraId="06B7F46D" w14:textId="77777777" w:rsidR="006A2B1E" w:rsidRPr="00A66C9F" w:rsidRDefault="006A2B1E" w:rsidP="006A2B1E">
      <w:pPr>
        <w:pStyle w:val="SingleTxt"/>
        <w:rPr>
          <w:lang w:val="fr-FR"/>
        </w:rPr>
      </w:pPr>
      <w:r w:rsidRPr="00A66C9F">
        <w:rPr>
          <w:lang w:val="fr-FR"/>
        </w:rPr>
        <w:tab/>
        <w:t>ii)</w:t>
      </w:r>
      <w:r w:rsidRPr="00A66C9F">
        <w:rPr>
          <w:lang w:val="fr-FR"/>
        </w:rPr>
        <w:tab/>
        <w:t>définition des principaux risques liés à l’information financière ;</w:t>
      </w:r>
    </w:p>
    <w:p w14:paraId="5A28B29E" w14:textId="77777777" w:rsidR="006A2B1E" w:rsidRPr="00A66C9F" w:rsidRDefault="006A2B1E" w:rsidP="006A2B1E">
      <w:pPr>
        <w:pStyle w:val="SingleTxt"/>
        <w:ind w:left="1742" w:hanging="475"/>
        <w:rPr>
          <w:lang w:val="fr-FR"/>
        </w:rPr>
      </w:pPr>
      <w:r w:rsidRPr="00A66C9F">
        <w:rPr>
          <w:lang w:val="fr-FR"/>
        </w:rPr>
        <w:tab/>
        <w:t>iii)</w:t>
      </w:r>
      <w:r w:rsidRPr="00A66C9F">
        <w:rPr>
          <w:lang w:val="fr-FR"/>
        </w:rPr>
        <w:tab/>
        <w:t>recensement et description des contrôles en place par la Caisse, des principaux contrôles de l’information financière, des contrôles antifraude, des principaux dispositifs de contrôle informatique qui sous-tendent d’autres contrôles portant sur l’information financière ;</w:t>
      </w:r>
    </w:p>
    <w:p w14:paraId="66593A01" w14:textId="77777777" w:rsidR="006A2B1E" w:rsidRPr="00A66C9F" w:rsidRDefault="006A2B1E" w:rsidP="006A2B1E">
      <w:pPr>
        <w:pStyle w:val="SingleTxt"/>
        <w:ind w:left="1742" w:hanging="475"/>
        <w:rPr>
          <w:color w:val="000000" w:themeColor="text1"/>
          <w:szCs w:val="20"/>
          <w:lang w:val="fr-FR"/>
        </w:rPr>
      </w:pPr>
      <w:r w:rsidRPr="00A66C9F">
        <w:rPr>
          <w:lang w:val="fr-FR"/>
        </w:rPr>
        <w:tab/>
        <w:t>iv)</w:t>
      </w:r>
      <w:r w:rsidRPr="00A66C9F">
        <w:rPr>
          <w:lang w:val="fr-FR"/>
        </w:rPr>
        <w:tab/>
        <w:t>test de l’efficacité opérationnelle des principaux contrôles de l’information financière et des contrôles antifraude auxquels procède l’administration de la Caisse ;</w:t>
      </w:r>
    </w:p>
    <w:p w14:paraId="081313B4" w14:textId="77777777" w:rsidR="006A2B1E" w:rsidRPr="00A66C9F" w:rsidRDefault="006A2B1E" w:rsidP="006A2B1E">
      <w:pPr>
        <w:pStyle w:val="SingleTxt"/>
        <w:rPr>
          <w:lang w:val="fr-FR"/>
        </w:rPr>
      </w:pPr>
      <w:r w:rsidRPr="00A66C9F">
        <w:rPr>
          <w:lang w:val="fr-FR"/>
        </w:rPr>
        <w:tab/>
        <w:t>b)</w:t>
      </w:r>
      <w:r w:rsidRPr="00A66C9F">
        <w:rPr>
          <w:lang w:val="fr-FR"/>
        </w:rPr>
        <w:tab/>
        <w:t>les lettres de certification relatives à l’efficacité des contrôles internes de l’information financière sont signées par les hauts fonctionnaires de l’administration des pensions et du Bureau de la gestion des investissements. Ces fonctionnaires savent qu’il leur incombe de contrôler régulièrement l’information financière et de signaler toute anomalie ;</w:t>
      </w:r>
    </w:p>
    <w:p w14:paraId="5EE7A3F9" w14:textId="77777777" w:rsidR="006A2B1E" w:rsidRPr="00A66C9F" w:rsidRDefault="006A2B1E" w:rsidP="006A2B1E">
      <w:pPr>
        <w:pStyle w:val="SingleTxt"/>
        <w:rPr>
          <w:lang w:val="fr-FR"/>
        </w:rPr>
      </w:pPr>
      <w:r w:rsidRPr="00A66C9F">
        <w:rPr>
          <w:lang w:val="fr-FR"/>
        </w:rPr>
        <w:tab/>
        <w:t>c)</w:t>
      </w:r>
      <w:r w:rsidRPr="00A66C9F">
        <w:rPr>
          <w:lang w:val="fr-FR"/>
        </w:rPr>
        <w:tab/>
        <w:t>un auditeur indépendant a procédé à un audit des contrôles exécutés par la banque Northern Trust, comptable centralisateur et dépositaire des investissements de la Caisse. Cet audit a été mené conformément aux normes établies par l’American Institute of Certified Public Accountants et le Conseil des normes internationales d’audit et d’assurance. Il en est ressorti que, pour tous les éléments significatifs, les contrôles étaient correctement conçus et concouraient efficacement à donner l’assurance raisonnable que leurs objectifs seraient atteints ;</w:t>
      </w:r>
    </w:p>
    <w:p w14:paraId="778A8183" w14:textId="77777777" w:rsidR="006A2B1E" w:rsidRPr="00A66C9F" w:rsidRDefault="006A2B1E" w:rsidP="006A2B1E">
      <w:pPr>
        <w:pStyle w:val="SingleTxt"/>
        <w:rPr>
          <w:rFonts w:eastAsia="MS Mincho"/>
          <w:spacing w:val="2"/>
          <w:szCs w:val="20"/>
          <w:lang w:val="fr-FR"/>
        </w:rPr>
      </w:pPr>
      <w:r w:rsidRPr="00A66C9F">
        <w:rPr>
          <w:lang w:val="fr-FR"/>
        </w:rPr>
        <w:tab/>
        <w:t>d)</w:t>
      </w:r>
      <w:r w:rsidRPr="00A66C9F">
        <w:rPr>
          <w:lang w:val="fr-FR"/>
        </w:rPr>
        <w:tab/>
      </w:r>
      <w:r w:rsidRPr="00A66C9F">
        <w:rPr>
          <w:spacing w:val="2"/>
          <w:lang w:val="fr-FR"/>
        </w:rPr>
        <w:t>en avril 2016, l’administration des pensions a obtenu pour le Système intégré d’administration des pensions la certification ISO 27001 (norme de gestion de la sécurité de l’information) ; cette certification était valable trois ans, jusqu’en mars 2019. Un audit de surveillance mené en 2018 a permis de conclure que les mécanismes de sécurisation de l’information fonctionnaient comme prévu et répondaient aux impératifs énoncés dans la norme. Depuis, la Caisse a suspendu l’audit de surveillance annuel, le temps d’obtenir la certification ISO 27701 (norme de gestion de la sécurité du traitement des données personnelles), ce qui élargirait la portée de ses contrôles de sécurité aux informations personnelles identifiables. En attendant que le marché soit passé pour les nouveaux services de certification ISO, elle continue d’appliquer et d’actualiser les contrôles ayant obtenu une certification ISO 27001 ;</w:t>
      </w:r>
    </w:p>
    <w:p w14:paraId="17977AAD" w14:textId="77777777" w:rsidR="006A2B1E" w:rsidRPr="00A66C9F" w:rsidRDefault="006A2B1E" w:rsidP="006A2B1E">
      <w:pPr>
        <w:pStyle w:val="SingleTxt"/>
        <w:rPr>
          <w:rFonts w:eastAsia="MS Mincho"/>
          <w:szCs w:val="20"/>
          <w:lang w:val="fr-FR"/>
        </w:rPr>
      </w:pPr>
      <w:r w:rsidRPr="00A66C9F">
        <w:rPr>
          <w:lang w:val="fr-FR"/>
        </w:rPr>
        <w:tab/>
        <w:t>e)</w:t>
      </w:r>
      <w:r w:rsidRPr="00A66C9F">
        <w:rPr>
          <w:lang w:val="fr-FR"/>
        </w:rPr>
        <w:tab/>
        <w:t xml:space="preserve">un auditeur indépendant a procédé à un audit de type II, selon la Norme internationale relative aux missions d’assurance (ISAE) 3402, du dispositif de contrôle interne du Centre international de calcul des Nations Unies. Il s’agissait de </w:t>
      </w:r>
      <w:r w:rsidRPr="00A66C9F">
        <w:rPr>
          <w:lang w:val="fr-FR"/>
        </w:rPr>
        <w:lastRenderedPageBreak/>
        <w:t>déterminer si les contrôles étaient conçus correctement et appliqués efficacement. La conclusion du rapport d’audit pour 2019 est une opinion sans réserve ;</w:t>
      </w:r>
    </w:p>
    <w:p w14:paraId="2949EA88" w14:textId="77777777" w:rsidR="006A2B1E" w:rsidRPr="00A66C9F" w:rsidRDefault="006A2B1E" w:rsidP="006A2B1E">
      <w:pPr>
        <w:pStyle w:val="SingleTxt"/>
        <w:rPr>
          <w:lang w:val="fr-FR"/>
        </w:rPr>
      </w:pPr>
      <w:r w:rsidRPr="00A66C9F">
        <w:rPr>
          <w:lang w:val="fr-FR"/>
        </w:rPr>
        <w:tab/>
        <w:t>f)</w:t>
      </w:r>
      <w:r w:rsidRPr="00A66C9F">
        <w:rPr>
          <w:lang w:val="fr-FR"/>
        </w:rPr>
        <w:tab/>
        <w:t>le Comité d’audit a examiné les constatations d’audit formulées par le Bureau des services de contrôle interne (BSCI) et le Comité des commissaires aux comptes et reçu des informations concernant la suite donnée aux recommandations des auditeurs. Il s’est réuni périodiquement avec le Représentant du Secrétaire général, l’Administratrice des pensions, le Directeur financier, les spécialistes du contrôle des risques et de la conformité et les auditeurs internes et externes ;</w:t>
      </w:r>
    </w:p>
    <w:p w14:paraId="13B73947" w14:textId="77777777" w:rsidR="006A2B1E" w:rsidRPr="00A66C9F" w:rsidRDefault="006A2B1E" w:rsidP="006A2B1E">
      <w:pPr>
        <w:pStyle w:val="SingleTxt"/>
        <w:rPr>
          <w:lang w:val="fr-FR"/>
        </w:rPr>
      </w:pPr>
      <w:r w:rsidRPr="00A66C9F">
        <w:rPr>
          <w:lang w:val="fr-FR"/>
        </w:rPr>
        <w:tab/>
        <w:t>g)</w:t>
      </w:r>
      <w:r w:rsidRPr="00A66C9F">
        <w:rPr>
          <w:lang w:val="fr-FR"/>
        </w:rPr>
        <w:tab/>
        <w:t>conformément à son mandat, le BSCI a certifié que les contrôles internes étaient adaptés et efficacement mis en œuvre. Dans le cadre d’un plan d’audit axé sur le risque approuvé par le Comité d’audit, il a procédé à des audits afin de s’assurer de l’efficacité des contrôles internes et de déceler d’éventuelles insuffisances. L’Administratrice et le Représentant du Secrétaire général ont pris les mesures voulues, chacun dans son domaine de responsabilité, pour donner suite aux recommandations issues de ces audits internes ;</w:t>
      </w:r>
    </w:p>
    <w:p w14:paraId="771D1269" w14:textId="77777777" w:rsidR="006A2B1E" w:rsidRPr="00A66C9F" w:rsidRDefault="006A2B1E" w:rsidP="006A2B1E">
      <w:pPr>
        <w:pStyle w:val="SingleTxt"/>
        <w:rPr>
          <w:lang w:val="fr-FR"/>
        </w:rPr>
      </w:pPr>
      <w:r w:rsidRPr="00A66C9F">
        <w:rPr>
          <w:lang w:val="fr-FR"/>
        </w:rPr>
        <w:tab/>
        <w:t>h)</w:t>
      </w:r>
      <w:r w:rsidRPr="00A66C9F">
        <w:rPr>
          <w:lang w:val="fr-FR"/>
        </w:rPr>
        <w:tab/>
      </w:r>
      <w:r w:rsidRPr="00A66C9F">
        <w:rPr>
          <w:spacing w:val="2"/>
          <w:lang w:val="fr-FR"/>
        </w:rPr>
        <w:t>conformément à son mandat, le Comité des commissaires aux comptes a effectué un examen indépendant des contrôles internes et des états financiers de la Caisse en appliquant les contrôles et procédures qu’il jugeait nécessaires pour émettre une opinion dans son rapport d’audit annuel. Il a pu consulter librement l’ensemble des documents comptables et des données connexes et s’entretenir avec l’administration et le Comité d’audit de toute constatation touchant l’intégrité et la fiabilité de l’information financière. Le rapport d’audit externe accompagne les états financiers.</w:t>
      </w:r>
    </w:p>
    <w:p w14:paraId="31583A22" w14:textId="77777777" w:rsidR="006A2B1E" w:rsidRPr="00A66C9F" w:rsidRDefault="006A2B1E" w:rsidP="006A2B1E">
      <w:pPr>
        <w:pStyle w:val="SingleTxt"/>
        <w:spacing w:after="0" w:line="120" w:lineRule="exact"/>
        <w:rPr>
          <w:sz w:val="10"/>
          <w:lang w:val="fr-FR"/>
        </w:rPr>
      </w:pPr>
    </w:p>
    <w:p w14:paraId="20BB0B16" w14:textId="77777777" w:rsidR="006A2B1E" w:rsidRPr="00A66C9F" w:rsidRDefault="006A2B1E" w:rsidP="006A2B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fr-FR"/>
        </w:rPr>
      </w:pPr>
      <w:r w:rsidRPr="00A66C9F">
        <w:rPr>
          <w:lang w:val="fr-FR"/>
        </w:rPr>
        <w:tab/>
      </w:r>
      <w:r w:rsidRPr="00A66C9F">
        <w:rPr>
          <w:lang w:val="fr-FR"/>
        </w:rPr>
        <w:tab/>
        <w:t>Questions substantielles soulevées par les contrôles internes au cours de l’année</w:t>
      </w:r>
    </w:p>
    <w:p w14:paraId="42A51193" w14:textId="77777777" w:rsidR="006A2B1E" w:rsidRPr="00A66C9F" w:rsidRDefault="006A2B1E" w:rsidP="006A2B1E">
      <w:pPr>
        <w:pStyle w:val="SingleTxt"/>
        <w:spacing w:after="0" w:line="120" w:lineRule="exact"/>
        <w:rPr>
          <w:sz w:val="10"/>
          <w:lang w:val="fr-FR"/>
        </w:rPr>
      </w:pPr>
    </w:p>
    <w:p w14:paraId="51A01249" w14:textId="77777777" w:rsidR="006A2B1E" w:rsidRPr="00A66C9F" w:rsidRDefault="006A2B1E" w:rsidP="006A2B1E">
      <w:pPr>
        <w:pStyle w:val="SingleTxt"/>
        <w:rPr>
          <w:szCs w:val="20"/>
          <w:lang w:val="fr-FR"/>
        </w:rPr>
      </w:pPr>
      <w:r w:rsidRPr="00A66C9F">
        <w:rPr>
          <w:lang w:val="fr-FR"/>
        </w:rPr>
        <w:tab/>
        <w:t>La déclaration relative au contrôle interne pour l’année terminée le 31 décembre 2019 fait ressortir plusieurs facteurs importants ayant eu une incidence sur les contrôles internes menés au cours de la période considérée, à savoir :</w:t>
      </w:r>
    </w:p>
    <w:p w14:paraId="04EA6B37" w14:textId="26179FBB" w:rsidR="006A2B1E" w:rsidRPr="00A66C9F" w:rsidRDefault="006A2B1E" w:rsidP="006A2B1E">
      <w:pPr>
        <w:pStyle w:val="SingleTxt"/>
        <w:rPr>
          <w:lang w:val="fr-FR"/>
        </w:rPr>
      </w:pPr>
      <w:r w:rsidRPr="00A66C9F">
        <w:rPr>
          <w:lang w:val="fr-FR"/>
        </w:rPr>
        <w:tab/>
        <w:t>a)</w:t>
      </w:r>
      <w:r w:rsidRPr="00A66C9F">
        <w:rPr>
          <w:lang w:val="fr-FR"/>
        </w:rPr>
        <w:tab/>
        <w:t xml:space="preserve">à sa soixante-sixième session, en juillet 2019, le Comité mixte a créé un poste distinct pour son secrétaire. À sa soixante-quatorzième session, l’Assemblée générale a adopté la résolution </w:t>
      </w:r>
      <w:hyperlink r:id="rId11" w:history="1">
        <w:r w:rsidRPr="00A66C9F">
          <w:rPr>
            <w:rStyle w:val="Hyperlink"/>
            <w:lang w:val="fr-FR"/>
          </w:rPr>
          <w:t>74/263</w:t>
        </w:r>
      </w:hyperlink>
      <w:r w:rsidRPr="00A66C9F">
        <w:rPr>
          <w:lang w:val="fr-FR"/>
        </w:rPr>
        <w:t>, dans laquelle elle a notamment souligné que le Secrétaire du Comité mixte était pleinement indépendant de l’Administratrice des pensions et du Représentant du Secrétaire général et rendrait compte directement au Comité mixte, tout en bénéficiant, en fonction des besoins, du soutien administratif de l’administration des pensions et du Bureau de la gestion des investissements ;</w:t>
      </w:r>
    </w:p>
    <w:p w14:paraId="301FD7A7" w14:textId="77777777" w:rsidR="006A2B1E" w:rsidRPr="00A66C9F" w:rsidRDefault="006A2B1E" w:rsidP="006A2B1E">
      <w:pPr>
        <w:pStyle w:val="SingleTxt"/>
        <w:rPr>
          <w:lang w:val="fr-FR"/>
        </w:rPr>
      </w:pPr>
      <w:r w:rsidRPr="00A66C9F">
        <w:rPr>
          <w:lang w:val="fr-FR"/>
        </w:rPr>
        <w:tab/>
        <w:t>b)</w:t>
      </w:r>
      <w:r w:rsidRPr="00A66C9F">
        <w:rPr>
          <w:lang w:val="fr-FR"/>
        </w:rPr>
        <w:tab/>
        <w:t>l’administration des pensions a été victime d’une cyberattaque le 26 octobre 2019. Les mesures de détection et de correction ont été immédiatement activées et aucune donnée n’a été perdue. Avec le concours d’un cabinet spécialisé dans la cybersécurité, la Caisse a procédé à tous les tests et validations techniques nécessaires et s’est dotée de mesures de protection. L’attaque n’a pas eu de conséquences notables sur les services essentiels ni d’incidence financière. La Caisse a renforcé ses mécanismes de contrôle pour prévenir et détecter d’éventuelles cyberattaques. Les mesures de sécurité supplémentaires, y compris l’organisation de cours de sensibilisation à intervalles réguliers, continuent de s’appliquer ;</w:t>
      </w:r>
    </w:p>
    <w:p w14:paraId="50A0DDC3" w14:textId="77777777" w:rsidR="006A2B1E" w:rsidRPr="00A66C9F" w:rsidRDefault="006A2B1E" w:rsidP="006A2B1E">
      <w:pPr>
        <w:pStyle w:val="SingleTxt"/>
        <w:rPr>
          <w:lang w:val="fr-FR"/>
        </w:rPr>
      </w:pPr>
      <w:r w:rsidRPr="00A66C9F">
        <w:rPr>
          <w:lang w:val="fr-FR"/>
        </w:rPr>
        <w:tab/>
        <w:t>c)</w:t>
      </w:r>
      <w:r w:rsidRPr="00A66C9F">
        <w:rPr>
          <w:lang w:val="fr-FR"/>
        </w:rPr>
        <w:tab/>
        <w:t>l’instabilité des marchés financiers au premier trimestre de 2020 a eu des conséquences sur les avoirs de la Caisse, mais les effets du ralentissement du marché ont été atténués par les bons résultats obtenus par la Caisse en 2019. La Caisse dispose de liquidités suffisantes et le paiement des prestations ne devrait pas être perturbé.</w:t>
      </w:r>
    </w:p>
    <w:p w14:paraId="46684F3E" w14:textId="77777777" w:rsidR="006A2B1E" w:rsidRPr="00A66C9F" w:rsidRDefault="006A2B1E" w:rsidP="006A2B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fr-FR"/>
        </w:rPr>
      </w:pPr>
      <w:r w:rsidRPr="00A66C9F">
        <w:rPr>
          <w:lang w:val="fr-FR"/>
        </w:rPr>
        <w:tab/>
      </w:r>
      <w:r w:rsidRPr="00A66C9F">
        <w:rPr>
          <w:lang w:val="fr-FR"/>
        </w:rPr>
        <w:tab/>
        <w:t>Déclaration</w:t>
      </w:r>
    </w:p>
    <w:p w14:paraId="2AB4C95A" w14:textId="77777777" w:rsidR="006A2B1E" w:rsidRPr="00A66C9F" w:rsidRDefault="006A2B1E" w:rsidP="006A2B1E">
      <w:pPr>
        <w:pStyle w:val="SingleTxt"/>
        <w:spacing w:after="0" w:line="120" w:lineRule="exact"/>
        <w:rPr>
          <w:sz w:val="10"/>
          <w:lang w:val="fr-FR"/>
        </w:rPr>
      </w:pPr>
    </w:p>
    <w:p w14:paraId="749D54A3" w14:textId="77777777" w:rsidR="006A2B1E" w:rsidRPr="00A66C9F" w:rsidRDefault="006A2B1E" w:rsidP="006A2B1E">
      <w:pPr>
        <w:pStyle w:val="SingleTxt"/>
        <w:rPr>
          <w:szCs w:val="20"/>
          <w:lang w:val="fr-FR"/>
        </w:rPr>
      </w:pPr>
      <w:r w:rsidRPr="00A66C9F">
        <w:rPr>
          <w:lang w:val="fr-FR"/>
        </w:rPr>
        <w:tab/>
        <w:t xml:space="preserve">Il existe des limites inhérentes à l’efficacité de tout contrôle interne, y compris la possibilité qu’une erreur humaine se produise ou que les règles soient contournées. </w:t>
      </w:r>
      <w:r w:rsidRPr="00A66C9F">
        <w:rPr>
          <w:lang w:val="fr-FR"/>
        </w:rPr>
        <w:lastRenderedPageBreak/>
        <w:t>En conséquence, tout dispositif de contrôle interne, aussi efficace soit-il, ne peut procurer qu’une assurance raisonnable, et non une assurance absolue. De plus, l’évolution de la situation fait que l’efficacité des contrôles internes peut varier au fil du temps.</w:t>
      </w:r>
    </w:p>
    <w:p w14:paraId="52C4F457" w14:textId="77777777" w:rsidR="006A2B1E" w:rsidRPr="00A66C9F" w:rsidRDefault="006A2B1E" w:rsidP="006A2B1E">
      <w:pPr>
        <w:pStyle w:val="SingleTxt"/>
        <w:rPr>
          <w:szCs w:val="20"/>
          <w:lang w:val="fr-FR"/>
        </w:rPr>
      </w:pPr>
      <w:r w:rsidRPr="00A66C9F">
        <w:rPr>
          <w:lang w:val="fr-FR"/>
        </w:rPr>
        <w:tab/>
        <w:t>Nous sommes déterminés, chacun dans les limites de notre domaine de responsabilité, à remédier à toute insuffisance des contrôles internes de l’information financière constatée au cours de l’année et à améliorer en permanence le dispositif en place.</w:t>
      </w:r>
    </w:p>
    <w:p w14:paraId="68DE82A6" w14:textId="77777777" w:rsidR="006A2B1E" w:rsidRPr="00A66C9F" w:rsidRDefault="006A2B1E" w:rsidP="006A2B1E">
      <w:pPr>
        <w:pStyle w:val="SingleTxt"/>
        <w:rPr>
          <w:lang w:val="fr-FR"/>
        </w:rPr>
      </w:pPr>
      <w:r w:rsidRPr="00A66C9F">
        <w:rPr>
          <w:lang w:val="fr-FR"/>
        </w:rPr>
        <w:tab/>
        <w:t>Compte tenu de ce qui précède, nous concluons, sur la base de nos connaissances et des informations dont nous disposons, qu’il n’existe pas, dans nos domaines de responsabilité, pour l’année terminée le 31 décembre 2019, de graves insuffisances, qui empêcheraient les auditeurs externes d’émettre une opinion sans réserve sur les états financiers de la Caisse ou qui mériteraient d’être signalées dans le présent document.</w:t>
      </w:r>
    </w:p>
    <w:p w14:paraId="3B46FA5D" w14:textId="77777777" w:rsidR="006A2B1E" w:rsidRPr="00A66C9F" w:rsidRDefault="006A2B1E" w:rsidP="006A2B1E">
      <w:pPr>
        <w:pStyle w:val="SingleTxt"/>
        <w:spacing w:after="0" w:line="120" w:lineRule="exact"/>
        <w:rPr>
          <w:sz w:val="10"/>
          <w:lang w:val="fr-FR"/>
        </w:rPr>
      </w:pPr>
    </w:p>
    <w:p w14:paraId="2CFF9661" w14:textId="77777777" w:rsidR="006A2B1E" w:rsidRPr="00A66C9F" w:rsidRDefault="006A2B1E" w:rsidP="006A2B1E">
      <w:pPr>
        <w:pStyle w:val="SingleTxt"/>
        <w:jc w:val="right"/>
        <w:rPr>
          <w:szCs w:val="20"/>
          <w:lang w:val="fr-FR"/>
        </w:rPr>
      </w:pPr>
      <w:r w:rsidRPr="00A66C9F">
        <w:rPr>
          <w:lang w:val="fr-FR"/>
        </w:rPr>
        <w:t>L’Administratrice des pensions</w:t>
      </w:r>
      <w:r w:rsidRPr="00A66C9F">
        <w:rPr>
          <w:lang w:val="fr-FR"/>
        </w:rPr>
        <w:br/>
        <w:t xml:space="preserve">de la Caisse commune des pensions </w:t>
      </w:r>
      <w:r w:rsidRPr="00A66C9F">
        <w:rPr>
          <w:lang w:val="fr-FR"/>
        </w:rPr>
        <w:br/>
        <w:t>du personnel des Nations Unies</w:t>
      </w:r>
      <w:r w:rsidRPr="00A66C9F">
        <w:rPr>
          <w:lang w:val="fr-FR"/>
        </w:rPr>
        <w:br/>
        <w:t>(</w:t>
      </w:r>
      <w:r w:rsidRPr="00A66C9F">
        <w:rPr>
          <w:i/>
          <w:iCs/>
          <w:lang w:val="fr-FR"/>
        </w:rPr>
        <w:t>Signé</w:t>
      </w:r>
      <w:r w:rsidRPr="00A66C9F">
        <w:rPr>
          <w:lang w:val="fr-FR"/>
        </w:rPr>
        <w:t xml:space="preserve">) Rosemarie </w:t>
      </w:r>
      <w:r w:rsidRPr="00A66C9F">
        <w:rPr>
          <w:b/>
          <w:bCs/>
          <w:lang w:val="fr-FR"/>
        </w:rPr>
        <w:t>McClean</w:t>
      </w:r>
    </w:p>
    <w:p w14:paraId="6438E3D9" w14:textId="77777777" w:rsidR="006A2B1E" w:rsidRPr="00A66C9F" w:rsidRDefault="006A2B1E" w:rsidP="006A2B1E">
      <w:pPr>
        <w:pStyle w:val="SingleTxt"/>
        <w:jc w:val="right"/>
        <w:rPr>
          <w:lang w:val="fr-FR"/>
        </w:rPr>
      </w:pPr>
      <w:r w:rsidRPr="00A66C9F">
        <w:rPr>
          <w:lang w:val="fr-FR"/>
        </w:rPr>
        <w:t>Le Représentant par intérim du Secrétaire général</w:t>
      </w:r>
      <w:r w:rsidRPr="00A66C9F">
        <w:rPr>
          <w:lang w:val="fr-FR"/>
        </w:rPr>
        <w:br/>
        <w:t xml:space="preserve">pour les investissements de la Caisse commune </w:t>
      </w:r>
      <w:r w:rsidRPr="00A66C9F">
        <w:rPr>
          <w:lang w:val="fr-FR"/>
        </w:rPr>
        <w:br/>
        <w:t>des pensions du personnel des Nations Unies</w:t>
      </w:r>
      <w:r w:rsidRPr="00A66C9F">
        <w:rPr>
          <w:lang w:val="fr-FR"/>
        </w:rPr>
        <w:br/>
        <w:t>(</w:t>
      </w:r>
      <w:r w:rsidRPr="00A66C9F">
        <w:rPr>
          <w:i/>
          <w:iCs/>
          <w:lang w:val="fr-FR"/>
        </w:rPr>
        <w:t>Signé</w:t>
      </w:r>
      <w:r w:rsidRPr="00A66C9F">
        <w:rPr>
          <w:lang w:val="fr-FR"/>
        </w:rPr>
        <w:t xml:space="preserve">) Pedro </w:t>
      </w:r>
      <w:r w:rsidRPr="00A66C9F">
        <w:rPr>
          <w:b/>
          <w:bCs/>
          <w:lang w:val="fr-FR"/>
        </w:rPr>
        <w:t>Guazo</w:t>
      </w:r>
    </w:p>
    <w:p w14:paraId="7589E926" w14:textId="77777777" w:rsidR="006A2B1E" w:rsidRPr="00A66C9F" w:rsidRDefault="006A2B1E" w:rsidP="006A2B1E">
      <w:pPr>
        <w:pStyle w:val="SingleTxt"/>
        <w:spacing w:after="0" w:line="120" w:lineRule="exact"/>
        <w:rPr>
          <w:sz w:val="10"/>
          <w:lang w:val="fr-FR"/>
        </w:rPr>
      </w:pPr>
    </w:p>
    <w:p w14:paraId="46C25788" w14:textId="77777777" w:rsidR="006A2B1E" w:rsidRPr="00A66C9F" w:rsidRDefault="006A2B1E" w:rsidP="006A2B1E">
      <w:pPr>
        <w:pStyle w:val="SingleTxt"/>
        <w:jc w:val="left"/>
        <w:rPr>
          <w:szCs w:val="20"/>
          <w:lang w:val="fr-FR"/>
        </w:rPr>
      </w:pPr>
      <w:r w:rsidRPr="00A66C9F">
        <w:rPr>
          <w:lang w:val="fr-FR"/>
        </w:rPr>
        <w:t>Le 24 avril 2020</w:t>
      </w:r>
      <w:r w:rsidRPr="00A66C9F">
        <w:rPr>
          <w:lang w:val="fr-FR"/>
        </w:rPr>
        <w:br/>
        <w:t>New York</w:t>
      </w:r>
    </w:p>
    <w:p w14:paraId="28A4D8A5" w14:textId="77777777" w:rsidR="006A2B1E" w:rsidRPr="00A66C9F" w:rsidRDefault="006A2B1E" w:rsidP="006A2B1E">
      <w:pPr>
        <w:pStyle w:val="SingleTxt"/>
        <w:rPr>
          <w:lang w:val="fr-FR"/>
        </w:rPr>
      </w:pPr>
    </w:p>
    <w:p w14:paraId="5717FC6B" w14:textId="77777777" w:rsidR="006A2B1E" w:rsidRPr="00A66C9F" w:rsidRDefault="006A2B1E" w:rsidP="006A2B1E">
      <w:pPr>
        <w:suppressAutoHyphens/>
        <w:rPr>
          <w:szCs w:val="20"/>
          <w:lang w:val="fr-FR"/>
        </w:rPr>
      </w:pPr>
      <w:r w:rsidRPr="00A66C9F">
        <w:rPr>
          <w:szCs w:val="20"/>
          <w:lang w:val="fr-FR"/>
        </w:rPr>
        <w:br w:type="page"/>
      </w:r>
    </w:p>
    <w:p w14:paraId="4E3B83D7" w14:textId="5CE2B895" w:rsidR="006A2B1E" w:rsidRPr="00A66C9F" w:rsidRDefault="006A2B1E" w:rsidP="006A2B1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8" w:name="_Toc455145302"/>
      <w:bookmarkStart w:id="9" w:name="_Toc38529157"/>
      <w:bookmarkEnd w:id="5"/>
      <w:bookmarkEnd w:id="6"/>
      <w:r w:rsidRPr="00A66C9F">
        <w:rPr>
          <w:lang w:val="fr-FR"/>
        </w:rPr>
        <w:lastRenderedPageBreak/>
        <w:t>Chapitre I</w:t>
      </w:r>
      <w:r w:rsidR="002B3B17">
        <w:rPr>
          <w:lang w:val="fr-FR"/>
        </w:rPr>
        <w:t>II</w:t>
      </w:r>
    </w:p>
    <w:p w14:paraId="5C3DA951" w14:textId="77777777" w:rsidR="006A2B1E" w:rsidRPr="00A66C9F" w:rsidRDefault="006A2B1E" w:rsidP="006A2B1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fr-FR"/>
        </w:rPr>
      </w:pPr>
      <w:r w:rsidRPr="00A66C9F">
        <w:rPr>
          <w:lang w:val="fr-FR"/>
        </w:rPr>
        <w:tab/>
      </w:r>
      <w:r w:rsidRPr="00A66C9F">
        <w:rPr>
          <w:lang w:val="fr-FR"/>
        </w:rPr>
        <w:tab/>
        <w:t>Aperçu de la situation financière</w:t>
      </w:r>
    </w:p>
    <w:p w14:paraId="44957CF0" w14:textId="77777777" w:rsidR="006A2B1E" w:rsidRPr="00A66C9F" w:rsidRDefault="006A2B1E" w:rsidP="006A2B1E">
      <w:pPr>
        <w:pStyle w:val="SingleTxt"/>
        <w:spacing w:after="0" w:line="120" w:lineRule="exact"/>
        <w:rPr>
          <w:sz w:val="10"/>
          <w:lang w:val="fr-FR"/>
        </w:rPr>
      </w:pPr>
    </w:p>
    <w:p w14:paraId="35E6EE56" w14:textId="77777777" w:rsidR="006A2B1E" w:rsidRPr="00A66C9F" w:rsidRDefault="006A2B1E" w:rsidP="006A2B1E">
      <w:pPr>
        <w:pStyle w:val="SingleTxt"/>
        <w:spacing w:after="0" w:line="120" w:lineRule="exact"/>
        <w:rPr>
          <w:sz w:val="10"/>
          <w:lang w:val="fr-FR"/>
        </w:rPr>
      </w:pPr>
    </w:p>
    <w:p w14:paraId="77522956" w14:textId="77777777" w:rsidR="006A2B1E" w:rsidRPr="00A66C9F" w:rsidRDefault="006A2B1E" w:rsidP="006A2B1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t>A.</w:t>
      </w:r>
      <w:r w:rsidRPr="00A66C9F">
        <w:rPr>
          <w:lang w:val="fr-FR"/>
        </w:rPr>
        <w:tab/>
        <w:t>Introduction</w:t>
      </w:r>
      <w:bookmarkEnd w:id="8"/>
      <w:bookmarkEnd w:id="9"/>
    </w:p>
    <w:p w14:paraId="2608CF1D" w14:textId="77777777" w:rsidR="006A2B1E" w:rsidRPr="00A66C9F" w:rsidRDefault="006A2B1E" w:rsidP="006A2B1E">
      <w:pPr>
        <w:pStyle w:val="SingleTxt"/>
        <w:spacing w:after="0" w:line="120" w:lineRule="exact"/>
        <w:rPr>
          <w:sz w:val="10"/>
          <w:lang w:val="fr-FR"/>
        </w:rPr>
      </w:pPr>
    </w:p>
    <w:p w14:paraId="3AFE6394" w14:textId="77777777" w:rsidR="006A2B1E" w:rsidRPr="00A66C9F" w:rsidRDefault="006A2B1E" w:rsidP="006A2B1E">
      <w:pPr>
        <w:pStyle w:val="SingleTxt"/>
        <w:spacing w:after="0" w:line="120" w:lineRule="exact"/>
        <w:rPr>
          <w:sz w:val="10"/>
          <w:lang w:val="fr-FR"/>
        </w:rPr>
      </w:pPr>
    </w:p>
    <w:p w14:paraId="4C3EE8A6" w14:textId="77777777" w:rsidR="006A2B1E" w:rsidRPr="00A66C9F" w:rsidRDefault="006A2B1E" w:rsidP="006A2B1E">
      <w:pPr>
        <w:pStyle w:val="SingleTxt"/>
        <w:numPr>
          <w:ilvl w:val="0"/>
          <w:numId w:val="9"/>
        </w:numPr>
        <w:tabs>
          <w:tab w:val="num" w:pos="2804"/>
        </w:tabs>
        <w:spacing w:line="240" w:lineRule="exact"/>
        <w:ind w:left="1267"/>
        <w:rPr>
          <w:szCs w:val="20"/>
          <w:lang w:val="fr-FR"/>
        </w:rPr>
      </w:pPr>
      <w:r w:rsidRPr="00A66C9F">
        <w:rPr>
          <w:lang w:val="fr-FR"/>
        </w:rPr>
        <w:t>La Caisse commune des pensions du personnel des Nations Unies a été créée par l’Assemblée générale en 1949 pour servir des prestations de retraite, de décès et d’invalidité et des prestations connexes au personnel de l’Organisation des Nations Unies et des autres organisations internationales qui y sont affiliées. Le régime de la Caisse des pensions est un régime multiemployeur à prestations définies. Au 31 décembre 2019, 24 organisations y étaient affiliées. Toutes les organisations affiliées ainsi que leurs employés versent à la Caisse des cotisations dont le montant est déterminé en fonction de la rémunération considérée aux fins de la pension. Le taux de cotisation est fixé à 7,9 % pour les participants et à 15,8 % pour les employeurs.</w:t>
      </w:r>
    </w:p>
    <w:p w14:paraId="247017E0" w14:textId="77777777" w:rsidR="006A2B1E" w:rsidRPr="00A66C9F" w:rsidRDefault="006A2B1E" w:rsidP="006A2B1E">
      <w:pPr>
        <w:pStyle w:val="SingleTxt"/>
        <w:numPr>
          <w:ilvl w:val="0"/>
          <w:numId w:val="9"/>
        </w:numPr>
        <w:tabs>
          <w:tab w:val="num" w:pos="2804"/>
        </w:tabs>
        <w:spacing w:line="240" w:lineRule="exact"/>
        <w:ind w:left="1267"/>
        <w:rPr>
          <w:szCs w:val="20"/>
          <w:lang w:val="fr-FR"/>
        </w:rPr>
      </w:pPr>
      <w:r w:rsidRPr="00A66C9F">
        <w:rPr>
          <w:lang w:val="fr-FR"/>
        </w:rPr>
        <w:t>Le Comité mixte de la Caisse commune des pensions du personnel des Nations Unies, organe subsidiaire de l’Assemblée générale, est chargé de la supervision générale de l’administration de la Caisse et veille au respect des Statuts et règlements. Il nomme un ou une Secrétaire indépendant(e), qui est chargé(e) d’une gamme complète de services de gestion de conférences et de services de secrétariat. Les attributions du Secrétaire du Comité mixte sont distinctes de celles touchant les divers aspects de la gestion, de l’administration et des investissements de la Caisse. Le Secrétaire relève directement du Comité mixte.</w:t>
      </w:r>
    </w:p>
    <w:p w14:paraId="7B50B19B" w14:textId="77777777" w:rsidR="006A2B1E" w:rsidRPr="00A66C9F" w:rsidRDefault="006A2B1E" w:rsidP="006A2B1E">
      <w:pPr>
        <w:pStyle w:val="SingleTxt"/>
        <w:numPr>
          <w:ilvl w:val="0"/>
          <w:numId w:val="9"/>
        </w:numPr>
        <w:tabs>
          <w:tab w:val="num" w:pos="2804"/>
        </w:tabs>
        <w:spacing w:line="240" w:lineRule="exact"/>
        <w:ind w:left="1267"/>
        <w:rPr>
          <w:lang w:val="fr-FR"/>
        </w:rPr>
      </w:pPr>
      <w:r w:rsidRPr="00A66C9F">
        <w:rPr>
          <w:lang w:val="fr-FR"/>
        </w:rPr>
        <w:t>L’Administratrice des pensions est nommée par le Secrétaire général sur recommandation du Comité mixte.</w:t>
      </w:r>
    </w:p>
    <w:p w14:paraId="61BA8137" w14:textId="77777777" w:rsidR="006A2B1E" w:rsidRPr="00A66C9F" w:rsidRDefault="006A2B1E" w:rsidP="006A2B1E">
      <w:pPr>
        <w:pStyle w:val="SingleTxt"/>
        <w:numPr>
          <w:ilvl w:val="0"/>
          <w:numId w:val="9"/>
        </w:numPr>
        <w:tabs>
          <w:tab w:val="num" w:pos="2804"/>
        </w:tabs>
        <w:spacing w:line="240" w:lineRule="exact"/>
        <w:ind w:left="1267"/>
        <w:rPr>
          <w:szCs w:val="20"/>
          <w:lang w:val="fr-FR"/>
        </w:rPr>
      </w:pPr>
      <w:r w:rsidRPr="00A66C9F">
        <w:rPr>
          <w:lang w:val="fr-FR"/>
        </w:rPr>
        <w:t>L’Administratrice agit sous la direction du Comité mixte et assure la supervision des activités de la Caisse sur le plan administratif. Ses fonctions englobent la planification stratégique et la direction opérationnelle ; l’établissement de politiques ; l’administration des opérations et l’ordonnancement des prestations ; la gestion des risques ; la mise en application de la réglementation ; la supervision générale du personnel ; la communication avec les parties prenantes. Sous l’autorité de l’Administratrice, le personnel du secrétariat de la Caisse fournit des services d’appui technique, établit des documents de travail et donne des orientations et des conseils au Comité mixte et à ses organes subsidiaires, y compris au Comité permanent et au Comité d’actuaires. L’Administratrice exerce les fonctions de secrétaire du Comité des pensions du personnel de l’Organisation des Nations Unies. Elle participe aux réunions de la Cinquième Commission de l’Assemblée générale, du Comité consultatif pour les questions administratives et budgétaires, de la Commission de la fonction publique internationale et de tout autre organe pertinent. Conformément à l’alinéa b) de l’article 7 des Statuts de la Caisse, en l’absence de l’Administratrice, c’est l’Administrateur adjoint qui assume ces fonctions.</w:t>
      </w:r>
    </w:p>
    <w:p w14:paraId="4AFC0933" w14:textId="77777777" w:rsidR="006A2B1E" w:rsidRPr="00A66C9F" w:rsidRDefault="006A2B1E" w:rsidP="006A2B1E">
      <w:pPr>
        <w:pStyle w:val="SingleTxt"/>
        <w:numPr>
          <w:ilvl w:val="0"/>
          <w:numId w:val="9"/>
        </w:numPr>
        <w:tabs>
          <w:tab w:val="num" w:pos="2804"/>
        </w:tabs>
        <w:spacing w:line="240" w:lineRule="exact"/>
        <w:ind w:left="1267"/>
        <w:rPr>
          <w:lang w:val="fr-FR"/>
        </w:rPr>
      </w:pPr>
      <w:r w:rsidRPr="00A66C9F">
        <w:rPr>
          <w:lang w:val="fr-FR"/>
        </w:rPr>
        <w:t>Jusqu’au 31 décembre 2019, l’Administrateur-Secrétaire du Comité mixte exerçait un double rôle, désormais réparti entre le Secrétaire du Comité mixte et l’Administratrice des pensions.</w:t>
      </w:r>
    </w:p>
    <w:p w14:paraId="41F9CAC9" w14:textId="77777777" w:rsidR="006A2B1E" w:rsidRPr="00A66C9F" w:rsidRDefault="006A2B1E" w:rsidP="006A2B1E">
      <w:pPr>
        <w:pStyle w:val="SingleTxt"/>
        <w:numPr>
          <w:ilvl w:val="0"/>
          <w:numId w:val="9"/>
        </w:numPr>
        <w:tabs>
          <w:tab w:val="num" w:pos="2804"/>
        </w:tabs>
        <w:spacing w:line="240" w:lineRule="exact"/>
        <w:ind w:left="1267"/>
        <w:rPr>
          <w:szCs w:val="20"/>
          <w:lang w:val="fr-FR"/>
        </w:rPr>
      </w:pPr>
      <w:r w:rsidRPr="00A66C9F">
        <w:rPr>
          <w:lang w:val="fr-FR"/>
        </w:rPr>
        <w:t xml:space="preserve">Le Secrétaire général prend les décisions relatives au placement des avoirs de la Caisse, après avoir consulté le Comité des placements et à la lumière des éventuelles observations et propositions du Comité mixte concernant la politique d’investissement. Il a délégué à son représentant pour les investissements de la Caisse commune des pensions du personnel des Nations Unies le pouvoir et la charge d’exercer en son nom ses fonctions fiduciaires en ce qui concerne les investissements de la Caisse. Le Représentant prend les dispositions voulues pour assurer la tenue de </w:t>
      </w:r>
      <w:r w:rsidRPr="00A66C9F">
        <w:rPr>
          <w:lang w:val="fr-FR"/>
        </w:rPr>
        <w:lastRenderedPageBreak/>
        <w:t>comptes détaillés de tous les placements et autres opérations concernant la Caisse ; ces comptes et opérations peuvent être examinés par le Comité mixte.</w:t>
      </w:r>
    </w:p>
    <w:p w14:paraId="26E55205" w14:textId="77777777" w:rsidR="006A2B1E" w:rsidRPr="00A66C9F" w:rsidRDefault="006A2B1E" w:rsidP="006A2B1E">
      <w:pPr>
        <w:pStyle w:val="SingleTxt"/>
        <w:spacing w:after="0" w:line="120" w:lineRule="exact"/>
        <w:rPr>
          <w:sz w:val="10"/>
          <w:lang w:val="fr-FR"/>
        </w:rPr>
      </w:pPr>
    </w:p>
    <w:p w14:paraId="46884ADB" w14:textId="77777777" w:rsidR="006A2B1E" w:rsidRPr="00A66C9F" w:rsidRDefault="006A2B1E" w:rsidP="006A2B1E">
      <w:pPr>
        <w:pStyle w:val="SingleTxt"/>
        <w:spacing w:after="0" w:line="120" w:lineRule="exact"/>
        <w:rPr>
          <w:sz w:val="10"/>
          <w:lang w:val="fr-FR"/>
        </w:rPr>
      </w:pPr>
    </w:p>
    <w:p w14:paraId="75AC8082" w14:textId="77777777" w:rsidR="006A2B1E" w:rsidRPr="00A66C9F" w:rsidRDefault="006A2B1E" w:rsidP="006A2B1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fr-FR"/>
        </w:rPr>
      </w:pPr>
      <w:bookmarkStart w:id="10" w:name="_Toc38529158"/>
      <w:r w:rsidRPr="00A66C9F">
        <w:rPr>
          <w:lang w:val="fr-FR"/>
        </w:rPr>
        <w:tab/>
        <w:t>B.</w:t>
      </w:r>
      <w:r w:rsidRPr="00A66C9F">
        <w:rPr>
          <w:lang w:val="fr-FR"/>
        </w:rPr>
        <w:tab/>
        <w:t>Résultats financiers</w:t>
      </w:r>
      <w:bookmarkEnd w:id="10"/>
    </w:p>
    <w:p w14:paraId="75CAE9F8" w14:textId="77777777" w:rsidR="006A2B1E" w:rsidRPr="00A66C9F" w:rsidRDefault="006A2B1E" w:rsidP="006A2B1E">
      <w:pPr>
        <w:pStyle w:val="SingleTxt"/>
        <w:spacing w:after="0" w:line="120" w:lineRule="exact"/>
        <w:rPr>
          <w:sz w:val="10"/>
          <w:lang w:val="fr-FR"/>
        </w:rPr>
      </w:pPr>
    </w:p>
    <w:p w14:paraId="047EBAEB" w14:textId="77777777" w:rsidR="006A2B1E" w:rsidRPr="00A66C9F" w:rsidRDefault="006A2B1E" w:rsidP="006A2B1E">
      <w:pPr>
        <w:pStyle w:val="SingleTxt"/>
        <w:spacing w:after="0" w:line="120" w:lineRule="exact"/>
        <w:rPr>
          <w:sz w:val="10"/>
          <w:lang w:val="fr-FR"/>
        </w:rPr>
      </w:pPr>
    </w:p>
    <w:p w14:paraId="0CD58B89" w14:textId="77777777" w:rsidR="006A2B1E" w:rsidRPr="00A66C9F" w:rsidRDefault="006A2B1E" w:rsidP="006A2B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Variation de l’actif net disponible pour le versement des prestations</w:t>
      </w:r>
    </w:p>
    <w:p w14:paraId="7756C927" w14:textId="77777777" w:rsidR="006A2B1E" w:rsidRPr="00A66C9F" w:rsidRDefault="006A2B1E" w:rsidP="006A2B1E">
      <w:pPr>
        <w:pStyle w:val="SingleTxt"/>
        <w:spacing w:after="0" w:line="120" w:lineRule="exact"/>
        <w:rPr>
          <w:sz w:val="10"/>
          <w:lang w:val="fr-FR"/>
        </w:rPr>
      </w:pPr>
    </w:p>
    <w:p w14:paraId="576FDAD2" w14:textId="77777777" w:rsidR="006A2B1E" w:rsidRPr="00A66C9F" w:rsidRDefault="006A2B1E" w:rsidP="006A2B1E">
      <w:pPr>
        <w:pStyle w:val="SingleTxt"/>
        <w:numPr>
          <w:ilvl w:val="0"/>
          <w:numId w:val="9"/>
        </w:numPr>
        <w:tabs>
          <w:tab w:val="num" w:pos="2804"/>
        </w:tabs>
        <w:spacing w:line="240" w:lineRule="exact"/>
        <w:ind w:left="1267"/>
        <w:rPr>
          <w:szCs w:val="20"/>
          <w:lang w:val="fr-FR"/>
        </w:rPr>
      </w:pPr>
      <w:r w:rsidRPr="00A66C9F">
        <w:rPr>
          <w:lang w:val="fr-FR"/>
        </w:rPr>
        <w:t>L’actif net disponible pour le règlement des prestations pour l’année terminée le 31 décembre 2019 a augmenté de 11 258,5 millions de dollars (alors qu’il avait diminué de 3 589,9 millions de dollars en 2018), situation qui tient principalement aux revenus des investissements dégagés pendant l’année.</w:t>
      </w:r>
    </w:p>
    <w:p w14:paraId="792A9BA7" w14:textId="77777777" w:rsidR="006A2B1E" w:rsidRPr="00A66C9F" w:rsidRDefault="006A2B1E" w:rsidP="006A2B1E">
      <w:pPr>
        <w:pStyle w:val="SingleTxt"/>
        <w:numPr>
          <w:ilvl w:val="0"/>
          <w:numId w:val="9"/>
        </w:numPr>
        <w:tabs>
          <w:tab w:val="num" w:pos="2804"/>
        </w:tabs>
        <w:spacing w:line="240" w:lineRule="exact"/>
        <w:ind w:left="1267"/>
        <w:rPr>
          <w:szCs w:val="20"/>
          <w:lang w:val="fr-FR"/>
        </w:rPr>
      </w:pPr>
      <w:r w:rsidRPr="00A66C9F">
        <w:rPr>
          <w:lang w:val="fr-FR"/>
        </w:rPr>
        <w:t>En 2019, ces revenus se sont chiffrés à 11 362,3 millions de dollars (contre une perte de 3 306,5 millions de dollars en 2018). Le montant obtenu s’explique principalement par une variation nette de la juste valeur des investissements évaluée à 10 009,8 millions de dollars et par des dividendes chiffrés à 918,5 millions de dollars et des intérêts créditeurs de 518,8 millions de dollars. La différence de 14 668,8 millions de dollars par rapport à 2018 s’explique principalement par la variation de la valeur des actifs financiers comptabilisés à la juste valeur.</w:t>
      </w:r>
    </w:p>
    <w:p w14:paraId="72A24F0D" w14:textId="77777777" w:rsidR="006A2B1E" w:rsidRPr="00A66C9F" w:rsidRDefault="006A2B1E" w:rsidP="006A2B1E">
      <w:pPr>
        <w:pStyle w:val="SingleTxt"/>
        <w:numPr>
          <w:ilvl w:val="0"/>
          <w:numId w:val="9"/>
        </w:numPr>
        <w:tabs>
          <w:tab w:val="num" w:pos="2804"/>
        </w:tabs>
        <w:spacing w:line="240" w:lineRule="exact"/>
        <w:ind w:left="1267"/>
        <w:rPr>
          <w:szCs w:val="20"/>
          <w:lang w:val="fr-FR"/>
        </w:rPr>
      </w:pPr>
      <w:r w:rsidRPr="00A66C9F">
        <w:rPr>
          <w:lang w:val="fr-FR"/>
        </w:rPr>
        <w:t>Les cotisations pour 2019 se sont élevées à 2 688,9 millions de dollars – 890,4 millions de dollars versés par les participants, 1 771,3 millions versés par les organisations affiliées et 27,2 millions de provenances diverses –, contre 2 457,2 millions de dollars en 2018, ce qui représente une augmentation de 231,7 millions de dollars (9,4 %) par rapport à 2018.</w:t>
      </w:r>
    </w:p>
    <w:p w14:paraId="57BF8973" w14:textId="77777777" w:rsidR="006A2B1E" w:rsidRPr="00A66C9F" w:rsidRDefault="006A2B1E" w:rsidP="006A2B1E">
      <w:pPr>
        <w:pStyle w:val="SingleTxt"/>
        <w:numPr>
          <w:ilvl w:val="0"/>
          <w:numId w:val="9"/>
        </w:numPr>
        <w:tabs>
          <w:tab w:val="num" w:pos="2804"/>
        </w:tabs>
        <w:spacing w:line="240" w:lineRule="exact"/>
        <w:ind w:left="1267"/>
        <w:rPr>
          <w:lang w:val="fr-FR"/>
        </w:rPr>
      </w:pPr>
      <w:r w:rsidRPr="00A66C9F">
        <w:rPr>
          <w:lang w:val="fr-FR"/>
        </w:rPr>
        <w:t>Les prestations versées en 2019 se sont établies à 2 700,0 millions de dollars, contre 2 669,6 millions de dollars en 2018, ce qui représente une augmentation de 30,4 millions de dollars (1,1 %) par rapport à 2018.</w:t>
      </w:r>
    </w:p>
    <w:p w14:paraId="6A08F7FC" w14:textId="77777777" w:rsidR="006A2B1E" w:rsidRPr="00A66C9F" w:rsidRDefault="006A2B1E" w:rsidP="006A2B1E">
      <w:pPr>
        <w:pStyle w:val="SingleTxt"/>
        <w:numPr>
          <w:ilvl w:val="0"/>
          <w:numId w:val="9"/>
        </w:numPr>
        <w:tabs>
          <w:tab w:val="num" w:pos="2804"/>
        </w:tabs>
        <w:spacing w:line="240" w:lineRule="exact"/>
        <w:ind w:left="1267"/>
        <w:rPr>
          <w:szCs w:val="20"/>
          <w:lang w:val="fr-FR"/>
        </w:rPr>
      </w:pPr>
      <w:r w:rsidRPr="00A66C9F">
        <w:rPr>
          <w:lang w:val="fr-FR"/>
        </w:rPr>
        <w:t>Les dépenses d’administration pour 2019 se sont élevées à 91,8 millions de dollars, contre 70,1 millions de dollars en 2018, ce qui représente une hausse de 21,7 millions de dollars (31,0 %), qui s’explique principalement par les variations des engagements au titre des avantages postérieurs à l’emploi, notamment pour ce qui est de l’assurance maladie après la cessation de service (19,3 millions de dollars).</w:t>
      </w:r>
    </w:p>
    <w:p w14:paraId="751E7E5F" w14:textId="77777777" w:rsidR="006A2B1E" w:rsidRPr="00A66C9F" w:rsidRDefault="006A2B1E" w:rsidP="006A2B1E">
      <w:pPr>
        <w:pStyle w:val="SingleTxt"/>
        <w:spacing w:after="0" w:line="120" w:lineRule="exact"/>
        <w:rPr>
          <w:sz w:val="10"/>
          <w:lang w:val="fr-FR"/>
        </w:rPr>
      </w:pPr>
    </w:p>
    <w:p w14:paraId="2DE2FE12" w14:textId="77777777" w:rsidR="006A2B1E" w:rsidRPr="00A66C9F" w:rsidRDefault="006A2B1E" w:rsidP="006A2B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État de l’actif net disponible pour le versement des prestations</w:t>
      </w:r>
    </w:p>
    <w:p w14:paraId="7839C03E" w14:textId="77777777" w:rsidR="006A2B1E" w:rsidRPr="00A66C9F" w:rsidRDefault="006A2B1E" w:rsidP="006A2B1E">
      <w:pPr>
        <w:pStyle w:val="SingleTxt"/>
        <w:spacing w:after="0" w:line="120" w:lineRule="exact"/>
        <w:rPr>
          <w:sz w:val="10"/>
          <w:lang w:val="fr-FR"/>
        </w:rPr>
      </w:pPr>
    </w:p>
    <w:p w14:paraId="5A910435" w14:textId="77777777" w:rsidR="006A2B1E" w:rsidRPr="00A66C9F" w:rsidRDefault="006A2B1E" w:rsidP="006A2B1E">
      <w:pPr>
        <w:pStyle w:val="SingleTxt"/>
        <w:numPr>
          <w:ilvl w:val="0"/>
          <w:numId w:val="9"/>
        </w:numPr>
        <w:tabs>
          <w:tab w:val="num" w:pos="2804"/>
        </w:tabs>
        <w:spacing w:line="240" w:lineRule="exact"/>
        <w:ind w:left="1267"/>
        <w:rPr>
          <w:szCs w:val="20"/>
          <w:lang w:val="fr-FR"/>
        </w:rPr>
      </w:pPr>
      <w:r w:rsidRPr="00A66C9F">
        <w:rPr>
          <w:lang w:val="fr-FR"/>
        </w:rPr>
        <w:t>L’actif net disponible pour le versement des prestations était de 72 034,5 millions de dollars au 31 décembre 2019, contre 60 776,0 millions de dollars en 2018, ce qui représente une progression de 11 258,5 millions de dollars (18,5 %).</w:t>
      </w:r>
    </w:p>
    <w:p w14:paraId="085B3E7F" w14:textId="77777777" w:rsidR="006A2B1E" w:rsidRPr="00A66C9F" w:rsidRDefault="006A2B1E" w:rsidP="006A2B1E">
      <w:pPr>
        <w:pStyle w:val="SingleTxt"/>
        <w:numPr>
          <w:ilvl w:val="0"/>
          <w:numId w:val="9"/>
        </w:numPr>
        <w:tabs>
          <w:tab w:val="num" w:pos="2804"/>
        </w:tabs>
        <w:spacing w:line="240" w:lineRule="exact"/>
        <w:ind w:left="1267"/>
        <w:rPr>
          <w:lang w:val="fr-FR"/>
        </w:rPr>
      </w:pPr>
      <w:r w:rsidRPr="00A66C9F">
        <w:rPr>
          <w:lang w:val="fr-FR"/>
        </w:rPr>
        <w:t>Le montant de la trésorerie et des équivalents de trésorerie s’élevait à 436,4 millions de dollars au 31 décembre 2019, contre 564,9 millions en 2018, ce qui représente une diminution de 128,5 millions de dollars (22,7 %).</w:t>
      </w:r>
    </w:p>
    <w:p w14:paraId="2F794E6D" w14:textId="77777777" w:rsidR="006A2B1E" w:rsidRPr="00A66C9F" w:rsidRDefault="006A2B1E" w:rsidP="006A2B1E">
      <w:pPr>
        <w:pStyle w:val="SingleTxt"/>
        <w:numPr>
          <w:ilvl w:val="0"/>
          <w:numId w:val="9"/>
        </w:numPr>
        <w:tabs>
          <w:tab w:val="num" w:pos="2804"/>
        </w:tabs>
        <w:spacing w:line="240" w:lineRule="exact"/>
        <w:ind w:left="1267"/>
        <w:rPr>
          <w:lang w:val="fr-FR"/>
        </w:rPr>
      </w:pPr>
      <w:r w:rsidRPr="00A66C9F">
        <w:rPr>
          <w:lang w:val="fr-FR"/>
        </w:rPr>
        <w:t>La juste valeur des placements s’établissait à 71 550,0 millions de dollars au 31 décembre 2019, contre 60 309,8 millions de dollars en 2018, ce qui représente une progression de 11 240,2 millions de dollars (18,6 %). On trouvera plus d’informations sur les catégories d’investissement au 31 décembre 2019 et au 31 décembre 2018 ci</w:t>
      </w:r>
      <w:r w:rsidRPr="00A66C9F">
        <w:rPr>
          <w:lang w:val="fr-FR"/>
        </w:rPr>
        <w:noBreakHyphen/>
        <w:t>après :</w:t>
      </w:r>
    </w:p>
    <w:p w14:paraId="5BC27F97" w14:textId="77777777" w:rsidR="006A2B1E" w:rsidRPr="00A66C9F" w:rsidRDefault="006A2B1E" w:rsidP="006A2B1E">
      <w:pPr>
        <w:pStyle w:val="SingleTxt"/>
        <w:spacing w:after="0" w:line="120" w:lineRule="exact"/>
        <w:rPr>
          <w:sz w:val="10"/>
          <w:lang w:val="fr-FR"/>
        </w:rPr>
      </w:pPr>
    </w:p>
    <w:p w14:paraId="4FA5B572" w14:textId="77777777" w:rsidR="006A2B1E" w:rsidRPr="00A66C9F" w:rsidRDefault="006A2B1E" w:rsidP="006A2B1E">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lang w:val="fr-FR"/>
        </w:rPr>
        <w:lastRenderedPageBreak/>
        <w:tab/>
      </w:r>
      <w:r w:rsidRPr="00A66C9F">
        <w:rPr>
          <w:lang w:val="fr-FR"/>
        </w:rPr>
        <w:tab/>
      </w:r>
      <w:r w:rsidRPr="00A66C9F">
        <w:rPr>
          <w:sz w:val="14"/>
          <w:szCs w:val="14"/>
          <w:lang w:val="fr-FR"/>
        </w:rPr>
        <w:t>(En millions de dollars des États-Unis)</w:t>
      </w:r>
    </w:p>
    <w:p w14:paraId="232EBE57" w14:textId="77777777" w:rsidR="006A2B1E" w:rsidRPr="00A66C9F" w:rsidRDefault="006A2B1E" w:rsidP="006A2B1E">
      <w:pPr>
        <w:pStyle w:val="SingleTxt"/>
        <w:keepNext/>
        <w:spacing w:after="0" w:line="120" w:lineRule="exact"/>
        <w:rPr>
          <w:sz w:val="10"/>
          <w:lang w:val="fr-FR"/>
        </w:rPr>
      </w:pPr>
    </w:p>
    <w:p w14:paraId="5348E6F9" w14:textId="77777777" w:rsidR="006A2B1E" w:rsidRPr="00A66C9F" w:rsidRDefault="006A2B1E" w:rsidP="006A2B1E">
      <w:pPr>
        <w:pStyle w:val="SingleTxt"/>
        <w:keepNext/>
        <w:spacing w:after="0" w:line="120" w:lineRule="exact"/>
        <w:rPr>
          <w:sz w:val="10"/>
          <w:lang w:val="fr-FR"/>
        </w:rPr>
      </w:pPr>
    </w:p>
    <w:tbl>
      <w:tblPr>
        <w:tblW w:w="7326" w:type="dxa"/>
        <w:tblInd w:w="1260" w:type="dxa"/>
        <w:tblLayout w:type="fixed"/>
        <w:tblCellMar>
          <w:left w:w="0" w:type="dxa"/>
          <w:right w:w="0" w:type="dxa"/>
        </w:tblCellMar>
        <w:tblLook w:val="04A0" w:firstRow="1" w:lastRow="0" w:firstColumn="1" w:lastColumn="0" w:noHBand="0" w:noVBand="1"/>
      </w:tblPr>
      <w:tblGrid>
        <w:gridCol w:w="2781"/>
        <w:gridCol w:w="1278"/>
        <w:gridCol w:w="1089"/>
        <w:gridCol w:w="1089"/>
        <w:gridCol w:w="1089"/>
      </w:tblGrid>
      <w:tr w:rsidR="006A2B1E" w:rsidRPr="00A66C9F" w14:paraId="4E2BAF48" w14:textId="77777777" w:rsidTr="00107D5D">
        <w:trPr>
          <w:tblHeader/>
        </w:trPr>
        <w:tc>
          <w:tcPr>
            <w:tcW w:w="2781" w:type="dxa"/>
            <w:tcBorders>
              <w:top w:val="single" w:sz="4" w:space="0" w:color="auto"/>
              <w:bottom w:val="single" w:sz="12" w:space="0" w:color="auto"/>
            </w:tcBorders>
            <w:shd w:val="clear" w:color="auto" w:fill="auto"/>
            <w:noWrap/>
            <w:tcMar>
              <w:left w:w="0" w:type="dxa"/>
              <w:right w:w="0" w:type="dxa"/>
            </w:tcMar>
            <w:vAlign w:val="bottom"/>
            <w:hideMark/>
          </w:tcPr>
          <w:p w14:paraId="2ED1B05B" w14:textId="77777777" w:rsidR="006A2B1E" w:rsidRPr="00A66C9F" w:rsidRDefault="006A2B1E" w:rsidP="00107D5D">
            <w:pPr>
              <w:keepNext/>
              <w:suppressAutoHyphens/>
              <w:spacing w:before="81" w:after="81" w:line="160" w:lineRule="exact"/>
              <w:ind w:right="40"/>
              <w:rPr>
                <w:i/>
                <w:sz w:val="14"/>
                <w:lang w:val="fr-FR"/>
              </w:rPr>
            </w:pPr>
          </w:p>
        </w:tc>
        <w:tc>
          <w:tcPr>
            <w:tcW w:w="1278" w:type="dxa"/>
            <w:tcBorders>
              <w:top w:val="single" w:sz="4" w:space="0" w:color="auto"/>
              <w:bottom w:val="single" w:sz="12" w:space="0" w:color="auto"/>
            </w:tcBorders>
            <w:shd w:val="clear" w:color="auto" w:fill="auto"/>
            <w:noWrap/>
            <w:tcMar>
              <w:left w:w="0" w:type="dxa"/>
              <w:right w:w="0" w:type="dxa"/>
            </w:tcMar>
            <w:vAlign w:val="bottom"/>
          </w:tcPr>
          <w:p w14:paraId="3D675AFE" w14:textId="77777777" w:rsidR="006A2B1E" w:rsidRPr="00A66C9F" w:rsidRDefault="006A2B1E" w:rsidP="00107D5D">
            <w:pPr>
              <w:keepNext/>
              <w:suppressAutoHyphens/>
              <w:spacing w:before="81" w:after="81" w:line="160" w:lineRule="exact"/>
              <w:ind w:right="43"/>
              <w:jc w:val="right"/>
              <w:rPr>
                <w:i/>
                <w:sz w:val="14"/>
                <w:lang w:val="fr-FR"/>
              </w:rPr>
            </w:pPr>
            <w:r w:rsidRPr="00A66C9F">
              <w:rPr>
                <w:i/>
                <w:sz w:val="14"/>
                <w:lang w:val="fr-FR"/>
              </w:rPr>
              <w:t>Au 31 décembre 2019</w:t>
            </w:r>
          </w:p>
        </w:tc>
        <w:tc>
          <w:tcPr>
            <w:tcW w:w="1089" w:type="dxa"/>
            <w:tcBorders>
              <w:top w:val="single" w:sz="4" w:space="0" w:color="auto"/>
              <w:bottom w:val="single" w:sz="12" w:space="0" w:color="auto"/>
            </w:tcBorders>
            <w:shd w:val="clear" w:color="auto" w:fill="auto"/>
            <w:noWrap/>
            <w:tcMar>
              <w:left w:w="0" w:type="dxa"/>
              <w:right w:w="0" w:type="dxa"/>
            </w:tcMar>
            <w:vAlign w:val="bottom"/>
          </w:tcPr>
          <w:p w14:paraId="411A8423" w14:textId="77777777" w:rsidR="006A2B1E" w:rsidRPr="00A66C9F" w:rsidRDefault="006A2B1E" w:rsidP="00107D5D">
            <w:pPr>
              <w:keepNext/>
              <w:suppressAutoHyphens/>
              <w:spacing w:before="81" w:after="81" w:line="160" w:lineRule="exact"/>
              <w:ind w:right="43"/>
              <w:jc w:val="right"/>
              <w:rPr>
                <w:i/>
                <w:sz w:val="14"/>
                <w:lang w:val="fr-FR"/>
              </w:rPr>
            </w:pPr>
            <w:r w:rsidRPr="00A66C9F">
              <w:rPr>
                <w:i/>
                <w:sz w:val="14"/>
                <w:lang w:val="fr-FR"/>
              </w:rPr>
              <w:t>Au 31 décembre 2018</w:t>
            </w:r>
          </w:p>
        </w:tc>
        <w:tc>
          <w:tcPr>
            <w:tcW w:w="1089" w:type="dxa"/>
            <w:tcBorders>
              <w:top w:val="single" w:sz="4" w:space="0" w:color="auto"/>
              <w:bottom w:val="single" w:sz="12" w:space="0" w:color="auto"/>
            </w:tcBorders>
            <w:shd w:val="clear" w:color="auto" w:fill="auto"/>
            <w:noWrap/>
            <w:tcMar>
              <w:left w:w="0" w:type="dxa"/>
              <w:right w:w="0" w:type="dxa"/>
            </w:tcMar>
            <w:vAlign w:val="bottom"/>
          </w:tcPr>
          <w:p w14:paraId="314BFF98" w14:textId="77777777" w:rsidR="006A2B1E" w:rsidRPr="00A66C9F" w:rsidRDefault="006A2B1E" w:rsidP="00107D5D">
            <w:pPr>
              <w:keepNext/>
              <w:suppressAutoHyphens/>
              <w:spacing w:before="81" w:after="81" w:line="160" w:lineRule="exact"/>
              <w:ind w:right="43"/>
              <w:jc w:val="right"/>
              <w:rPr>
                <w:i/>
                <w:sz w:val="14"/>
                <w:lang w:val="fr-FR"/>
              </w:rPr>
            </w:pPr>
            <w:r w:rsidRPr="00A66C9F">
              <w:rPr>
                <w:i/>
                <w:sz w:val="14"/>
                <w:lang w:val="fr-FR"/>
              </w:rPr>
              <w:t>Variation</w:t>
            </w:r>
          </w:p>
        </w:tc>
        <w:tc>
          <w:tcPr>
            <w:tcW w:w="1089" w:type="dxa"/>
            <w:tcBorders>
              <w:top w:val="single" w:sz="4" w:space="0" w:color="auto"/>
              <w:bottom w:val="single" w:sz="12" w:space="0" w:color="auto"/>
            </w:tcBorders>
            <w:shd w:val="clear" w:color="auto" w:fill="auto"/>
            <w:noWrap/>
            <w:tcMar>
              <w:left w:w="0" w:type="dxa"/>
              <w:right w:w="0" w:type="dxa"/>
            </w:tcMar>
            <w:vAlign w:val="bottom"/>
            <w:hideMark/>
          </w:tcPr>
          <w:p w14:paraId="4B992BA1" w14:textId="77777777" w:rsidR="006A2B1E" w:rsidRPr="00A66C9F" w:rsidRDefault="006A2B1E" w:rsidP="00107D5D">
            <w:pPr>
              <w:keepNext/>
              <w:suppressAutoHyphens/>
              <w:spacing w:before="81" w:after="81" w:line="160" w:lineRule="exact"/>
              <w:ind w:right="43"/>
              <w:jc w:val="right"/>
              <w:rPr>
                <w:i/>
                <w:sz w:val="14"/>
                <w:lang w:val="fr-FR"/>
              </w:rPr>
            </w:pPr>
            <w:r w:rsidRPr="00A66C9F">
              <w:rPr>
                <w:i/>
                <w:sz w:val="14"/>
                <w:lang w:val="fr-FR"/>
              </w:rPr>
              <w:t>Pourcentage</w:t>
            </w:r>
          </w:p>
        </w:tc>
      </w:tr>
      <w:tr w:rsidR="006A2B1E" w:rsidRPr="00A66C9F" w14:paraId="38A5CF1C" w14:textId="77777777" w:rsidTr="00107D5D">
        <w:trPr>
          <w:trHeight w:hRule="exact" w:val="115"/>
          <w:tblHeader/>
        </w:trPr>
        <w:tc>
          <w:tcPr>
            <w:tcW w:w="2781" w:type="dxa"/>
            <w:tcBorders>
              <w:top w:val="single" w:sz="12" w:space="0" w:color="auto"/>
            </w:tcBorders>
            <w:shd w:val="clear" w:color="auto" w:fill="auto"/>
            <w:noWrap/>
            <w:tcMar>
              <w:left w:w="0" w:type="dxa"/>
              <w:right w:w="0" w:type="dxa"/>
            </w:tcMar>
            <w:vAlign w:val="bottom"/>
          </w:tcPr>
          <w:p w14:paraId="7CF0374B" w14:textId="77777777" w:rsidR="006A2B1E" w:rsidRPr="00A66C9F" w:rsidRDefault="006A2B1E" w:rsidP="00107D5D">
            <w:pPr>
              <w:keepNext/>
              <w:suppressAutoHyphens/>
              <w:spacing w:before="40" w:after="40" w:line="210" w:lineRule="exact"/>
              <w:ind w:right="40"/>
              <w:rPr>
                <w:sz w:val="17"/>
                <w:lang w:val="fr-FR"/>
              </w:rPr>
            </w:pPr>
          </w:p>
        </w:tc>
        <w:tc>
          <w:tcPr>
            <w:tcW w:w="1278" w:type="dxa"/>
            <w:tcBorders>
              <w:top w:val="single" w:sz="12" w:space="0" w:color="auto"/>
            </w:tcBorders>
            <w:shd w:val="clear" w:color="auto" w:fill="auto"/>
            <w:noWrap/>
            <w:tcMar>
              <w:left w:w="0" w:type="dxa"/>
              <w:right w:w="0" w:type="dxa"/>
            </w:tcMar>
            <w:vAlign w:val="bottom"/>
          </w:tcPr>
          <w:p w14:paraId="268625CB" w14:textId="77777777" w:rsidR="006A2B1E" w:rsidRPr="00A66C9F" w:rsidRDefault="006A2B1E" w:rsidP="00107D5D">
            <w:pPr>
              <w:keepNext/>
              <w:suppressAutoHyphens/>
              <w:spacing w:before="40" w:after="40" w:line="210" w:lineRule="exact"/>
              <w:ind w:right="43"/>
              <w:jc w:val="right"/>
              <w:rPr>
                <w:sz w:val="17"/>
                <w:lang w:val="fr-FR"/>
              </w:rPr>
            </w:pPr>
          </w:p>
        </w:tc>
        <w:tc>
          <w:tcPr>
            <w:tcW w:w="1089" w:type="dxa"/>
            <w:tcBorders>
              <w:top w:val="single" w:sz="12" w:space="0" w:color="auto"/>
            </w:tcBorders>
            <w:shd w:val="clear" w:color="auto" w:fill="auto"/>
            <w:noWrap/>
            <w:tcMar>
              <w:left w:w="0" w:type="dxa"/>
              <w:right w:w="0" w:type="dxa"/>
            </w:tcMar>
            <w:vAlign w:val="bottom"/>
          </w:tcPr>
          <w:p w14:paraId="0364A5CE" w14:textId="77777777" w:rsidR="006A2B1E" w:rsidRPr="00A66C9F" w:rsidRDefault="006A2B1E" w:rsidP="00107D5D">
            <w:pPr>
              <w:keepNext/>
              <w:suppressAutoHyphens/>
              <w:spacing w:before="40" w:after="40" w:line="210" w:lineRule="exact"/>
              <w:ind w:right="43"/>
              <w:jc w:val="right"/>
              <w:rPr>
                <w:sz w:val="17"/>
                <w:lang w:val="fr-FR"/>
              </w:rPr>
            </w:pPr>
          </w:p>
        </w:tc>
        <w:tc>
          <w:tcPr>
            <w:tcW w:w="1089" w:type="dxa"/>
            <w:tcBorders>
              <w:top w:val="single" w:sz="12" w:space="0" w:color="auto"/>
            </w:tcBorders>
            <w:shd w:val="clear" w:color="auto" w:fill="auto"/>
            <w:noWrap/>
            <w:tcMar>
              <w:left w:w="0" w:type="dxa"/>
              <w:right w:w="0" w:type="dxa"/>
            </w:tcMar>
            <w:vAlign w:val="bottom"/>
          </w:tcPr>
          <w:p w14:paraId="47398722" w14:textId="77777777" w:rsidR="006A2B1E" w:rsidRPr="00A66C9F" w:rsidRDefault="006A2B1E" w:rsidP="00107D5D">
            <w:pPr>
              <w:keepNext/>
              <w:suppressAutoHyphens/>
              <w:spacing w:before="40" w:after="40" w:line="210" w:lineRule="exact"/>
              <w:ind w:right="43"/>
              <w:jc w:val="right"/>
              <w:rPr>
                <w:sz w:val="17"/>
                <w:lang w:val="fr-FR"/>
              </w:rPr>
            </w:pPr>
          </w:p>
        </w:tc>
        <w:tc>
          <w:tcPr>
            <w:tcW w:w="1089" w:type="dxa"/>
            <w:tcBorders>
              <w:top w:val="single" w:sz="12" w:space="0" w:color="auto"/>
            </w:tcBorders>
            <w:shd w:val="clear" w:color="auto" w:fill="auto"/>
            <w:noWrap/>
            <w:tcMar>
              <w:left w:w="0" w:type="dxa"/>
              <w:right w:w="0" w:type="dxa"/>
            </w:tcMar>
            <w:vAlign w:val="bottom"/>
          </w:tcPr>
          <w:p w14:paraId="0501FF25" w14:textId="77777777" w:rsidR="006A2B1E" w:rsidRPr="00A66C9F" w:rsidRDefault="006A2B1E" w:rsidP="00107D5D">
            <w:pPr>
              <w:keepNext/>
              <w:suppressAutoHyphens/>
              <w:spacing w:before="40" w:after="40" w:line="210" w:lineRule="exact"/>
              <w:ind w:right="43"/>
              <w:jc w:val="right"/>
              <w:rPr>
                <w:sz w:val="17"/>
                <w:lang w:val="fr-FR"/>
              </w:rPr>
            </w:pPr>
          </w:p>
        </w:tc>
      </w:tr>
      <w:tr w:rsidR="006A2B1E" w:rsidRPr="00A66C9F" w14:paraId="7153A16C" w14:textId="77777777" w:rsidTr="00107D5D">
        <w:tc>
          <w:tcPr>
            <w:tcW w:w="2781" w:type="dxa"/>
            <w:shd w:val="clear" w:color="auto" w:fill="auto"/>
            <w:noWrap/>
            <w:tcMar>
              <w:left w:w="0" w:type="dxa"/>
              <w:right w:w="0" w:type="dxa"/>
            </w:tcMar>
            <w:vAlign w:val="bottom"/>
            <w:hideMark/>
          </w:tcPr>
          <w:p w14:paraId="4C074681" w14:textId="77777777" w:rsidR="006A2B1E" w:rsidRPr="00A66C9F" w:rsidRDefault="006A2B1E" w:rsidP="00107D5D">
            <w:pPr>
              <w:keepNext/>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Actions</w:t>
            </w:r>
          </w:p>
        </w:tc>
        <w:tc>
          <w:tcPr>
            <w:tcW w:w="1278" w:type="dxa"/>
            <w:shd w:val="clear" w:color="auto" w:fill="auto"/>
            <w:noWrap/>
            <w:tcMar>
              <w:left w:w="0" w:type="dxa"/>
              <w:right w:w="0" w:type="dxa"/>
            </w:tcMar>
            <w:vAlign w:val="bottom"/>
          </w:tcPr>
          <w:p w14:paraId="4E289AD4" w14:textId="77777777" w:rsidR="006A2B1E" w:rsidRPr="00A66C9F" w:rsidRDefault="006A2B1E" w:rsidP="00107D5D">
            <w:pPr>
              <w:keepNext/>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42 309,1</w:t>
            </w:r>
          </w:p>
        </w:tc>
        <w:tc>
          <w:tcPr>
            <w:tcW w:w="1089" w:type="dxa"/>
            <w:shd w:val="clear" w:color="auto" w:fill="auto"/>
            <w:noWrap/>
            <w:tcMar>
              <w:left w:w="0" w:type="dxa"/>
              <w:right w:w="0" w:type="dxa"/>
            </w:tcMar>
            <w:vAlign w:val="bottom"/>
            <w:hideMark/>
          </w:tcPr>
          <w:p w14:paraId="06C89A4D" w14:textId="77777777" w:rsidR="006A2B1E" w:rsidRPr="00A66C9F" w:rsidRDefault="006A2B1E" w:rsidP="00107D5D">
            <w:pPr>
              <w:keepNext/>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34 401,2</w:t>
            </w:r>
          </w:p>
        </w:tc>
        <w:tc>
          <w:tcPr>
            <w:tcW w:w="1089" w:type="dxa"/>
            <w:shd w:val="clear" w:color="auto" w:fill="auto"/>
            <w:noWrap/>
            <w:tcMar>
              <w:left w:w="0" w:type="dxa"/>
              <w:right w:w="0" w:type="dxa"/>
            </w:tcMar>
            <w:vAlign w:val="bottom"/>
          </w:tcPr>
          <w:p w14:paraId="58D422EF" w14:textId="77777777" w:rsidR="006A2B1E" w:rsidRPr="00A66C9F" w:rsidRDefault="006A2B1E" w:rsidP="00107D5D">
            <w:pPr>
              <w:keepNext/>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7 907,9</w:t>
            </w:r>
          </w:p>
        </w:tc>
        <w:tc>
          <w:tcPr>
            <w:tcW w:w="1089" w:type="dxa"/>
            <w:shd w:val="clear" w:color="auto" w:fill="auto"/>
            <w:noWrap/>
            <w:tcMar>
              <w:left w:w="0" w:type="dxa"/>
              <w:right w:w="0" w:type="dxa"/>
            </w:tcMar>
            <w:vAlign w:val="bottom"/>
          </w:tcPr>
          <w:p w14:paraId="5D4D160C" w14:textId="77777777" w:rsidR="006A2B1E" w:rsidRPr="00A66C9F" w:rsidRDefault="006A2B1E" w:rsidP="00107D5D">
            <w:pPr>
              <w:keepNext/>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23,0</w:t>
            </w:r>
          </w:p>
        </w:tc>
      </w:tr>
      <w:tr w:rsidR="006A2B1E" w:rsidRPr="00A66C9F" w14:paraId="618792E1" w14:textId="77777777" w:rsidTr="00107D5D">
        <w:tc>
          <w:tcPr>
            <w:tcW w:w="2781" w:type="dxa"/>
            <w:shd w:val="clear" w:color="auto" w:fill="auto"/>
            <w:noWrap/>
            <w:tcMar>
              <w:left w:w="0" w:type="dxa"/>
              <w:right w:w="0" w:type="dxa"/>
            </w:tcMar>
            <w:vAlign w:val="bottom"/>
            <w:hideMark/>
          </w:tcPr>
          <w:p w14:paraId="3064AEFC" w14:textId="77777777" w:rsidR="006A2B1E" w:rsidRPr="00A66C9F" w:rsidRDefault="006A2B1E" w:rsidP="00107D5D">
            <w:pPr>
              <w:keepNext/>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Valeurs à revenu fixe</w:t>
            </w:r>
          </w:p>
        </w:tc>
        <w:tc>
          <w:tcPr>
            <w:tcW w:w="1278" w:type="dxa"/>
            <w:shd w:val="clear" w:color="auto" w:fill="auto"/>
            <w:noWrap/>
            <w:tcMar>
              <w:left w:w="0" w:type="dxa"/>
              <w:right w:w="0" w:type="dxa"/>
            </w:tcMar>
            <w:vAlign w:val="bottom"/>
          </w:tcPr>
          <w:p w14:paraId="2199D20A" w14:textId="77777777" w:rsidR="006A2B1E" w:rsidRPr="00A66C9F" w:rsidRDefault="006A2B1E" w:rsidP="00107D5D">
            <w:pPr>
              <w:keepNext/>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20 412,6</w:t>
            </w:r>
          </w:p>
        </w:tc>
        <w:tc>
          <w:tcPr>
            <w:tcW w:w="1089" w:type="dxa"/>
            <w:shd w:val="clear" w:color="auto" w:fill="auto"/>
            <w:noWrap/>
            <w:tcMar>
              <w:left w:w="0" w:type="dxa"/>
              <w:right w:w="0" w:type="dxa"/>
            </w:tcMar>
            <w:vAlign w:val="bottom"/>
            <w:hideMark/>
          </w:tcPr>
          <w:p w14:paraId="251B90F7" w14:textId="77777777" w:rsidR="006A2B1E" w:rsidRPr="00A66C9F" w:rsidRDefault="006A2B1E" w:rsidP="00107D5D">
            <w:pPr>
              <w:keepNext/>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18 824,8</w:t>
            </w:r>
          </w:p>
        </w:tc>
        <w:tc>
          <w:tcPr>
            <w:tcW w:w="1089" w:type="dxa"/>
            <w:shd w:val="clear" w:color="auto" w:fill="auto"/>
            <w:noWrap/>
            <w:tcMar>
              <w:left w:w="0" w:type="dxa"/>
              <w:right w:w="0" w:type="dxa"/>
            </w:tcMar>
            <w:vAlign w:val="bottom"/>
          </w:tcPr>
          <w:p w14:paraId="2D952A93" w14:textId="77777777" w:rsidR="006A2B1E" w:rsidRPr="00A66C9F" w:rsidRDefault="006A2B1E" w:rsidP="00107D5D">
            <w:pPr>
              <w:keepNext/>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1 587,8</w:t>
            </w:r>
          </w:p>
        </w:tc>
        <w:tc>
          <w:tcPr>
            <w:tcW w:w="1089" w:type="dxa"/>
            <w:shd w:val="clear" w:color="auto" w:fill="auto"/>
            <w:noWrap/>
            <w:tcMar>
              <w:left w:w="0" w:type="dxa"/>
              <w:right w:w="0" w:type="dxa"/>
            </w:tcMar>
            <w:vAlign w:val="bottom"/>
          </w:tcPr>
          <w:p w14:paraId="4E8F10E2" w14:textId="77777777" w:rsidR="006A2B1E" w:rsidRPr="00A66C9F" w:rsidRDefault="006A2B1E" w:rsidP="00107D5D">
            <w:pPr>
              <w:keepNext/>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8,4</w:t>
            </w:r>
          </w:p>
        </w:tc>
      </w:tr>
      <w:tr w:rsidR="006A2B1E" w:rsidRPr="00A66C9F" w14:paraId="0B1A891E" w14:textId="77777777" w:rsidTr="00107D5D">
        <w:tc>
          <w:tcPr>
            <w:tcW w:w="2781" w:type="dxa"/>
            <w:shd w:val="clear" w:color="auto" w:fill="auto"/>
            <w:noWrap/>
            <w:tcMar>
              <w:left w:w="0" w:type="dxa"/>
              <w:right w:w="0" w:type="dxa"/>
            </w:tcMar>
            <w:vAlign w:val="bottom"/>
            <w:hideMark/>
          </w:tcPr>
          <w:p w14:paraId="291AA758" w14:textId="77777777" w:rsidR="006A2B1E" w:rsidRPr="00A66C9F" w:rsidRDefault="006A2B1E"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Actifs réels</w:t>
            </w:r>
          </w:p>
        </w:tc>
        <w:tc>
          <w:tcPr>
            <w:tcW w:w="1278" w:type="dxa"/>
            <w:shd w:val="clear" w:color="auto" w:fill="auto"/>
            <w:noWrap/>
            <w:tcMar>
              <w:left w:w="0" w:type="dxa"/>
              <w:right w:w="0" w:type="dxa"/>
            </w:tcMar>
            <w:vAlign w:val="bottom"/>
          </w:tcPr>
          <w:p w14:paraId="7E929A21"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5 201,8</w:t>
            </w:r>
          </w:p>
        </w:tc>
        <w:tc>
          <w:tcPr>
            <w:tcW w:w="1089" w:type="dxa"/>
            <w:shd w:val="clear" w:color="auto" w:fill="auto"/>
            <w:noWrap/>
            <w:tcMar>
              <w:left w:w="0" w:type="dxa"/>
              <w:right w:w="0" w:type="dxa"/>
            </w:tcMar>
            <w:vAlign w:val="bottom"/>
            <w:hideMark/>
          </w:tcPr>
          <w:p w14:paraId="592FE8E9"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4 340,4</w:t>
            </w:r>
          </w:p>
        </w:tc>
        <w:tc>
          <w:tcPr>
            <w:tcW w:w="1089" w:type="dxa"/>
            <w:shd w:val="clear" w:color="auto" w:fill="auto"/>
            <w:noWrap/>
            <w:tcMar>
              <w:left w:w="0" w:type="dxa"/>
              <w:right w:w="0" w:type="dxa"/>
            </w:tcMar>
            <w:vAlign w:val="bottom"/>
          </w:tcPr>
          <w:p w14:paraId="1E07157A"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861,4</w:t>
            </w:r>
          </w:p>
        </w:tc>
        <w:tc>
          <w:tcPr>
            <w:tcW w:w="1089" w:type="dxa"/>
            <w:shd w:val="clear" w:color="auto" w:fill="auto"/>
            <w:noWrap/>
            <w:tcMar>
              <w:left w:w="0" w:type="dxa"/>
              <w:right w:w="0" w:type="dxa"/>
            </w:tcMar>
            <w:vAlign w:val="bottom"/>
          </w:tcPr>
          <w:p w14:paraId="10CFB334"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19,8</w:t>
            </w:r>
          </w:p>
        </w:tc>
      </w:tr>
      <w:tr w:rsidR="006A2B1E" w:rsidRPr="00A66C9F" w14:paraId="0D1C6E73" w14:textId="77777777" w:rsidTr="00107D5D">
        <w:tc>
          <w:tcPr>
            <w:tcW w:w="2781" w:type="dxa"/>
            <w:tcBorders>
              <w:bottom w:val="single" w:sz="4" w:space="0" w:color="auto"/>
            </w:tcBorders>
            <w:shd w:val="clear" w:color="auto" w:fill="auto"/>
            <w:noWrap/>
            <w:tcMar>
              <w:left w:w="0" w:type="dxa"/>
              <w:right w:w="0" w:type="dxa"/>
            </w:tcMar>
            <w:vAlign w:val="bottom"/>
            <w:hideMark/>
          </w:tcPr>
          <w:p w14:paraId="140AF25B" w14:textId="77777777" w:rsidR="006A2B1E" w:rsidRPr="00A66C9F" w:rsidRDefault="006A2B1E" w:rsidP="00107D5D">
            <w:pPr>
              <w:tabs>
                <w:tab w:val="left" w:pos="288"/>
                <w:tab w:val="left" w:pos="576"/>
                <w:tab w:val="left" w:pos="864"/>
                <w:tab w:val="left" w:pos="1152"/>
              </w:tabs>
              <w:suppressAutoHyphens/>
              <w:spacing w:before="40" w:after="82" w:line="210" w:lineRule="exact"/>
              <w:ind w:right="40"/>
              <w:rPr>
                <w:sz w:val="17"/>
                <w:lang w:val="fr-FR"/>
              </w:rPr>
            </w:pPr>
            <w:r w:rsidRPr="00A66C9F">
              <w:rPr>
                <w:sz w:val="17"/>
                <w:lang w:val="fr-FR"/>
              </w:rPr>
              <w:t>Investissements alternatifs et divers</w:t>
            </w:r>
          </w:p>
        </w:tc>
        <w:tc>
          <w:tcPr>
            <w:tcW w:w="1278" w:type="dxa"/>
            <w:tcBorders>
              <w:bottom w:val="single" w:sz="4" w:space="0" w:color="auto"/>
            </w:tcBorders>
            <w:shd w:val="clear" w:color="auto" w:fill="auto"/>
            <w:noWrap/>
            <w:tcMar>
              <w:left w:w="0" w:type="dxa"/>
              <w:right w:w="0" w:type="dxa"/>
            </w:tcMar>
            <w:vAlign w:val="bottom"/>
          </w:tcPr>
          <w:p w14:paraId="03005837" w14:textId="77777777" w:rsidR="006A2B1E" w:rsidRPr="00A66C9F" w:rsidRDefault="006A2B1E" w:rsidP="00107D5D">
            <w:pPr>
              <w:tabs>
                <w:tab w:val="left" w:pos="288"/>
                <w:tab w:val="left" w:pos="576"/>
                <w:tab w:val="left" w:pos="864"/>
                <w:tab w:val="left" w:pos="1152"/>
              </w:tabs>
              <w:suppressAutoHyphens/>
              <w:spacing w:before="40" w:after="82" w:line="210" w:lineRule="exact"/>
              <w:ind w:right="43"/>
              <w:jc w:val="right"/>
              <w:rPr>
                <w:sz w:val="17"/>
                <w:lang w:val="fr-FR"/>
              </w:rPr>
            </w:pPr>
            <w:r w:rsidRPr="00A66C9F">
              <w:rPr>
                <w:sz w:val="17"/>
                <w:lang w:val="fr-FR"/>
              </w:rPr>
              <w:t>3 626,5</w:t>
            </w:r>
          </w:p>
        </w:tc>
        <w:tc>
          <w:tcPr>
            <w:tcW w:w="1089" w:type="dxa"/>
            <w:tcBorders>
              <w:bottom w:val="single" w:sz="4" w:space="0" w:color="auto"/>
            </w:tcBorders>
            <w:shd w:val="clear" w:color="auto" w:fill="auto"/>
            <w:noWrap/>
            <w:tcMar>
              <w:left w:w="0" w:type="dxa"/>
              <w:right w:w="0" w:type="dxa"/>
            </w:tcMar>
            <w:vAlign w:val="bottom"/>
            <w:hideMark/>
          </w:tcPr>
          <w:p w14:paraId="3F44F093" w14:textId="77777777" w:rsidR="006A2B1E" w:rsidRPr="00A66C9F" w:rsidRDefault="006A2B1E" w:rsidP="00107D5D">
            <w:pPr>
              <w:tabs>
                <w:tab w:val="left" w:pos="288"/>
                <w:tab w:val="left" w:pos="576"/>
                <w:tab w:val="left" w:pos="864"/>
                <w:tab w:val="left" w:pos="1152"/>
              </w:tabs>
              <w:suppressAutoHyphens/>
              <w:spacing w:before="40" w:after="82" w:line="210" w:lineRule="exact"/>
              <w:ind w:right="43"/>
              <w:jc w:val="right"/>
              <w:rPr>
                <w:sz w:val="17"/>
                <w:lang w:val="fr-FR"/>
              </w:rPr>
            </w:pPr>
            <w:r w:rsidRPr="00A66C9F">
              <w:rPr>
                <w:sz w:val="17"/>
                <w:lang w:val="fr-FR"/>
              </w:rPr>
              <w:t>2 743,4</w:t>
            </w:r>
          </w:p>
        </w:tc>
        <w:tc>
          <w:tcPr>
            <w:tcW w:w="1089" w:type="dxa"/>
            <w:tcBorders>
              <w:bottom w:val="single" w:sz="4" w:space="0" w:color="auto"/>
            </w:tcBorders>
            <w:shd w:val="clear" w:color="auto" w:fill="auto"/>
            <w:noWrap/>
            <w:tcMar>
              <w:left w:w="0" w:type="dxa"/>
              <w:right w:w="0" w:type="dxa"/>
            </w:tcMar>
            <w:vAlign w:val="bottom"/>
          </w:tcPr>
          <w:p w14:paraId="52CE12E4" w14:textId="77777777" w:rsidR="006A2B1E" w:rsidRPr="00A66C9F" w:rsidRDefault="006A2B1E" w:rsidP="00107D5D">
            <w:pPr>
              <w:tabs>
                <w:tab w:val="left" w:pos="288"/>
                <w:tab w:val="left" w:pos="576"/>
                <w:tab w:val="left" w:pos="864"/>
                <w:tab w:val="left" w:pos="1152"/>
              </w:tabs>
              <w:suppressAutoHyphens/>
              <w:spacing w:before="40" w:after="82" w:line="210" w:lineRule="exact"/>
              <w:ind w:right="43"/>
              <w:jc w:val="right"/>
              <w:rPr>
                <w:sz w:val="17"/>
                <w:lang w:val="fr-FR"/>
              </w:rPr>
            </w:pPr>
            <w:r w:rsidRPr="00A66C9F">
              <w:rPr>
                <w:sz w:val="17"/>
                <w:lang w:val="fr-FR"/>
              </w:rPr>
              <w:t>883,1</w:t>
            </w:r>
          </w:p>
        </w:tc>
        <w:tc>
          <w:tcPr>
            <w:tcW w:w="1089" w:type="dxa"/>
            <w:tcBorders>
              <w:bottom w:val="single" w:sz="4" w:space="0" w:color="auto"/>
            </w:tcBorders>
            <w:shd w:val="clear" w:color="auto" w:fill="auto"/>
            <w:noWrap/>
            <w:tcMar>
              <w:left w:w="0" w:type="dxa"/>
              <w:right w:w="0" w:type="dxa"/>
            </w:tcMar>
            <w:vAlign w:val="bottom"/>
          </w:tcPr>
          <w:p w14:paraId="46B79D5A" w14:textId="77777777" w:rsidR="006A2B1E" w:rsidRPr="00A66C9F" w:rsidRDefault="006A2B1E" w:rsidP="00107D5D">
            <w:pPr>
              <w:tabs>
                <w:tab w:val="left" w:pos="288"/>
                <w:tab w:val="left" w:pos="576"/>
                <w:tab w:val="left" w:pos="864"/>
                <w:tab w:val="left" w:pos="1152"/>
              </w:tabs>
              <w:suppressAutoHyphens/>
              <w:spacing w:before="40" w:after="82" w:line="210" w:lineRule="exact"/>
              <w:ind w:right="43"/>
              <w:jc w:val="right"/>
              <w:rPr>
                <w:sz w:val="17"/>
                <w:lang w:val="fr-FR"/>
              </w:rPr>
            </w:pPr>
            <w:r w:rsidRPr="00A66C9F">
              <w:rPr>
                <w:sz w:val="17"/>
                <w:lang w:val="fr-FR"/>
              </w:rPr>
              <w:t>32,2</w:t>
            </w:r>
          </w:p>
        </w:tc>
      </w:tr>
      <w:tr w:rsidR="006A2B1E" w:rsidRPr="00A66C9F" w14:paraId="7C8BCB2D" w14:textId="77777777" w:rsidTr="00107D5D">
        <w:tc>
          <w:tcPr>
            <w:tcW w:w="2781" w:type="dxa"/>
            <w:tcBorders>
              <w:top w:val="single" w:sz="4" w:space="0" w:color="auto"/>
              <w:bottom w:val="single" w:sz="12" w:space="0" w:color="auto"/>
            </w:tcBorders>
            <w:shd w:val="clear" w:color="auto" w:fill="auto"/>
            <w:noWrap/>
            <w:tcMar>
              <w:left w:w="0" w:type="dxa"/>
              <w:right w:w="0" w:type="dxa"/>
            </w:tcMar>
            <w:vAlign w:val="bottom"/>
            <w:hideMark/>
          </w:tcPr>
          <w:p w14:paraId="16C5E2B5" w14:textId="77777777" w:rsidR="006A2B1E" w:rsidRPr="00A66C9F" w:rsidRDefault="006A2B1E" w:rsidP="00107D5D">
            <w:pPr>
              <w:tabs>
                <w:tab w:val="left" w:pos="288"/>
                <w:tab w:val="left" w:pos="576"/>
                <w:tab w:val="left" w:pos="864"/>
                <w:tab w:val="left" w:pos="1152"/>
              </w:tabs>
              <w:suppressAutoHyphens/>
              <w:spacing w:before="82" w:after="82" w:line="210" w:lineRule="exact"/>
              <w:ind w:right="40"/>
              <w:rPr>
                <w:b/>
                <w:sz w:val="17"/>
                <w:lang w:val="fr-FR"/>
              </w:rPr>
            </w:pPr>
            <w:r w:rsidRPr="00A66C9F">
              <w:rPr>
                <w:b/>
                <w:sz w:val="17"/>
                <w:lang w:val="fr-FR"/>
              </w:rPr>
              <w:tab/>
              <w:t>Total</w:t>
            </w:r>
          </w:p>
        </w:tc>
        <w:tc>
          <w:tcPr>
            <w:tcW w:w="1278" w:type="dxa"/>
            <w:tcBorders>
              <w:top w:val="single" w:sz="4" w:space="0" w:color="auto"/>
              <w:bottom w:val="single" w:sz="12" w:space="0" w:color="auto"/>
            </w:tcBorders>
            <w:shd w:val="clear" w:color="auto" w:fill="auto"/>
            <w:noWrap/>
            <w:tcMar>
              <w:left w:w="0" w:type="dxa"/>
              <w:right w:w="0" w:type="dxa"/>
            </w:tcMar>
            <w:vAlign w:val="bottom"/>
          </w:tcPr>
          <w:p w14:paraId="409704AF" w14:textId="77777777" w:rsidR="006A2B1E" w:rsidRPr="00A66C9F" w:rsidRDefault="006A2B1E" w:rsidP="00107D5D">
            <w:pPr>
              <w:tabs>
                <w:tab w:val="left" w:pos="288"/>
                <w:tab w:val="left" w:pos="576"/>
                <w:tab w:val="left" w:pos="864"/>
                <w:tab w:val="left" w:pos="1152"/>
              </w:tabs>
              <w:suppressAutoHyphens/>
              <w:spacing w:before="82" w:after="82" w:line="210" w:lineRule="exact"/>
              <w:ind w:right="43"/>
              <w:jc w:val="right"/>
              <w:rPr>
                <w:b/>
                <w:sz w:val="17"/>
                <w:lang w:val="fr-FR"/>
              </w:rPr>
            </w:pPr>
            <w:r w:rsidRPr="00A66C9F">
              <w:rPr>
                <w:b/>
                <w:sz w:val="17"/>
                <w:lang w:val="fr-FR"/>
              </w:rPr>
              <w:t>71 550,0</w:t>
            </w:r>
          </w:p>
        </w:tc>
        <w:tc>
          <w:tcPr>
            <w:tcW w:w="1089" w:type="dxa"/>
            <w:tcBorders>
              <w:top w:val="single" w:sz="4" w:space="0" w:color="auto"/>
              <w:bottom w:val="single" w:sz="12" w:space="0" w:color="auto"/>
            </w:tcBorders>
            <w:shd w:val="clear" w:color="auto" w:fill="auto"/>
            <w:noWrap/>
            <w:tcMar>
              <w:left w:w="0" w:type="dxa"/>
              <w:right w:w="0" w:type="dxa"/>
            </w:tcMar>
            <w:vAlign w:val="bottom"/>
          </w:tcPr>
          <w:p w14:paraId="7C9B79A0" w14:textId="77777777" w:rsidR="006A2B1E" w:rsidRPr="00A66C9F" w:rsidRDefault="006A2B1E" w:rsidP="00107D5D">
            <w:pPr>
              <w:tabs>
                <w:tab w:val="left" w:pos="288"/>
                <w:tab w:val="left" w:pos="576"/>
                <w:tab w:val="left" w:pos="864"/>
                <w:tab w:val="left" w:pos="1152"/>
              </w:tabs>
              <w:suppressAutoHyphens/>
              <w:spacing w:before="82" w:after="82" w:line="210" w:lineRule="exact"/>
              <w:ind w:right="43"/>
              <w:jc w:val="right"/>
              <w:rPr>
                <w:b/>
                <w:sz w:val="17"/>
                <w:lang w:val="fr-FR"/>
              </w:rPr>
            </w:pPr>
            <w:r w:rsidRPr="00A66C9F">
              <w:rPr>
                <w:b/>
                <w:sz w:val="17"/>
                <w:lang w:val="fr-FR"/>
              </w:rPr>
              <w:t>60 309,8</w:t>
            </w:r>
          </w:p>
        </w:tc>
        <w:tc>
          <w:tcPr>
            <w:tcW w:w="1089" w:type="dxa"/>
            <w:tcBorders>
              <w:top w:val="single" w:sz="4" w:space="0" w:color="auto"/>
              <w:bottom w:val="single" w:sz="12" w:space="0" w:color="auto"/>
            </w:tcBorders>
            <w:shd w:val="clear" w:color="auto" w:fill="auto"/>
            <w:noWrap/>
            <w:tcMar>
              <w:left w:w="0" w:type="dxa"/>
              <w:right w:w="0" w:type="dxa"/>
            </w:tcMar>
            <w:vAlign w:val="bottom"/>
          </w:tcPr>
          <w:p w14:paraId="7395D6F9" w14:textId="77777777" w:rsidR="006A2B1E" w:rsidRPr="00A66C9F" w:rsidRDefault="006A2B1E" w:rsidP="00107D5D">
            <w:pPr>
              <w:tabs>
                <w:tab w:val="left" w:pos="288"/>
                <w:tab w:val="left" w:pos="576"/>
                <w:tab w:val="left" w:pos="864"/>
                <w:tab w:val="left" w:pos="1152"/>
              </w:tabs>
              <w:suppressAutoHyphens/>
              <w:spacing w:before="82" w:after="82" w:line="210" w:lineRule="exact"/>
              <w:ind w:right="43"/>
              <w:jc w:val="right"/>
              <w:rPr>
                <w:b/>
                <w:sz w:val="17"/>
                <w:lang w:val="fr-FR"/>
              </w:rPr>
            </w:pPr>
            <w:r w:rsidRPr="00A66C9F">
              <w:rPr>
                <w:b/>
                <w:sz w:val="17"/>
                <w:lang w:val="fr-FR"/>
              </w:rPr>
              <w:t>11 240,2</w:t>
            </w:r>
          </w:p>
        </w:tc>
        <w:tc>
          <w:tcPr>
            <w:tcW w:w="1089" w:type="dxa"/>
            <w:tcBorders>
              <w:top w:val="single" w:sz="4" w:space="0" w:color="auto"/>
              <w:bottom w:val="single" w:sz="12" w:space="0" w:color="auto"/>
            </w:tcBorders>
            <w:shd w:val="clear" w:color="auto" w:fill="auto"/>
            <w:noWrap/>
            <w:tcMar>
              <w:left w:w="0" w:type="dxa"/>
              <w:right w:w="0" w:type="dxa"/>
            </w:tcMar>
            <w:vAlign w:val="bottom"/>
          </w:tcPr>
          <w:p w14:paraId="5665055E" w14:textId="77777777" w:rsidR="006A2B1E" w:rsidRPr="00A66C9F" w:rsidRDefault="006A2B1E" w:rsidP="00107D5D">
            <w:pPr>
              <w:tabs>
                <w:tab w:val="left" w:pos="288"/>
                <w:tab w:val="left" w:pos="576"/>
                <w:tab w:val="left" w:pos="864"/>
                <w:tab w:val="left" w:pos="1152"/>
              </w:tabs>
              <w:suppressAutoHyphens/>
              <w:spacing w:before="82" w:after="82" w:line="210" w:lineRule="exact"/>
              <w:ind w:right="43"/>
              <w:jc w:val="right"/>
              <w:rPr>
                <w:b/>
                <w:sz w:val="17"/>
                <w:lang w:val="fr-FR"/>
              </w:rPr>
            </w:pPr>
            <w:r w:rsidRPr="00A66C9F">
              <w:rPr>
                <w:b/>
                <w:sz w:val="17"/>
                <w:lang w:val="fr-FR"/>
              </w:rPr>
              <w:t>18,6</w:t>
            </w:r>
          </w:p>
        </w:tc>
      </w:tr>
    </w:tbl>
    <w:p w14:paraId="19FE69FF" w14:textId="77777777" w:rsidR="006A2B1E" w:rsidRPr="00A66C9F" w:rsidRDefault="006A2B1E" w:rsidP="006A2B1E">
      <w:pPr>
        <w:pStyle w:val="SingleTxt"/>
        <w:spacing w:after="0" w:line="120" w:lineRule="exact"/>
        <w:rPr>
          <w:sz w:val="10"/>
          <w:lang w:val="fr-FR"/>
        </w:rPr>
      </w:pPr>
    </w:p>
    <w:p w14:paraId="50351DCC" w14:textId="77777777" w:rsidR="006A2B1E" w:rsidRPr="00A66C9F" w:rsidRDefault="006A2B1E" w:rsidP="006A2B1E">
      <w:pPr>
        <w:pStyle w:val="SingleTxt"/>
        <w:spacing w:after="0" w:line="120" w:lineRule="exact"/>
        <w:rPr>
          <w:sz w:val="10"/>
          <w:lang w:val="fr-FR"/>
        </w:rPr>
      </w:pPr>
    </w:p>
    <w:p w14:paraId="20C503DD" w14:textId="77777777" w:rsidR="006A2B1E" w:rsidRPr="00A66C9F" w:rsidRDefault="006A2B1E" w:rsidP="006A2B1E">
      <w:pPr>
        <w:pStyle w:val="SingleTxt"/>
        <w:numPr>
          <w:ilvl w:val="0"/>
          <w:numId w:val="9"/>
        </w:numPr>
        <w:tabs>
          <w:tab w:val="num" w:pos="2804"/>
        </w:tabs>
        <w:spacing w:line="240" w:lineRule="exact"/>
        <w:ind w:left="1267"/>
        <w:rPr>
          <w:szCs w:val="20"/>
          <w:lang w:val="fr-FR"/>
        </w:rPr>
      </w:pPr>
      <w:r w:rsidRPr="00A66C9F">
        <w:rPr>
          <w:lang w:val="fr-FR"/>
        </w:rPr>
        <w:t>Les montants des investissements et de la trésorerie et des équivalents de trésorerie s’établissaient comme suit :</w:t>
      </w:r>
    </w:p>
    <w:p w14:paraId="4131E637" w14:textId="77777777" w:rsidR="006A2B1E" w:rsidRPr="00A66C9F" w:rsidRDefault="006A2B1E" w:rsidP="006A2B1E">
      <w:pPr>
        <w:pStyle w:val="SingleTxt"/>
        <w:spacing w:after="0" w:line="120" w:lineRule="exact"/>
        <w:rPr>
          <w:sz w:val="10"/>
          <w:lang w:val="fr-FR"/>
        </w:rPr>
      </w:pPr>
    </w:p>
    <w:p w14:paraId="325996E9" w14:textId="77777777" w:rsidR="006A2B1E" w:rsidRPr="00A66C9F" w:rsidRDefault="006A2B1E" w:rsidP="006A2B1E">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lang w:val="fr-FR"/>
        </w:rPr>
        <w:tab/>
      </w:r>
      <w:r w:rsidRPr="00A66C9F">
        <w:rPr>
          <w:lang w:val="fr-FR"/>
        </w:rPr>
        <w:tab/>
      </w:r>
      <w:r w:rsidRPr="00A66C9F">
        <w:rPr>
          <w:sz w:val="14"/>
          <w:szCs w:val="14"/>
          <w:lang w:val="fr-FR"/>
        </w:rPr>
        <w:t>(En millions de dollars des États-Unis)</w:t>
      </w:r>
    </w:p>
    <w:p w14:paraId="31FF34B3" w14:textId="77777777" w:rsidR="006A2B1E" w:rsidRPr="00A66C9F" w:rsidRDefault="006A2B1E" w:rsidP="006A2B1E">
      <w:pPr>
        <w:pStyle w:val="SingleTxt"/>
        <w:spacing w:after="0" w:line="120" w:lineRule="exact"/>
        <w:rPr>
          <w:sz w:val="10"/>
          <w:lang w:val="fr-FR"/>
        </w:rPr>
      </w:pPr>
    </w:p>
    <w:p w14:paraId="26957884" w14:textId="77777777" w:rsidR="006A2B1E" w:rsidRPr="00A66C9F" w:rsidRDefault="006A2B1E" w:rsidP="006A2B1E">
      <w:pPr>
        <w:pStyle w:val="SingleTxt"/>
        <w:spacing w:after="0" w:line="120" w:lineRule="exact"/>
        <w:rPr>
          <w:sz w:val="10"/>
          <w:lang w:val="fr-FR"/>
        </w:rPr>
      </w:pPr>
    </w:p>
    <w:tbl>
      <w:tblPr>
        <w:tblW w:w="7330" w:type="dxa"/>
        <w:tblInd w:w="1260" w:type="dxa"/>
        <w:tblLayout w:type="fixed"/>
        <w:tblCellMar>
          <w:left w:w="0" w:type="dxa"/>
          <w:right w:w="0" w:type="dxa"/>
        </w:tblCellMar>
        <w:tblLook w:val="04A0" w:firstRow="1" w:lastRow="0" w:firstColumn="1" w:lastColumn="0" w:noHBand="0" w:noVBand="1"/>
      </w:tblPr>
      <w:tblGrid>
        <w:gridCol w:w="2781"/>
        <w:gridCol w:w="1137"/>
        <w:gridCol w:w="1137"/>
        <w:gridCol w:w="1137"/>
        <w:gridCol w:w="1138"/>
      </w:tblGrid>
      <w:tr w:rsidR="006A2B1E" w:rsidRPr="00A66C9F" w14:paraId="4E67059E" w14:textId="77777777" w:rsidTr="00107D5D">
        <w:trPr>
          <w:tblHeader/>
        </w:trPr>
        <w:tc>
          <w:tcPr>
            <w:tcW w:w="2781" w:type="dxa"/>
            <w:tcBorders>
              <w:top w:val="single" w:sz="4" w:space="0" w:color="auto"/>
              <w:bottom w:val="single" w:sz="12" w:space="0" w:color="auto"/>
            </w:tcBorders>
            <w:shd w:val="clear" w:color="auto" w:fill="auto"/>
            <w:noWrap/>
            <w:tcMar>
              <w:left w:w="0" w:type="dxa"/>
              <w:right w:w="0" w:type="dxa"/>
            </w:tcMar>
            <w:vAlign w:val="bottom"/>
            <w:hideMark/>
          </w:tcPr>
          <w:p w14:paraId="4F3D305A" w14:textId="77777777" w:rsidR="006A2B1E" w:rsidRPr="00A66C9F" w:rsidRDefault="006A2B1E" w:rsidP="00107D5D">
            <w:pPr>
              <w:suppressAutoHyphens/>
              <w:spacing w:before="81" w:after="81" w:line="160" w:lineRule="exact"/>
              <w:ind w:right="40"/>
              <w:rPr>
                <w:i/>
                <w:sz w:val="14"/>
                <w:lang w:val="fr-FR"/>
              </w:rPr>
            </w:pPr>
          </w:p>
        </w:tc>
        <w:tc>
          <w:tcPr>
            <w:tcW w:w="1137" w:type="dxa"/>
            <w:tcBorders>
              <w:top w:val="single" w:sz="4" w:space="0" w:color="auto"/>
              <w:bottom w:val="single" w:sz="12" w:space="0" w:color="auto"/>
            </w:tcBorders>
            <w:shd w:val="clear" w:color="auto" w:fill="auto"/>
            <w:noWrap/>
            <w:tcMar>
              <w:left w:w="0" w:type="dxa"/>
              <w:right w:w="0" w:type="dxa"/>
            </w:tcMar>
            <w:vAlign w:val="bottom"/>
          </w:tcPr>
          <w:p w14:paraId="7974C2B6" w14:textId="77777777" w:rsidR="006A2B1E" w:rsidRPr="00A66C9F" w:rsidRDefault="006A2B1E" w:rsidP="00107D5D">
            <w:pPr>
              <w:suppressAutoHyphens/>
              <w:spacing w:before="81" w:after="81" w:line="160" w:lineRule="exact"/>
              <w:ind w:right="43"/>
              <w:jc w:val="right"/>
              <w:rPr>
                <w:i/>
                <w:sz w:val="14"/>
                <w:lang w:val="fr-FR"/>
              </w:rPr>
            </w:pPr>
            <w:r w:rsidRPr="00A66C9F">
              <w:rPr>
                <w:i/>
                <w:sz w:val="14"/>
                <w:lang w:val="fr-FR"/>
              </w:rPr>
              <w:t>Au 31 décembre 2019</w:t>
            </w:r>
          </w:p>
        </w:tc>
        <w:tc>
          <w:tcPr>
            <w:tcW w:w="1137" w:type="dxa"/>
            <w:tcBorders>
              <w:top w:val="single" w:sz="4" w:space="0" w:color="auto"/>
              <w:bottom w:val="single" w:sz="12" w:space="0" w:color="auto"/>
            </w:tcBorders>
            <w:shd w:val="clear" w:color="auto" w:fill="auto"/>
            <w:noWrap/>
            <w:tcMar>
              <w:left w:w="0" w:type="dxa"/>
              <w:right w:w="0" w:type="dxa"/>
            </w:tcMar>
            <w:vAlign w:val="bottom"/>
          </w:tcPr>
          <w:p w14:paraId="0F5EAE0A" w14:textId="77777777" w:rsidR="006A2B1E" w:rsidRPr="00A66C9F" w:rsidRDefault="006A2B1E" w:rsidP="00107D5D">
            <w:pPr>
              <w:suppressAutoHyphens/>
              <w:spacing w:before="81" w:after="81" w:line="160" w:lineRule="exact"/>
              <w:ind w:right="43"/>
              <w:jc w:val="right"/>
              <w:rPr>
                <w:i/>
                <w:sz w:val="14"/>
                <w:lang w:val="fr-FR"/>
              </w:rPr>
            </w:pPr>
            <w:r w:rsidRPr="00A66C9F">
              <w:rPr>
                <w:i/>
                <w:sz w:val="14"/>
                <w:lang w:val="fr-FR"/>
              </w:rPr>
              <w:t>Au 31 décembre 2018</w:t>
            </w:r>
          </w:p>
        </w:tc>
        <w:tc>
          <w:tcPr>
            <w:tcW w:w="1137" w:type="dxa"/>
            <w:tcBorders>
              <w:top w:val="single" w:sz="4" w:space="0" w:color="auto"/>
              <w:bottom w:val="single" w:sz="12" w:space="0" w:color="auto"/>
            </w:tcBorders>
            <w:shd w:val="clear" w:color="auto" w:fill="auto"/>
            <w:noWrap/>
            <w:tcMar>
              <w:left w:w="0" w:type="dxa"/>
              <w:right w:w="0" w:type="dxa"/>
            </w:tcMar>
            <w:vAlign w:val="bottom"/>
          </w:tcPr>
          <w:p w14:paraId="3E477B17" w14:textId="77777777" w:rsidR="006A2B1E" w:rsidRPr="00A66C9F" w:rsidRDefault="006A2B1E" w:rsidP="00107D5D">
            <w:pPr>
              <w:suppressAutoHyphens/>
              <w:spacing w:before="81" w:after="81" w:line="160" w:lineRule="exact"/>
              <w:ind w:right="43"/>
              <w:jc w:val="right"/>
              <w:rPr>
                <w:i/>
                <w:sz w:val="14"/>
                <w:lang w:val="fr-FR"/>
              </w:rPr>
            </w:pPr>
            <w:r w:rsidRPr="00A66C9F">
              <w:rPr>
                <w:i/>
                <w:sz w:val="14"/>
                <w:lang w:val="fr-FR"/>
              </w:rPr>
              <w:t>Variation</w:t>
            </w:r>
          </w:p>
        </w:tc>
        <w:tc>
          <w:tcPr>
            <w:tcW w:w="1138" w:type="dxa"/>
            <w:tcBorders>
              <w:top w:val="single" w:sz="4" w:space="0" w:color="auto"/>
              <w:bottom w:val="single" w:sz="12" w:space="0" w:color="auto"/>
            </w:tcBorders>
            <w:shd w:val="clear" w:color="auto" w:fill="auto"/>
            <w:noWrap/>
            <w:tcMar>
              <w:left w:w="0" w:type="dxa"/>
              <w:right w:w="0" w:type="dxa"/>
            </w:tcMar>
            <w:vAlign w:val="bottom"/>
            <w:hideMark/>
          </w:tcPr>
          <w:p w14:paraId="574A09CE" w14:textId="77777777" w:rsidR="006A2B1E" w:rsidRPr="00A66C9F" w:rsidRDefault="006A2B1E" w:rsidP="00107D5D">
            <w:pPr>
              <w:suppressAutoHyphens/>
              <w:spacing w:before="81" w:after="81" w:line="160" w:lineRule="exact"/>
              <w:ind w:right="43"/>
              <w:jc w:val="right"/>
              <w:rPr>
                <w:i/>
                <w:sz w:val="14"/>
                <w:lang w:val="fr-FR"/>
              </w:rPr>
            </w:pPr>
            <w:r w:rsidRPr="00A66C9F">
              <w:rPr>
                <w:i/>
                <w:sz w:val="14"/>
                <w:lang w:val="fr-FR"/>
              </w:rPr>
              <w:t xml:space="preserve">Pourcentage </w:t>
            </w:r>
          </w:p>
        </w:tc>
      </w:tr>
      <w:tr w:rsidR="006A2B1E" w:rsidRPr="00A66C9F" w14:paraId="1F76EE84" w14:textId="77777777" w:rsidTr="00107D5D">
        <w:trPr>
          <w:trHeight w:hRule="exact" w:val="115"/>
          <w:tblHeader/>
        </w:trPr>
        <w:tc>
          <w:tcPr>
            <w:tcW w:w="2781" w:type="dxa"/>
            <w:tcBorders>
              <w:top w:val="single" w:sz="12" w:space="0" w:color="auto"/>
            </w:tcBorders>
            <w:shd w:val="clear" w:color="auto" w:fill="auto"/>
            <w:noWrap/>
            <w:tcMar>
              <w:left w:w="0" w:type="dxa"/>
              <w:right w:w="0" w:type="dxa"/>
            </w:tcMar>
            <w:vAlign w:val="bottom"/>
          </w:tcPr>
          <w:p w14:paraId="614F59CF" w14:textId="77777777" w:rsidR="006A2B1E" w:rsidRPr="00A66C9F" w:rsidRDefault="006A2B1E" w:rsidP="00107D5D">
            <w:pPr>
              <w:suppressAutoHyphens/>
              <w:spacing w:before="40" w:after="40" w:line="210" w:lineRule="exact"/>
              <w:ind w:right="40"/>
              <w:rPr>
                <w:sz w:val="17"/>
                <w:lang w:val="fr-FR"/>
              </w:rPr>
            </w:pPr>
          </w:p>
        </w:tc>
        <w:tc>
          <w:tcPr>
            <w:tcW w:w="1137" w:type="dxa"/>
            <w:tcBorders>
              <w:top w:val="single" w:sz="12" w:space="0" w:color="auto"/>
            </w:tcBorders>
            <w:shd w:val="clear" w:color="auto" w:fill="auto"/>
            <w:noWrap/>
            <w:tcMar>
              <w:left w:w="0" w:type="dxa"/>
              <w:right w:w="0" w:type="dxa"/>
            </w:tcMar>
            <w:vAlign w:val="bottom"/>
          </w:tcPr>
          <w:p w14:paraId="3C354B1E" w14:textId="77777777" w:rsidR="006A2B1E" w:rsidRPr="00A66C9F" w:rsidRDefault="006A2B1E" w:rsidP="00107D5D">
            <w:pPr>
              <w:suppressAutoHyphens/>
              <w:spacing w:before="40" w:after="40" w:line="210" w:lineRule="exact"/>
              <w:ind w:right="43"/>
              <w:jc w:val="right"/>
              <w:rPr>
                <w:sz w:val="17"/>
                <w:lang w:val="fr-FR"/>
              </w:rPr>
            </w:pPr>
          </w:p>
        </w:tc>
        <w:tc>
          <w:tcPr>
            <w:tcW w:w="1137" w:type="dxa"/>
            <w:tcBorders>
              <w:top w:val="single" w:sz="12" w:space="0" w:color="auto"/>
            </w:tcBorders>
            <w:shd w:val="clear" w:color="auto" w:fill="auto"/>
            <w:noWrap/>
            <w:tcMar>
              <w:left w:w="0" w:type="dxa"/>
              <w:right w:w="0" w:type="dxa"/>
            </w:tcMar>
            <w:vAlign w:val="bottom"/>
          </w:tcPr>
          <w:p w14:paraId="638F8D78" w14:textId="77777777" w:rsidR="006A2B1E" w:rsidRPr="00A66C9F" w:rsidRDefault="006A2B1E" w:rsidP="00107D5D">
            <w:pPr>
              <w:suppressAutoHyphens/>
              <w:spacing w:before="40" w:after="40" w:line="210" w:lineRule="exact"/>
              <w:ind w:right="43"/>
              <w:jc w:val="right"/>
              <w:rPr>
                <w:sz w:val="17"/>
                <w:lang w:val="fr-FR"/>
              </w:rPr>
            </w:pPr>
          </w:p>
        </w:tc>
        <w:tc>
          <w:tcPr>
            <w:tcW w:w="1137" w:type="dxa"/>
            <w:tcBorders>
              <w:top w:val="single" w:sz="12" w:space="0" w:color="auto"/>
            </w:tcBorders>
            <w:shd w:val="clear" w:color="auto" w:fill="auto"/>
            <w:noWrap/>
            <w:tcMar>
              <w:left w:w="0" w:type="dxa"/>
              <w:right w:w="0" w:type="dxa"/>
            </w:tcMar>
            <w:vAlign w:val="bottom"/>
          </w:tcPr>
          <w:p w14:paraId="1533310D" w14:textId="77777777" w:rsidR="006A2B1E" w:rsidRPr="00A66C9F" w:rsidRDefault="006A2B1E" w:rsidP="00107D5D">
            <w:pPr>
              <w:suppressAutoHyphens/>
              <w:spacing w:before="40" w:after="40" w:line="210" w:lineRule="exact"/>
              <w:ind w:right="43"/>
              <w:jc w:val="right"/>
              <w:rPr>
                <w:sz w:val="17"/>
                <w:lang w:val="fr-FR"/>
              </w:rPr>
            </w:pPr>
          </w:p>
        </w:tc>
        <w:tc>
          <w:tcPr>
            <w:tcW w:w="1138" w:type="dxa"/>
            <w:tcBorders>
              <w:top w:val="single" w:sz="12" w:space="0" w:color="auto"/>
            </w:tcBorders>
            <w:shd w:val="clear" w:color="auto" w:fill="auto"/>
            <w:noWrap/>
            <w:tcMar>
              <w:left w:w="0" w:type="dxa"/>
              <w:right w:w="0" w:type="dxa"/>
            </w:tcMar>
            <w:vAlign w:val="bottom"/>
          </w:tcPr>
          <w:p w14:paraId="67ED8E3F" w14:textId="77777777" w:rsidR="006A2B1E" w:rsidRPr="00A66C9F" w:rsidRDefault="006A2B1E" w:rsidP="00107D5D">
            <w:pPr>
              <w:suppressAutoHyphens/>
              <w:spacing w:before="40" w:after="40" w:line="210" w:lineRule="exact"/>
              <w:ind w:right="43"/>
              <w:jc w:val="right"/>
              <w:rPr>
                <w:sz w:val="17"/>
                <w:lang w:val="fr-FR"/>
              </w:rPr>
            </w:pPr>
          </w:p>
        </w:tc>
      </w:tr>
      <w:tr w:rsidR="006A2B1E" w:rsidRPr="00A66C9F" w14:paraId="449236D4" w14:textId="77777777" w:rsidTr="00107D5D">
        <w:tc>
          <w:tcPr>
            <w:tcW w:w="2781" w:type="dxa"/>
            <w:shd w:val="clear" w:color="auto" w:fill="auto"/>
            <w:noWrap/>
            <w:tcMar>
              <w:left w:w="0" w:type="dxa"/>
              <w:right w:w="0" w:type="dxa"/>
            </w:tcMar>
            <w:vAlign w:val="bottom"/>
            <w:hideMark/>
          </w:tcPr>
          <w:p w14:paraId="30A8F973" w14:textId="77777777" w:rsidR="006A2B1E" w:rsidRPr="00A66C9F" w:rsidRDefault="006A2B1E"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Placements</w:t>
            </w:r>
          </w:p>
        </w:tc>
        <w:tc>
          <w:tcPr>
            <w:tcW w:w="1137" w:type="dxa"/>
            <w:shd w:val="clear" w:color="auto" w:fill="auto"/>
            <w:noWrap/>
            <w:tcMar>
              <w:left w:w="0" w:type="dxa"/>
              <w:right w:w="0" w:type="dxa"/>
            </w:tcMar>
            <w:vAlign w:val="bottom"/>
          </w:tcPr>
          <w:p w14:paraId="5D766CCB"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71 550,0</w:t>
            </w:r>
          </w:p>
        </w:tc>
        <w:tc>
          <w:tcPr>
            <w:tcW w:w="1137" w:type="dxa"/>
            <w:shd w:val="clear" w:color="auto" w:fill="auto"/>
            <w:noWrap/>
            <w:tcMar>
              <w:left w:w="0" w:type="dxa"/>
              <w:right w:w="0" w:type="dxa"/>
            </w:tcMar>
            <w:vAlign w:val="bottom"/>
          </w:tcPr>
          <w:p w14:paraId="2338948B"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60 309,8</w:t>
            </w:r>
          </w:p>
        </w:tc>
        <w:tc>
          <w:tcPr>
            <w:tcW w:w="1137" w:type="dxa"/>
            <w:shd w:val="clear" w:color="auto" w:fill="auto"/>
            <w:noWrap/>
            <w:tcMar>
              <w:left w:w="0" w:type="dxa"/>
              <w:right w:w="0" w:type="dxa"/>
            </w:tcMar>
            <w:vAlign w:val="bottom"/>
          </w:tcPr>
          <w:p w14:paraId="4CA76872"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11 240,2</w:t>
            </w:r>
          </w:p>
        </w:tc>
        <w:tc>
          <w:tcPr>
            <w:tcW w:w="1138" w:type="dxa"/>
            <w:shd w:val="clear" w:color="auto" w:fill="auto"/>
            <w:noWrap/>
            <w:tcMar>
              <w:left w:w="0" w:type="dxa"/>
              <w:right w:w="0" w:type="dxa"/>
            </w:tcMar>
            <w:vAlign w:val="bottom"/>
          </w:tcPr>
          <w:p w14:paraId="4D5EAFFC"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18,6</w:t>
            </w:r>
          </w:p>
        </w:tc>
      </w:tr>
      <w:tr w:rsidR="006A2B1E" w:rsidRPr="00A66C9F" w14:paraId="05D1BF33" w14:textId="77777777" w:rsidTr="00107D5D">
        <w:tc>
          <w:tcPr>
            <w:tcW w:w="2781" w:type="dxa"/>
            <w:tcBorders>
              <w:bottom w:val="single" w:sz="4" w:space="0" w:color="auto"/>
            </w:tcBorders>
            <w:shd w:val="clear" w:color="auto" w:fill="auto"/>
            <w:noWrap/>
            <w:tcMar>
              <w:left w:w="0" w:type="dxa"/>
              <w:right w:w="0" w:type="dxa"/>
            </w:tcMar>
            <w:vAlign w:val="bottom"/>
            <w:hideMark/>
          </w:tcPr>
          <w:p w14:paraId="384E4C84" w14:textId="77777777" w:rsidR="006A2B1E" w:rsidRPr="00A66C9F" w:rsidRDefault="006A2B1E" w:rsidP="00107D5D">
            <w:pPr>
              <w:tabs>
                <w:tab w:val="left" w:pos="288"/>
                <w:tab w:val="left" w:pos="576"/>
                <w:tab w:val="left" w:pos="864"/>
                <w:tab w:val="left" w:pos="1152"/>
              </w:tabs>
              <w:suppressAutoHyphens/>
              <w:spacing w:before="40" w:after="82" w:line="210" w:lineRule="exact"/>
              <w:ind w:right="40"/>
              <w:rPr>
                <w:sz w:val="17"/>
                <w:lang w:val="fr-FR"/>
              </w:rPr>
            </w:pPr>
            <w:r w:rsidRPr="00A66C9F">
              <w:rPr>
                <w:sz w:val="17"/>
                <w:lang w:val="fr-FR"/>
              </w:rPr>
              <w:t>Trésorerie et équivalents de trésorerie</w:t>
            </w:r>
          </w:p>
        </w:tc>
        <w:tc>
          <w:tcPr>
            <w:tcW w:w="1137" w:type="dxa"/>
            <w:tcBorders>
              <w:bottom w:val="single" w:sz="4" w:space="0" w:color="auto"/>
            </w:tcBorders>
            <w:shd w:val="clear" w:color="auto" w:fill="auto"/>
            <w:noWrap/>
            <w:tcMar>
              <w:left w:w="0" w:type="dxa"/>
              <w:right w:w="0" w:type="dxa"/>
            </w:tcMar>
            <w:vAlign w:val="bottom"/>
          </w:tcPr>
          <w:p w14:paraId="2EDA3434" w14:textId="77777777" w:rsidR="006A2B1E" w:rsidRPr="00A66C9F" w:rsidRDefault="006A2B1E" w:rsidP="00107D5D">
            <w:pPr>
              <w:tabs>
                <w:tab w:val="left" w:pos="288"/>
                <w:tab w:val="left" w:pos="576"/>
                <w:tab w:val="left" w:pos="864"/>
                <w:tab w:val="left" w:pos="1152"/>
              </w:tabs>
              <w:suppressAutoHyphens/>
              <w:spacing w:before="40" w:after="82" w:line="210" w:lineRule="exact"/>
              <w:ind w:right="43"/>
              <w:jc w:val="right"/>
              <w:rPr>
                <w:sz w:val="17"/>
                <w:lang w:val="fr-FR"/>
              </w:rPr>
            </w:pPr>
            <w:r w:rsidRPr="00A66C9F">
              <w:rPr>
                <w:sz w:val="17"/>
                <w:lang w:val="fr-FR"/>
              </w:rPr>
              <w:t>436,4</w:t>
            </w:r>
          </w:p>
        </w:tc>
        <w:tc>
          <w:tcPr>
            <w:tcW w:w="1137" w:type="dxa"/>
            <w:tcBorders>
              <w:bottom w:val="single" w:sz="4" w:space="0" w:color="auto"/>
            </w:tcBorders>
            <w:shd w:val="clear" w:color="auto" w:fill="auto"/>
            <w:noWrap/>
            <w:tcMar>
              <w:left w:w="0" w:type="dxa"/>
              <w:right w:w="0" w:type="dxa"/>
            </w:tcMar>
            <w:vAlign w:val="bottom"/>
          </w:tcPr>
          <w:p w14:paraId="041176FA" w14:textId="77777777" w:rsidR="006A2B1E" w:rsidRPr="00A66C9F" w:rsidRDefault="006A2B1E" w:rsidP="00107D5D">
            <w:pPr>
              <w:tabs>
                <w:tab w:val="left" w:pos="288"/>
                <w:tab w:val="left" w:pos="576"/>
                <w:tab w:val="left" w:pos="864"/>
                <w:tab w:val="left" w:pos="1152"/>
              </w:tabs>
              <w:suppressAutoHyphens/>
              <w:spacing w:before="40" w:after="82" w:line="210" w:lineRule="exact"/>
              <w:ind w:right="43"/>
              <w:jc w:val="right"/>
              <w:rPr>
                <w:sz w:val="17"/>
                <w:lang w:val="fr-FR"/>
              </w:rPr>
            </w:pPr>
            <w:r w:rsidRPr="00A66C9F">
              <w:rPr>
                <w:sz w:val="17"/>
                <w:lang w:val="fr-FR"/>
              </w:rPr>
              <w:t>564,9</w:t>
            </w:r>
          </w:p>
        </w:tc>
        <w:tc>
          <w:tcPr>
            <w:tcW w:w="1137" w:type="dxa"/>
            <w:tcBorders>
              <w:bottom w:val="single" w:sz="4" w:space="0" w:color="auto"/>
            </w:tcBorders>
            <w:shd w:val="clear" w:color="auto" w:fill="auto"/>
            <w:noWrap/>
            <w:tcMar>
              <w:left w:w="0" w:type="dxa"/>
              <w:right w:w="0" w:type="dxa"/>
            </w:tcMar>
            <w:vAlign w:val="bottom"/>
          </w:tcPr>
          <w:p w14:paraId="2D0DFE42" w14:textId="77777777" w:rsidR="006A2B1E" w:rsidRPr="00A66C9F" w:rsidRDefault="006A2B1E" w:rsidP="00107D5D">
            <w:pPr>
              <w:tabs>
                <w:tab w:val="left" w:pos="288"/>
                <w:tab w:val="left" w:pos="576"/>
                <w:tab w:val="left" w:pos="864"/>
                <w:tab w:val="left" w:pos="1152"/>
              </w:tabs>
              <w:suppressAutoHyphens/>
              <w:spacing w:before="40" w:after="82" w:line="210" w:lineRule="exact"/>
              <w:ind w:right="43"/>
              <w:jc w:val="right"/>
              <w:rPr>
                <w:sz w:val="17"/>
                <w:lang w:val="fr-FR"/>
              </w:rPr>
            </w:pPr>
            <w:r w:rsidRPr="00A66C9F">
              <w:rPr>
                <w:sz w:val="17"/>
                <w:lang w:val="fr-FR"/>
              </w:rPr>
              <w:t>(128,5)</w:t>
            </w:r>
          </w:p>
        </w:tc>
        <w:tc>
          <w:tcPr>
            <w:tcW w:w="1138" w:type="dxa"/>
            <w:tcBorders>
              <w:bottom w:val="single" w:sz="4" w:space="0" w:color="auto"/>
            </w:tcBorders>
            <w:shd w:val="clear" w:color="auto" w:fill="auto"/>
            <w:noWrap/>
            <w:tcMar>
              <w:left w:w="0" w:type="dxa"/>
              <w:right w:w="0" w:type="dxa"/>
            </w:tcMar>
            <w:vAlign w:val="bottom"/>
          </w:tcPr>
          <w:p w14:paraId="0CDFEE9D" w14:textId="77777777" w:rsidR="006A2B1E" w:rsidRPr="00A66C9F" w:rsidRDefault="006A2B1E" w:rsidP="00107D5D">
            <w:pPr>
              <w:tabs>
                <w:tab w:val="left" w:pos="288"/>
                <w:tab w:val="left" w:pos="576"/>
                <w:tab w:val="left" w:pos="864"/>
                <w:tab w:val="left" w:pos="1152"/>
              </w:tabs>
              <w:suppressAutoHyphens/>
              <w:spacing w:before="40" w:after="82" w:line="210" w:lineRule="exact"/>
              <w:ind w:right="43"/>
              <w:jc w:val="right"/>
              <w:rPr>
                <w:sz w:val="17"/>
                <w:lang w:val="fr-FR"/>
              </w:rPr>
            </w:pPr>
            <w:r w:rsidRPr="00A66C9F">
              <w:rPr>
                <w:sz w:val="17"/>
                <w:lang w:val="fr-FR"/>
              </w:rPr>
              <w:t>(22,7)</w:t>
            </w:r>
          </w:p>
        </w:tc>
      </w:tr>
      <w:tr w:rsidR="006A2B1E" w:rsidRPr="00A66C9F" w14:paraId="70ACB341" w14:textId="77777777" w:rsidTr="00107D5D">
        <w:tc>
          <w:tcPr>
            <w:tcW w:w="2781" w:type="dxa"/>
            <w:tcBorders>
              <w:top w:val="single" w:sz="4" w:space="0" w:color="auto"/>
              <w:bottom w:val="single" w:sz="12" w:space="0" w:color="auto"/>
            </w:tcBorders>
            <w:shd w:val="clear" w:color="auto" w:fill="auto"/>
            <w:noWrap/>
            <w:tcMar>
              <w:left w:w="0" w:type="dxa"/>
              <w:right w:w="0" w:type="dxa"/>
            </w:tcMar>
            <w:vAlign w:val="bottom"/>
            <w:hideMark/>
          </w:tcPr>
          <w:p w14:paraId="5AA0C9EA" w14:textId="77777777" w:rsidR="006A2B1E" w:rsidRPr="00A66C9F" w:rsidRDefault="006A2B1E" w:rsidP="00107D5D">
            <w:pPr>
              <w:tabs>
                <w:tab w:val="left" w:pos="288"/>
                <w:tab w:val="left" w:pos="576"/>
                <w:tab w:val="left" w:pos="864"/>
                <w:tab w:val="left" w:pos="1152"/>
              </w:tabs>
              <w:suppressAutoHyphens/>
              <w:spacing w:before="82" w:after="82" w:line="210" w:lineRule="exact"/>
              <w:ind w:right="40"/>
              <w:rPr>
                <w:b/>
                <w:sz w:val="17"/>
                <w:lang w:val="fr-FR"/>
              </w:rPr>
            </w:pPr>
            <w:r w:rsidRPr="00A66C9F">
              <w:rPr>
                <w:b/>
                <w:sz w:val="17"/>
                <w:lang w:val="fr-FR"/>
              </w:rPr>
              <w:tab/>
              <w:t>Total</w:t>
            </w:r>
          </w:p>
        </w:tc>
        <w:tc>
          <w:tcPr>
            <w:tcW w:w="1137" w:type="dxa"/>
            <w:tcBorders>
              <w:top w:val="single" w:sz="4" w:space="0" w:color="auto"/>
              <w:bottom w:val="single" w:sz="12" w:space="0" w:color="auto"/>
            </w:tcBorders>
            <w:shd w:val="clear" w:color="auto" w:fill="auto"/>
            <w:noWrap/>
            <w:tcMar>
              <w:left w:w="0" w:type="dxa"/>
              <w:right w:w="0" w:type="dxa"/>
            </w:tcMar>
            <w:vAlign w:val="bottom"/>
          </w:tcPr>
          <w:p w14:paraId="656EED4C" w14:textId="77777777" w:rsidR="006A2B1E" w:rsidRPr="00A66C9F" w:rsidRDefault="006A2B1E" w:rsidP="00107D5D">
            <w:pPr>
              <w:tabs>
                <w:tab w:val="left" w:pos="288"/>
                <w:tab w:val="left" w:pos="576"/>
                <w:tab w:val="left" w:pos="864"/>
                <w:tab w:val="left" w:pos="1152"/>
              </w:tabs>
              <w:suppressAutoHyphens/>
              <w:spacing w:before="82" w:after="82" w:line="210" w:lineRule="exact"/>
              <w:ind w:right="43"/>
              <w:jc w:val="right"/>
              <w:rPr>
                <w:b/>
                <w:sz w:val="17"/>
                <w:lang w:val="fr-FR"/>
              </w:rPr>
            </w:pPr>
            <w:r w:rsidRPr="00A66C9F">
              <w:rPr>
                <w:b/>
                <w:sz w:val="17"/>
                <w:lang w:val="fr-FR"/>
              </w:rPr>
              <w:t>71 986,4</w:t>
            </w:r>
          </w:p>
        </w:tc>
        <w:tc>
          <w:tcPr>
            <w:tcW w:w="1137" w:type="dxa"/>
            <w:tcBorders>
              <w:top w:val="single" w:sz="4" w:space="0" w:color="auto"/>
              <w:bottom w:val="single" w:sz="12" w:space="0" w:color="auto"/>
            </w:tcBorders>
            <w:shd w:val="clear" w:color="auto" w:fill="auto"/>
            <w:noWrap/>
            <w:tcMar>
              <w:left w:w="0" w:type="dxa"/>
              <w:right w:w="0" w:type="dxa"/>
            </w:tcMar>
            <w:vAlign w:val="bottom"/>
          </w:tcPr>
          <w:p w14:paraId="6B926DE6" w14:textId="77777777" w:rsidR="006A2B1E" w:rsidRPr="00A66C9F" w:rsidRDefault="006A2B1E" w:rsidP="00107D5D">
            <w:pPr>
              <w:tabs>
                <w:tab w:val="left" w:pos="288"/>
                <w:tab w:val="left" w:pos="576"/>
                <w:tab w:val="left" w:pos="864"/>
                <w:tab w:val="left" w:pos="1152"/>
              </w:tabs>
              <w:suppressAutoHyphens/>
              <w:spacing w:before="82" w:after="82" w:line="210" w:lineRule="exact"/>
              <w:ind w:right="43"/>
              <w:jc w:val="right"/>
              <w:rPr>
                <w:b/>
                <w:sz w:val="17"/>
                <w:lang w:val="fr-FR"/>
              </w:rPr>
            </w:pPr>
            <w:r w:rsidRPr="00A66C9F">
              <w:rPr>
                <w:b/>
                <w:sz w:val="17"/>
                <w:lang w:val="fr-FR"/>
              </w:rPr>
              <w:t>60 874,7</w:t>
            </w:r>
          </w:p>
        </w:tc>
        <w:tc>
          <w:tcPr>
            <w:tcW w:w="1137" w:type="dxa"/>
            <w:tcBorders>
              <w:top w:val="single" w:sz="4" w:space="0" w:color="auto"/>
              <w:bottom w:val="single" w:sz="12" w:space="0" w:color="auto"/>
            </w:tcBorders>
            <w:shd w:val="clear" w:color="auto" w:fill="auto"/>
            <w:noWrap/>
            <w:tcMar>
              <w:left w:w="0" w:type="dxa"/>
              <w:right w:w="0" w:type="dxa"/>
            </w:tcMar>
            <w:vAlign w:val="bottom"/>
          </w:tcPr>
          <w:p w14:paraId="6B8F02F8" w14:textId="77777777" w:rsidR="006A2B1E" w:rsidRPr="00A66C9F" w:rsidRDefault="006A2B1E" w:rsidP="00107D5D">
            <w:pPr>
              <w:tabs>
                <w:tab w:val="left" w:pos="288"/>
                <w:tab w:val="left" w:pos="576"/>
                <w:tab w:val="left" w:pos="864"/>
                <w:tab w:val="left" w:pos="1152"/>
              </w:tabs>
              <w:suppressAutoHyphens/>
              <w:spacing w:before="82" w:after="82" w:line="210" w:lineRule="exact"/>
              <w:ind w:right="43"/>
              <w:jc w:val="right"/>
              <w:rPr>
                <w:b/>
                <w:sz w:val="17"/>
                <w:lang w:val="fr-FR"/>
              </w:rPr>
            </w:pPr>
            <w:r w:rsidRPr="00A66C9F">
              <w:rPr>
                <w:b/>
                <w:sz w:val="17"/>
                <w:lang w:val="fr-FR"/>
              </w:rPr>
              <w:t>11 111,7</w:t>
            </w:r>
          </w:p>
        </w:tc>
        <w:tc>
          <w:tcPr>
            <w:tcW w:w="1138" w:type="dxa"/>
            <w:tcBorders>
              <w:top w:val="single" w:sz="4" w:space="0" w:color="auto"/>
              <w:bottom w:val="single" w:sz="12" w:space="0" w:color="auto"/>
            </w:tcBorders>
            <w:shd w:val="clear" w:color="auto" w:fill="auto"/>
            <w:noWrap/>
            <w:tcMar>
              <w:left w:w="0" w:type="dxa"/>
              <w:right w:w="0" w:type="dxa"/>
            </w:tcMar>
            <w:vAlign w:val="bottom"/>
          </w:tcPr>
          <w:p w14:paraId="6871CC04" w14:textId="77777777" w:rsidR="006A2B1E" w:rsidRPr="00A66C9F" w:rsidRDefault="006A2B1E" w:rsidP="00107D5D">
            <w:pPr>
              <w:tabs>
                <w:tab w:val="left" w:pos="288"/>
                <w:tab w:val="left" w:pos="576"/>
                <w:tab w:val="left" w:pos="864"/>
                <w:tab w:val="left" w:pos="1152"/>
              </w:tabs>
              <w:suppressAutoHyphens/>
              <w:spacing w:before="82" w:after="82" w:line="210" w:lineRule="exact"/>
              <w:ind w:right="43"/>
              <w:jc w:val="right"/>
              <w:rPr>
                <w:b/>
                <w:sz w:val="17"/>
                <w:lang w:val="fr-FR"/>
              </w:rPr>
            </w:pPr>
            <w:r w:rsidRPr="00A66C9F">
              <w:rPr>
                <w:b/>
                <w:sz w:val="17"/>
                <w:lang w:val="fr-FR"/>
              </w:rPr>
              <w:t>18,3</w:t>
            </w:r>
          </w:p>
        </w:tc>
      </w:tr>
    </w:tbl>
    <w:p w14:paraId="2C65C3D8" w14:textId="77777777" w:rsidR="006A2B1E" w:rsidRPr="00A66C9F" w:rsidRDefault="006A2B1E" w:rsidP="006A2B1E">
      <w:pPr>
        <w:pStyle w:val="SingleTxt"/>
        <w:spacing w:after="0" w:line="120" w:lineRule="exact"/>
        <w:rPr>
          <w:sz w:val="10"/>
          <w:lang w:val="fr-FR"/>
        </w:rPr>
      </w:pPr>
    </w:p>
    <w:p w14:paraId="5716F96D" w14:textId="77777777" w:rsidR="006A2B1E" w:rsidRPr="00A66C9F" w:rsidRDefault="006A2B1E" w:rsidP="006A2B1E">
      <w:pPr>
        <w:pStyle w:val="SingleTxt"/>
        <w:spacing w:after="0" w:line="120" w:lineRule="exact"/>
        <w:rPr>
          <w:sz w:val="10"/>
          <w:lang w:val="fr-FR"/>
        </w:rPr>
      </w:pPr>
    </w:p>
    <w:p w14:paraId="276BC123" w14:textId="07589192" w:rsidR="006A2B1E" w:rsidRPr="00A66C9F" w:rsidRDefault="006A2B1E" w:rsidP="006A2B1E">
      <w:pPr>
        <w:pStyle w:val="SingleTxt"/>
        <w:numPr>
          <w:ilvl w:val="0"/>
          <w:numId w:val="9"/>
        </w:numPr>
        <w:tabs>
          <w:tab w:val="num" w:pos="2804"/>
        </w:tabs>
        <w:spacing w:line="240" w:lineRule="exact"/>
        <w:ind w:left="1267"/>
        <w:rPr>
          <w:spacing w:val="1"/>
          <w:w w:val="101"/>
          <w:szCs w:val="20"/>
          <w:lang w:val="fr-FR"/>
        </w:rPr>
      </w:pPr>
      <w:r w:rsidRPr="00A66C9F">
        <w:rPr>
          <w:lang w:val="fr-FR"/>
        </w:rPr>
        <w:t xml:space="preserve">En raison de la propagation de la maladie à coronavirus (COVID-19) dans le monde, l’incertitude qui règne sur le plan économique ne manquera pas d’avoir des répercussions sur la situation financière, le résultat des activités et les flux de trésorerie de la Caisse. L’évolution de la valeur du portefeuille de la Caisse, qui a fortement chuté comme suite au repli des marchés enregistré au premier trimestre 2020, suit la tendance négative observée sur les marchés. La pandémie de COVID-19 continuant de sévir, la Caisse s’attend à ce que les marchés restent instables dans les mois à venir. Au 12 juin 2020, la valeur de marché non auditée des investissements totaux de la Caisse, déduction faite de la trésorerie et équivalents de trésorerie détenus par le secrétariat de la Caisse, était estimée à environ 70 milliards de dollars. On </w:t>
      </w:r>
      <w:r w:rsidRPr="00A66C9F">
        <w:rPr>
          <w:spacing w:val="3"/>
          <w:lang w:val="fr-FR"/>
        </w:rPr>
        <w:t xml:space="preserve">trouvera plus d’informations et des mises à jour hebdomadaires sur la performance des </w:t>
      </w:r>
      <w:r w:rsidRPr="00A66C9F">
        <w:rPr>
          <w:spacing w:val="1"/>
          <w:w w:val="101"/>
          <w:lang w:val="fr-FR"/>
        </w:rPr>
        <w:t>investissements sur le site Web de la Caisse (</w:t>
      </w:r>
      <w:hyperlink r:id="rId12" w:history="1">
        <w:r w:rsidRPr="00A66C9F">
          <w:rPr>
            <w:rStyle w:val="Hyperlink"/>
            <w:spacing w:val="1"/>
            <w:w w:val="101"/>
            <w:lang w:val="fr-FR"/>
          </w:rPr>
          <w:t>https://oim.unjspf.org/investments-at-glance/</w:t>
        </w:r>
        <w:r w:rsidRPr="00A66C9F">
          <w:rPr>
            <w:rStyle w:val="Hyperlink"/>
            <w:spacing w:val="1"/>
            <w:w w:val="101"/>
            <w:lang w:val="fr-FR"/>
          </w:rPr>
          <w:br/>
          <w:t>weekly-fund-performance</w:t>
        </w:r>
      </w:hyperlink>
      <w:r w:rsidRPr="00A66C9F">
        <w:rPr>
          <w:spacing w:val="1"/>
          <w:w w:val="101"/>
          <w:lang w:val="fr-FR"/>
        </w:rPr>
        <w:t>).</w:t>
      </w:r>
    </w:p>
    <w:p w14:paraId="6BDD1CD3" w14:textId="77777777" w:rsidR="006A2B1E" w:rsidRPr="00A66C9F" w:rsidRDefault="006A2B1E" w:rsidP="006A2B1E">
      <w:pPr>
        <w:pStyle w:val="SingleTxt"/>
        <w:numPr>
          <w:ilvl w:val="0"/>
          <w:numId w:val="9"/>
        </w:numPr>
        <w:tabs>
          <w:tab w:val="num" w:pos="2804"/>
        </w:tabs>
        <w:spacing w:line="240" w:lineRule="exact"/>
        <w:ind w:left="1267"/>
        <w:rPr>
          <w:szCs w:val="20"/>
          <w:lang w:val="fr-FR"/>
        </w:rPr>
      </w:pPr>
      <w:r w:rsidRPr="00A66C9F">
        <w:rPr>
          <w:lang w:val="fr-FR"/>
        </w:rPr>
        <w:t>Le montant total du passif de la Caisse s’élevait à 256,5 millions de dollars au 31 décembre 2019, contre 362,9 millions en 2018, ce qui représente une diminution de 106,4 millions de dollars (29,3 %). Celle-ci s’explique principalement par une diminution de 132,7 millions de dollars des sommes à payer au titre de la cession de titres, contrebalancée par une augmentation de 16,1 millions de dollars des engagements au titre de l’assurance maladie après la cessation de service et des engagements au titre d’autres avantages du personnel.</w:t>
      </w:r>
    </w:p>
    <w:p w14:paraId="1CA7C4F0" w14:textId="77777777" w:rsidR="006A2B1E" w:rsidRPr="00A66C9F" w:rsidRDefault="006A2B1E" w:rsidP="006A2B1E">
      <w:pPr>
        <w:pStyle w:val="SingleTxt"/>
        <w:spacing w:after="0" w:line="120" w:lineRule="exact"/>
        <w:rPr>
          <w:sz w:val="10"/>
          <w:lang w:val="fr-FR"/>
        </w:rPr>
      </w:pPr>
    </w:p>
    <w:p w14:paraId="6B3AEF72" w14:textId="77777777" w:rsidR="006A2B1E" w:rsidRPr="00A66C9F" w:rsidRDefault="006A2B1E" w:rsidP="006A2B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fr-FR"/>
        </w:rPr>
      </w:pPr>
      <w:bookmarkStart w:id="11" w:name="_Toc38529159"/>
      <w:r w:rsidRPr="00A66C9F">
        <w:rPr>
          <w:lang w:val="fr-FR"/>
        </w:rPr>
        <w:tab/>
      </w:r>
      <w:r w:rsidRPr="00A66C9F">
        <w:rPr>
          <w:lang w:val="fr-FR"/>
        </w:rPr>
        <w:tab/>
        <w:t>Situation actuarielle de la Caisse</w:t>
      </w:r>
      <w:bookmarkEnd w:id="11"/>
    </w:p>
    <w:p w14:paraId="4F00D476" w14:textId="77777777" w:rsidR="006A2B1E" w:rsidRPr="00A66C9F" w:rsidRDefault="006A2B1E" w:rsidP="006A2B1E">
      <w:pPr>
        <w:pStyle w:val="SingleTxt"/>
        <w:spacing w:after="0" w:line="120" w:lineRule="exact"/>
        <w:rPr>
          <w:sz w:val="10"/>
          <w:szCs w:val="20"/>
          <w:lang w:val="fr-FR"/>
        </w:rPr>
      </w:pPr>
    </w:p>
    <w:p w14:paraId="6DE38A02" w14:textId="77777777" w:rsidR="006A2B1E" w:rsidRPr="00A66C9F" w:rsidRDefault="006A2B1E" w:rsidP="006A2B1E">
      <w:pPr>
        <w:pStyle w:val="SingleTxt"/>
        <w:numPr>
          <w:ilvl w:val="0"/>
          <w:numId w:val="9"/>
        </w:numPr>
        <w:tabs>
          <w:tab w:val="num" w:pos="2804"/>
        </w:tabs>
        <w:spacing w:line="240" w:lineRule="exact"/>
        <w:ind w:left="1267"/>
        <w:rPr>
          <w:szCs w:val="20"/>
          <w:lang w:val="fr-FR"/>
        </w:rPr>
      </w:pPr>
      <w:r w:rsidRPr="00A66C9F">
        <w:rPr>
          <w:lang w:val="fr-FR"/>
        </w:rPr>
        <w:t xml:space="preserve">La valeur actuarielle des droits à prestations accumulés (prestations promises), qui ne tient pas compte des augmentations futures de la rémunération considérée aux fins de la pension, est établie par des actuaires indépendants. Elle est calculée par application d’hypothèses actuarielles qui servent à ajuster les droits à prestations accumulés afin de traduire la valeur temporelle de l’argent (par application de taux d’actualisation pour l’intérêt) et la probabilité du paiement (par application des </w:t>
      </w:r>
      <w:r w:rsidRPr="00A66C9F">
        <w:rPr>
          <w:lang w:val="fr-FR"/>
        </w:rPr>
        <w:lastRenderedPageBreak/>
        <w:t>défalcations voulues pour tenir compte des décès, des invalidités et des départs, y compris des départs à la retraite) entre la date de l’évaluation et la date escomptée du paiement.</w:t>
      </w:r>
    </w:p>
    <w:p w14:paraId="4D325215" w14:textId="77777777" w:rsidR="006A2B1E" w:rsidRPr="00A66C9F" w:rsidRDefault="006A2B1E" w:rsidP="006A2B1E">
      <w:pPr>
        <w:pStyle w:val="SingleTxt"/>
        <w:numPr>
          <w:ilvl w:val="0"/>
          <w:numId w:val="9"/>
        </w:numPr>
        <w:tabs>
          <w:tab w:val="num" w:pos="2804"/>
        </w:tabs>
        <w:spacing w:line="240" w:lineRule="exact"/>
        <w:ind w:left="1267"/>
        <w:rPr>
          <w:lang w:val="fr-FR"/>
        </w:rPr>
      </w:pPr>
      <w:r w:rsidRPr="00A66C9F">
        <w:rPr>
          <w:lang w:val="fr-FR"/>
        </w:rPr>
        <w:t>La valeur actuarielle des droits à prestations accumulés au 31 décembre 2019 est indiquée dans le tableau ci-après :</w:t>
      </w:r>
    </w:p>
    <w:p w14:paraId="1E83C413" w14:textId="77777777" w:rsidR="006A2B1E" w:rsidRPr="00A66C9F" w:rsidRDefault="006A2B1E" w:rsidP="006A2B1E">
      <w:pPr>
        <w:pStyle w:val="SingleTxt"/>
        <w:spacing w:after="0" w:line="120" w:lineRule="exact"/>
        <w:rPr>
          <w:sz w:val="10"/>
          <w:lang w:val="fr-FR"/>
        </w:rPr>
      </w:pPr>
    </w:p>
    <w:p w14:paraId="4005DB94" w14:textId="77777777" w:rsidR="006A2B1E" w:rsidRPr="00A66C9F" w:rsidRDefault="006A2B1E" w:rsidP="006A2B1E">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lang w:val="fr-FR"/>
        </w:rPr>
        <w:tab/>
      </w:r>
      <w:r w:rsidRPr="00A66C9F">
        <w:rPr>
          <w:lang w:val="fr-FR"/>
        </w:rPr>
        <w:tab/>
      </w:r>
      <w:r w:rsidRPr="00A66C9F">
        <w:rPr>
          <w:sz w:val="14"/>
          <w:szCs w:val="14"/>
          <w:lang w:val="fr-FR"/>
        </w:rPr>
        <w:t>(En millions de dollars des États-Unis)</w:t>
      </w:r>
    </w:p>
    <w:p w14:paraId="3BC58BF7" w14:textId="77777777" w:rsidR="006A2B1E" w:rsidRPr="00A66C9F" w:rsidRDefault="006A2B1E" w:rsidP="006A2B1E">
      <w:pPr>
        <w:pStyle w:val="SingleTxt"/>
        <w:spacing w:after="0" w:line="120" w:lineRule="exact"/>
        <w:rPr>
          <w:sz w:val="10"/>
          <w:lang w:val="fr-FR"/>
        </w:rPr>
      </w:pPr>
    </w:p>
    <w:p w14:paraId="24975C59" w14:textId="77777777" w:rsidR="006A2B1E" w:rsidRPr="00A66C9F" w:rsidRDefault="006A2B1E" w:rsidP="006A2B1E">
      <w:pPr>
        <w:pStyle w:val="SingleTxt"/>
        <w:spacing w:after="0" w:line="120" w:lineRule="exact"/>
        <w:rPr>
          <w:sz w:val="10"/>
          <w:lang w:val="fr-FR"/>
        </w:rPr>
      </w:pPr>
    </w:p>
    <w:tbl>
      <w:tblPr>
        <w:tblW w:w="7330" w:type="dxa"/>
        <w:tblInd w:w="1267" w:type="dxa"/>
        <w:tblLayout w:type="fixed"/>
        <w:tblCellMar>
          <w:left w:w="0" w:type="dxa"/>
          <w:right w:w="0" w:type="dxa"/>
        </w:tblCellMar>
        <w:tblLook w:val="00A0" w:firstRow="1" w:lastRow="0" w:firstColumn="1" w:lastColumn="0" w:noHBand="0" w:noVBand="0"/>
      </w:tblPr>
      <w:tblGrid>
        <w:gridCol w:w="3684"/>
        <w:gridCol w:w="1823"/>
        <w:gridCol w:w="1823"/>
      </w:tblGrid>
      <w:tr w:rsidR="006A2B1E" w:rsidRPr="00A66C9F" w14:paraId="67E529D7" w14:textId="77777777" w:rsidTr="00107D5D">
        <w:trPr>
          <w:tblHeader/>
        </w:trPr>
        <w:tc>
          <w:tcPr>
            <w:tcW w:w="3684" w:type="dxa"/>
            <w:vMerge w:val="restart"/>
            <w:tcBorders>
              <w:top w:val="single" w:sz="4" w:space="0" w:color="auto"/>
            </w:tcBorders>
            <w:shd w:val="clear" w:color="auto" w:fill="auto"/>
            <w:noWrap/>
            <w:tcMar>
              <w:left w:w="0" w:type="dxa"/>
              <w:right w:w="0" w:type="dxa"/>
            </w:tcMar>
            <w:vAlign w:val="bottom"/>
          </w:tcPr>
          <w:p w14:paraId="5DBE7F19" w14:textId="77777777" w:rsidR="006A2B1E" w:rsidRPr="00A66C9F" w:rsidRDefault="006A2B1E" w:rsidP="00107D5D">
            <w:pPr>
              <w:suppressAutoHyphens/>
              <w:spacing w:before="81" w:after="81" w:line="160" w:lineRule="exact"/>
              <w:ind w:right="40"/>
              <w:rPr>
                <w:i/>
                <w:sz w:val="14"/>
                <w:lang w:val="fr-FR"/>
              </w:rPr>
            </w:pPr>
          </w:p>
        </w:tc>
        <w:tc>
          <w:tcPr>
            <w:tcW w:w="3646" w:type="dxa"/>
            <w:gridSpan w:val="2"/>
            <w:tcBorders>
              <w:top w:val="single" w:sz="4" w:space="0" w:color="auto"/>
              <w:bottom w:val="single" w:sz="4" w:space="0" w:color="auto"/>
            </w:tcBorders>
            <w:shd w:val="clear" w:color="auto" w:fill="auto"/>
            <w:vAlign w:val="bottom"/>
          </w:tcPr>
          <w:p w14:paraId="701EC7D5" w14:textId="77777777" w:rsidR="006A2B1E" w:rsidRPr="00A66C9F" w:rsidRDefault="006A2B1E" w:rsidP="00107D5D">
            <w:pPr>
              <w:suppressAutoHyphens/>
              <w:spacing w:before="81" w:after="81" w:line="160" w:lineRule="exact"/>
              <w:ind w:right="43"/>
              <w:jc w:val="center"/>
              <w:rPr>
                <w:i/>
                <w:sz w:val="14"/>
                <w:lang w:val="fr-FR"/>
              </w:rPr>
            </w:pPr>
            <w:r w:rsidRPr="00A66C9F">
              <w:rPr>
                <w:i/>
                <w:sz w:val="14"/>
                <w:lang w:val="fr-FR"/>
              </w:rPr>
              <w:t xml:space="preserve">Si les pensions futures sont payées en application </w:t>
            </w:r>
            <w:r w:rsidRPr="00A66C9F">
              <w:rPr>
                <w:i/>
                <w:sz w:val="14"/>
                <w:lang w:val="fr-FR"/>
              </w:rPr>
              <w:br/>
              <w:t>du Règlement</w:t>
            </w:r>
          </w:p>
        </w:tc>
      </w:tr>
      <w:tr w:rsidR="006A2B1E" w:rsidRPr="00A66C9F" w14:paraId="5D091CD0" w14:textId="77777777" w:rsidTr="00107D5D">
        <w:trPr>
          <w:tblHeader/>
        </w:trPr>
        <w:tc>
          <w:tcPr>
            <w:tcW w:w="3684" w:type="dxa"/>
            <w:vMerge/>
            <w:tcBorders>
              <w:bottom w:val="single" w:sz="12" w:space="0" w:color="auto"/>
            </w:tcBorders>
            <w:shd w:val="clear" w:color="auto" w:fill="auto"/>
            <w:noWrap/>
            <w:tcMar>
              <w:left w:w="0" w:type="dxa"/>
              <w:right w:w="0" w:type="dxa"/>
            </w:tcMar>
            <w:vAlign w:val="bottom"/>
            <w:hideMark/>
          </w:tcPr>
          <w:p w14:paraId="5D8319DC" w14:textId="77777777" w:rsidR="006A2B1E" w:rsidRPr="00A66C9F" w:rsidRDefault="006A2B1E" w:rsidP="00107D5D">
            <w:pPr>
              <w:suppressAutoHyphens/>
              <w:spacing w:before="81" w:after="81" w:line="160" w:lineRule="exact"/>
              <w:ind w:right="40"/>
              <w:rPr>
                <w:i/>
                <w:sz w:val="14"/>
                <w:lang w:val="fr-FR"/>
              </w:rPr>
            </w:pPr>
          </w:p>
        </w:tc>
        <w:tc>
          <w:tcPr>
            <w:tcW w:w="1823" w:type="dxa"/>
            <w:tcBorders>
              <w:top w:val="single" w:sz="4" w:space="0" w:color="auto"/>
              <w:bottom w:val="single" w:sz="12" w:space="0" w:color="auto"/>
            </w:tcBorders>
            <w:shd w:val="clear" w:color="auto" w:fill="auto"/>
            <w:noWrap/>
            <w:tcMar>
              <w:left w:w="0" w:type="dxa"/>
              <w:right w:w="0" w:type="dxa"/>
            </w:tcMar>
            <w:vAlign w:val="bottom"/>
            <w:hideMark/>
          </w:tcPr>
          <w:p w14:paraId="0983F753" w14:textId="77777777" w:rsidR="006A2B1E" w:rsidRPr="00A66C9F" w:rsidRDefault="006A2B1E" w:rsidP="00107D5D">
            <w:pPr>
              <w:suppressAutoHyphens/>
              <w:spacing w:before="81" w:after="81" w:line="160" w:lineRule="exact"/>
              <w:ind w:right="40"/>
              <w:jc w:val="right"/>
              <w:rPr>
                <w:i/>
                <w:sz w:val="14"/>
                <w:lang w:val="fr-FR"/>
              </w:rPr>
            </w:pPr>
            <w:r w:rsidRPr="00A66C9F">
              <w:rPr>
                <w:i/>
                <w:sz w:val="14"/>
                <w:lang w:val="fr-FR"/>
              </w:rPr>
              <w:t>Sans ajustement</w:t>
            </w:r>
            <w:r w:rsidRPr="00A66C9F">
              <w:rPr>
                <w:i/>
                <w:sz w:val="14"/>
                <w:lang w:val="fr-FR"/>
              </w:rPr>
              <w:br/>
              <w:t>des pensions</w:t>
            </w:r>
          </w:p>
        </w:tc>
        <w:tc>
          <w:tcPr>
            <w:tcW w:w="1823" w:type="dxa"/>
            <w:tcBorders>
              <w:top w:val="single" w:sz="4" w:space="0" w:color="auto"/>
              <w:bottom w:val="single" w:sz="12" w:space="0" w:color="auto"/>
            </w:tcBorders>
            <w:shd w:val="clear" w:color="auto" w:fill="auto"/>
            <w:noWrap/>
            <w:tcMar>
              <w:left w:w="0" w:type="dxa"/>
              <w:right w:w="0" w:type="dxa"/>
            </w:tcMar>
            <w:vAlign w:val="bottom"/>
            <w:hideMark/>
          </w:tcPr>
          <w:p w14:paraId="26B3DBEF" w14:textId="77777777" w:rsidR="006A2B1E" w:rsidRPr="00A66C9F" w:rsidRDefault="006A2B1E" w:rsidP="00107D5D">
            <w:pPr>
              <w:suppressAutoHyphens/>
              <w:spacing w:before="81" w:after="81" w:line="160" w:lineRule="exact"/>
              <w:ind w:right="40"/>
              <w:jc w:val="right"/>
              <w:rPr>
                <w:i/>
                <w:sz w:val="14"/>
                <w:lang w:val="fr-FR"/>
              </w:rPr>
            </w:pPr>
            <w:r w:rsidRPr="00A66C9F">
              <w:rPr>
                <w:i/>
                <w:sz w:val="14"/>
                <w:lang w:val="fr-FR"/>
              </w:rPr>
              <w:t>Avec ajustement</w:t>
            </w:r>
            <w:r w:rsidRPr="00A66C9F">
              <w:rPr>
                <w:i/>
                <w:sz w:val="14"/>
                <w:lang w:val="fr-FR"/>
              </w:rPr>
              <w:br/>
              <w:t>des pensions</w:t>
            </w:r>
          </w:p>
        </w:tc>
      </w:tr>
      <w:tr w:rsidR="006A2B1E" w:rsidRPr="00A66C9F" w14:paraId="4D6BE36C" w14:textId="77777777" w:rsidTr="00107D5D">
        <w:trPr>
          <w:trHeight w:hRule="exact" w:val="115"/>
          <w:tblHeader/>
        </w:trPr>
        <w:tc>
          <w:tcPr>
            <w:tcW w:w="3684" w:type="dxa"/>
            <w:tcBorders>
              <w:top w:val="single" w:sz="12" w:space="0" w:color="auto"/>
            </w:tcBorders>
            <w:shd w:val="clear" w:color="auto" w:fill="auto"/>
            <w:noWrap/>
            <w:tcMar>
              <w:left w:w="0" w:type="dxa"/>
              <w:right w:w="0" w:type="dxa"/>
            </w:tcMar>
            <w:vAlign w:val="bottom"/>
          </w:tcPr>
          <w:p w14:paraId="41A35238" w14:textId="77777777" w:rsidR="006A2B1E" w:rsidRPr="00A66C9F" w:rsidRDefault="006A2B1E" w:rsidP="00107D5D">
            <w:pPr>
              <w:suppressAutoHyphens/>
              <w:spacing w:before="40" w:after="40" w:line="210" w:lineRule="exact"/>
              <w:ind w:right="40"/>
              <w:rPr>
                <w:sz w:val="17"/>
                <w:lang w:val="fr-FR"/>
              </w:rPr>
            </w:pPr>
          </w:p>
        </w:tc>
        <w:tc>
          <w:tcPr>
            <w:tcW w:w="1823" w:type="dxa"/>
            <w:tcBorders>
              <w:top w:val="single" w:sz="12" w:space="0" w:color="auto"/>
            </w:tcBorders>
            <w:shd w:val="clear" w:color="auto" w:fill="auto"/>
            <w:noWrap/>
            <w:tcMar>
              <w:left w:w="0" w:type="dxa"/>
              <w:right w:w="0" w:type="dxa"/>
            </w:tcMar>
            <w:vAlign w:val="bottom"/>
          </w:tcPr>
          <w:p w14:paraId="31961572" w14:textId="77777777" w:rsidR="006A2B1E" w:rsidRPr="00A66C9F" w:rsidRDefault="006A2B1E" w:rsidP="00107D5D">
            <w:pPr>
              <w:suppressAutoHyphens/>
              <w:spacing w:before="40" w:after="40" w:line="210" w:lineRule="exact"/>
              <w:ind w:right="40"/>
              <w:jc w:val="right"/>
              <w:rPr>
                <w:sz w:val="17"/>
                <w:lang w:val="fr-FR"/>
              </w:rPr>
            </w:pPr>
          </w:p>
        </w:tc>
        <w:tc>
          <w:tcPr>
            <w:tcW w:w="1823" w:type="dxa"/>
            <w:tcBorders>
              <w:top w:val="single" w:sz="12" w:space="0" w:color="auto"/>
            </w:tcBorders>
            <w:shd w:val="clear" w:color="auto" w:fill="auto"/>
            <w:noWrap/>
            <w:tcMar>
              <w:left w:w="0" w:type="dxa"/>
              <w:right w:w="0" w:type="dxa"/>
            </w:tcMar>
            <w:vAlign w:val="bottom"/>
          </w:tcPr>
          <w:p w14:paraId="65C18DDA" w14:textId="77777777" w:rsidR="006A2B1E" w:rsidRPr="00A66C9F" w:rsidRDefault="006A2B1E" w:rsidP="00107D5D">
            <w:pPr>
              <w:suppressAutoHyphens/>
              <w:spacing w:before="40" w:after="40" w:line="210" w:lineRule="exact"/>
              <w:ind w:right="40"/>
              <w:jc w:val="right"/>
              <w:rPr>
                <w:sz w:val="17"/>
                <w:lang w:val="fr-FR"/>
              </w:rPr>
            </w:pPr>
          </w:p>
        </w:tc>
      </w:tr>
      <w:tr w:rsidR="006A2B1E" w:rsidRPr="00A66C9F" w14:paraId="37E3E02D" w14:textId="77777777" w:rsidTr="00107D5D">
        <w:tc>
          <w:tcPr>
            <w:tcW w:w="3684" w:type="dxa"/>
            <w:shd w:val="clear" w:color="auto" w:fill="auto"/>
            <w:noWrap/>
            <w:tcMar>
              <w:left w:w="0" w:type="dxa"/>
              <w:right w:w="0" w:type="dxa"/>
            </w:tcMar>
            <w:vAlign w:val="bottom"/>
            <w:hideMark/>
          </w:tcPr>
          <w:p w14:paraId="3F009068" w14:textId="77777777" w:rsidR="006A2B1E" w:rsidRPr="00A66C9F" w:rsidRDefault="006A2B1E"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Valeur actuarielle des droits acquis</w:t>
            </w:r>
          </w:p>
        </w:tc>
        <w:tc>
          <w:tcPr>
            <w:tcW w:w="1823" w:type="dxa"/>
            <w:shd w:val="clear" w:color="auto" w:fill="auto"/>
            <w:noWrap/>
            <w:tcMar>
              <w:left w:w="0" w:type="dxa"/>
              <w:right w:w="0" w:type="dxa"/>
            </w:tcMar>
            <w:vAlign w:val="bottom"/>
          </w:tcPr>
          <w:p w14:paraId="13B0CE62" w14:textId="77777777" w:rsidR="006A2B1E" w:rsidRPr="00A66C9F" w:rsidRDefault="006A2B1E" w:rsidP="00107D5D">
            <w:pPr>
              <w:tabs>
                <w:tab w:val="left" w:pos="288"/>
                <w:tab w:val="left" w:pos="576"/>
                <w:tab w:val="left" w:pos="864"/>
                <w:tab w:val="left" w:pos="1152"/>
              </w:tabs>
              <w:suppressAutoHyphens/>
              <w:spacing w:before="40" w:after="40" w:line="210" w:lineRule="exact"/>
              <w:ind w:right="40"/>
              <w:jc w:val="right"/>
              <w:rPr>
                <w:sz w:val="17"/>
                <w:lang w:val="fr-FR"/>
              </w:rPr>
            </w:pPr>
          </w:p>
        </w:tc>
        <w:tc>
          <w:tcPr>
            <w:tcW w:w="1823" w:type="dxa"/>
            <w:shd w:val="clear" w:color="auto" w:fill="auto"/>
            <w:noWrap/>
            <w:tcMar>
              <w:left w:w="0" w:type="dxa"/>
              <w:right w:w="0" w:type="dxa"/>
            </w:tcMar>
            <w:vAlign w:val="bottom"/>
          </w:tcPr>
          <w:p w14:paraId="00EA4EF6" w14:textId="77777777" w:rsidR="006A2B1E" w:rsidRPr="00A66C9F" w:rsidRDefault="006A2B1E" w:rsidP="00107D5D">
            <w:pPr>
              <w:tabs>
                <w:tab w:val="left" w:pos="288"/>
                <w:tab w:val="left" w:pos="576"/>
                <w:tab w:val="left" w:pos="864"/>
                <w:tab w:val="left" w:pos="1152"/>
              </w:tabs>
              <w:suppressAutoHyphens/>
              <w:spacing w:before="40" w:after="40" w:line="210" w:lineRule="exact"/>
              <w:ind w:right="40"/>
              <w:jc w:val="right"/>
              <w:rPr>
                <w:sz w:val="17"/>
                <w:lang w:val="fr-FR"/>
              </w:rPr>
            </w:pPr>
          </w:p>
        </w:tc>
      </w:tr>
      <w:tr w:rsidR="006A2B1E" w:rsidRPr="00A66C9F" w14:paraId="146F167A" w14:textId="77777777" w:rsidTr="00107D5D">
        <w:tc>
          <w:tcPr>
            <w:tcW w:w="3684" w:type="dxa"/>
            <w:shd w:val="clear" w:color="auto" w:fill="auto"/>
            <w:noWrap/>
            <w:tcMar>
              <w:left w:w="0" w:type="dxa"/>
              <w:right w:w="0" w:type="dxa"/>
            </w:tcMar>
            <w:vAlign w:val="bottom"/>
            <w:hideMark/>
          </w:tcPr>
          <w:p w14:paraId="3C1BE9A7" w14:textId="77777777" w:rsidR="006A2B1E" w:rsidRPr="00A66C9F" w:rsidRDefault="006A2B1E" w:rsidP="00107D5D">
            <w:pPr>
              <w:tabs>
                <w:tab w:val="left" w:pos="288"/>
                <w:tab w:val="left" w:pos="576"/>
                <w:tab w:val="left" w:pos="864"/>
                <w:tab w:val="left" w:pos="1152"/>
              </w:tabs>
              <w:suppressAutoHyphens/>
              <w:spacing w:before="40" w:after="40" w:line="210" w:lineRule="exact"/>
              <w:ind w:left="288" w:right="40" w:hanging="288"/>
              <w:rPr>
                <w:sz w:val="17"/>
                <w:lang w:val="fr-FR"/>
              </w:rPr>
            </w:pPr>
            <w:r w:rsidRPr="00A66C9F">
              <w:rPr>
                <w:sz w:val="17"/>
                <w:lang w:val="fr-FR"/>
              </w:rPr>
              <w:tab/>
              <w:t>Participants touchant actuellement des prestations</w:t>
            </w:r>
          </w:p>
        </w:tc>
        <w:tc>
          <w:tcPr>
            <w:tcW w:w="1823" w:type="dxa"/>
            <w:shd w:val="clear" w:color="auto" w:fill="auto"/>
            <w:noWrap/>
            <w:tcMar>
              <w:left w:w="0" w:type="dxa"/>
              <w:right w:w="0" w:type="dxa"/>
            </w:tcMar>
            <w:vAlign w:val="bottom"/>
          </w:tcPr>
          <w:p w14:paraId="15DF7FAA" w14:textId="77777777" w:rsidR="006A2B1E" w:rsidRPr="00A66C9F" w:rsidRDefault="006A2B1E" w:rsidP="00107D5D">
            <w:pPr>
              <w:tabs>
                <w:tab w:val="left" w:pos="288"/>
                <w:tab w:val="left" w:pos="576"/>
                <w:tab w:val="left" w:pos="864"/>
                <w:tab w:val="left" w:pos="1152"/>
              </w:tabs>
              <w:suppressAutoHyphens/>
              <w:spacing w:before="40" w:after="40" w:line="210" w:lineRule="exact"/>
              <w:ind w:right="40"/>
              <w:jc w:val="right"/>
              <w:rPr>
                <w:sz w:val="17"/>
                <w:lang w:val="fr-FR"/>
              </w:rPr>
            </w:pPr>
            <w:r w:rsidRPr="00A66C9F">
              <w:rPr>
                <w:sz w:val="17"/>
                <w:lang w:val="fr-FR"/>
              </w:rPr>
              <w:t>26 482</w:t>
            </w:r>
          </w:p>
        </w:tc>
        <w:tc>
          <w:tcPr>
            <w:tcW w:w="1823" w:type="dxa"/>
            <w:shd w:val="clear" w:color="auto" w:fill="auto"/>
            <w:noWrap/>
            <w:tcMar>
              <w:left w:w="0" w:type="dxa"/>
              <w:right w:w="0" w:type="dxa"/>
            </w:tcMar>
            <w:vAlign w:val="bottom"/>
          </w:tcPr>
          <w:p w14:paraId="3A3167FD" w14:textId="77777777" w:rsidR="006A2B1E" w:rsidRPr="00A66C9F" w:rsidRDefault="006A2B1E" w:rsidP="00107D5D">
            <w:pPr>
              <w:tabs>
                <w:tab w:val="left" w:pos="288"/>
                <w:tab w:val="left" w:pos="576"/>
                <w:tab w:val="left" w:pos="864"/>
                <w:tab w:val="left" w:pos="1152"/>
              </w:tabs>
              <w:suppressAutoHyphens/>
              <w:spacing w:before="40" w:after="40" w:line="210" w:lineRule="exact"/>
              <w:ind w:right="40"/>
              <w:jc w:val="right"/>
              <w:rPr>
                <w:sz w:val="17"/>
                <w:lang w:val="fr-FR"/>
              </w:rPr>
            </w:pPr>
            <w:r w:rsidRPr="00A66C9F">
              <w:rPr>
                <w:sz w:val="17"/>
                <w:lang w:val="fr-FR"/>
              </w:rPr>
              <w:t>34 703</w:t>
            </w:r>
          </w:p>
        </w:tc>
      </w:tr>
      <w:tr w:rsidR="006A2B1E" w:rsidRPr="00A66C9F" w14:paraId="5F5825E4" w14:textId="77777777" w:rsidTr="00107D5D">
        <w:tc>
          <w:tcPr>
            <w:tcW w:w="3684" w:type="dxa"/>
            <w:shd w:val="clear" w:color="auto" w:fill="auto"/>
            <w:noWrap/>
            <w:tcMar>
              <w:left w:w="0" w:type="dxa"/>
              <w:right w:w="0" w:type="dxa"/>
            </w:tcMar>
            <w:vAlign w:val="bottom"/>
            <w:hideMark/>
          </w:tcPr>
          <w:p w14:paraId="04BDF754" w14:textId="77777777" w:rsidR="006A2B1E" w:rsidRPr="00A66C9F" w:rsidRDefault="006A2B1E" w:rsidP="00107D5D">
            <w:pPr>
              <w:tabs>
                <w:tab w:val="left" w:pos="288"/>
                <w:tab w:val="left" w:pos="576"/>
                <w:tab w:val="left" w:pos="864"/>
                <w:tab w:val="left" w:pos="1152"/>
              </w:tabs>
              <w:suppressAutoHyphens/>
              <w:spacing w:before="40" w:after="40" w:line="210" w:lineRule="exact"/>
              <w:ind w:left="288" w:right="40" w:hanging="288"/>
              <w:rPr>
                <w:sz w:val="17"/>
                <w:lang w:val="fr-FR"/>
              </w:rPr>
            </w:pPr>
            <w:r w:rsidRPr="00A66C9F">
              <w:rPr>
                <w:sz w:val="17"/>
                <w:lang w:val="fr-FR"/>
              </w:rPr>
              <w:tab/>
              <w:t>Participants ne travaillant plus pour l’une des organisations affiliées, mais ne touchant pas encore de prestations (droits acquis)</w:t>
            </w:r>
          </w:p>
        </w:tc>
        <w:tc>
          <w:tcPr>
            <w:tcW w:w="1823" w:type="dxa"/>
            <w:shd w:val="clear" w:color="auto" w:fill="auto"/>
            <w:noWrap/>
            <w:tcMar>
              <w:left w:w="0" w:type="dxa"/>
              <w:right w:w="0" w:type="dxa"/>
            </w:tcMar>
            <w:vAlign w:val="bottom"/>
          </w:tcPr>
          <w:p w14:paraId="06C5FD0E" w14:textId="77777777" w:rsidR="006A2B1E" w:rsidRPr="00A66C9F" w:rsidRDefault="006A2B1E" w:rsidP="00107D5D">
            <w:pPr>
              <w:tabs>
                <w:tab w:val="left" w:pos="288"/>
                <w:tab w:val="left" w:pos="576"/>
                <w:tab w:val="left" w:pos="864"/>
                <w:tab w:val="left" w:pos="1152"/>
              </w:tabs>
              <w:suppressAutoHyphens/>
              <w:spacing w:before="40" w:after="40" w:line="210" w:lineRule="exact"/>
              <w:ind w:right="40"/>
              <w:jc w:val="right"/>
              <w:rPr>
                <w:sz w:val="17"/>
                <w:lang w:val="fr-FR"/>
              </w:rPr>
            </w:pPr>
            <w:r w:rsidRPr="00A66C9F">
              <w:rPr>
                <w:sz w:val="17"/>
                <w:lang w:val="fr-FR"/>
              </w:rPr>
              <w:t>1 078</w:t>
            </w:r>
          </w:p>
        </w:tc>
        <w:tc>
          <w:tcPr>
            <w:tcW w:w="1823" w:type="dxa"/>
            <w:shd w:val="clear" w:color="auto" w:fill="auto"/>
            <w:noWrap/>
            <w:tcMar>
              <w:left w:w="0" w:type="dxa"/>
              <w:right w:w="0" w:type="dxa"/>
            </w:tcMar>
            <w:vAlign w:val="bottom"/>
          </w:tcPr>
          <w:p w14:paraId="7489A3A7" w14:textId="77777777" w:rsidR="006A2B1E" w:rsidRPr="00A66C9F" w:rsidRDefault="006A2B1E" w:rsidP="00107D5D">
            <w:pPr>
              <w:tabs>
                <w:tab w:val="left" w:pos="288"/>
                <w:tab w:val="left" w:pos="576"/>
                <w:tab w:val="left" w:pos="864"/>
                <w:tab w:val="left" w:pos="1152"/>
              </w:tabs>
              <w:suppressAutoHyphens/>
              <w:spacing w:before="40" w:after="40" w:line="210" w:lineRule="exact"/>
              <w:ind w:right="40"/>
              <w:jc w:val="right"/>
              <w:rPr>
                <w:sz w:val="17"/>
                <w:lang w:val="fr-FR"/>
              </w:rPr>
            </w:pPr>
            <w:r w:rsidRPr="00A66C9F">
              <w:rPr>
                <w:sz w:val="17"/>
                <w:lang w:val="fr-FR"/>
              </w:rPr>
              <w:t>1 852</w:t>
            </w:r>
          </w:p>
        </w:tc>
      </w:tr>
      <w:tr w:rsidR="006A2B1E" w:rsidRPr="00A66C9F" w14:paraId="45E2A4E1" w14:textId="77777777" w:rsidTr="00107D5D">
        <w:tc>
          <w:tcPr>
            <w:tcW w:w="3684" w:type="dxa"/>
            <w:tcBorders>
              <w:bottom w:val="single" w:sz="4" w:space="0" w:color="auto"/>
            </w:tcBorders>
            <w:shd w:val="clear" w:color="auto" w:fill="auto"/>
            <w:noWrap/>
            <w:tcMar>
              <w:left w:w="0" w:type="dxa"/>
              <w:right w:w="0" w:type="dxa"/>
            </w:tcMar>
            <w:vAlign w:val="bottom"/>
            <w:hideMark/>
          </w:tcPr>
          <w:p w14:paraId="53B28F24" w14:textId="77777777" w:rsidR="006A2B1E" w:rsidRPr="00A66C9F" w:rsidRDefault="006A2B1E" w:rsidP="00107D5D">
            <w:pPr>
              <w:tabs>
                <w:tab w:val="left" w:pos="288"/>
                <w:tab w:val="left" w:pos="576"/>
                <w:tab w:val="left" w:pos="864"/>
                <w:tab w:val="left" w:pos="1152"/>
              </w:tabs>
              <w:suppressAutoHyphens/>
              <w:spacing w:before="40" w:after="81" w:line="210" w:lineRule="exact"/>
              <w:ind w:right="40"/>
              <w:rPr>
                <w:sz w:val="17"/>
                <w:lang w:val="fr-FR"/>
              </w:rPr>
            </w:pPr>
            <w:r w:rsidRPr="00A66C9F">
              <w:rPr>
                <w:sz w:val="17"/>
                <w:lang w:val="fr-FR"/>
              </w:rPr>
              <w:tab/>
              <w:t xml:space="preserve">Participants en activité </w:t>
            </w:r>
          </w:p>
        </w:tc>
        <w:tc>
          <w:tcPr>
            <w:tcW w:w="1823" w:type="dxa"/>
            <w:tcBorders>
              <w:bottom w:val="single" w:sz="4" w:space="0" w:color="auto"/>
            </w:tcBorders>
            <w:shd w:val="clear" w:color="auto" w:fill="auto"/>
            <w:noWrap/>
            <w:tcMar>
              <w:left w:w="0" w:type="dxa"/>
              <w:right w:w="0" w:type="dxa"/>
            </w:tcMar>
            <w:vAlign w:val="bottom"/>
          </w:tcPr>
          <w:p w14:paraId="042A46D3" w14:textId="77777777" w:rsidR="006A2B1E" w:rsidRPr="00A66C9F" w:rsidRDefault="006A2B1E" w:rsidP="00107D5D">
            <w:pPr>
              <w:tabs>
                <w:tab w:val="left" w:pos="288"/>
                <w:tab w:val="left" w:pos="576"/>
                <w:tab w:val="left" w:pos="864"/>
                <w:tab w:val="left" w:pos="1152"/>
              </w:tabs>
              <w:suppressAutoHyphens/>
              <w:spacing w:before="40" w:after="81" w:line="210" w:lineRule="exact"/>
              <w:ind w:right="40"/>
              <w:jc w:val="right"/>
              <w:rPr>
                <w:sz w:val="17"/>
                <w:lang w:val="fr-FR"/>
              </w:rPr>
            </w:pPr>
            <w:r w:rsidRPr="00A66C9F">
              <w:rPr>
                <w:sz w:val="17"/>
                <w:lang w:val="fr-FR"/>
              </w:rPr>
              <w:t>16 199</w:t>
            </w:r>
          </w:p>
        </w:tc>
        <w:tc>
          <w:tcPr>
            <w:tcW w:w="1823" w:type="dxa"/>
            <w:tcBorders>
              <w:bottom w:val="single" w:sz="4" w:space="0" w:color="auto"/>
            </w:tcBorders>
            <w:shd w:val="clear" w:color="auto" w:fill="auto"/>
            <w:noWrap/>
            <w:tcMar>
              <w:left w:w="0" w:type="dxa"/>
              <w:right w:w="0" w:type="dxa"/>
            </w:tcMar>
            <w:vAlign w:val="bottom"/>
          </w:tcPr>
          <w:p w14:paraId="64EBD1F6" w14:textId="77777777" w:rsidR="006A2B1E" w:rsidRPr="00A66C9F" w:rsidRDefault="006A2B1E" w:rsidP="00107D5D">
            <w:pPr>
              <w:tabs>
                <w:tab w:val="left" w:pos="288"/>
                <w:tab w:val="left" w:pos="576"/>
                <w:tab w:val="left" w:pos="864"/>
                <w:tab w:val="left" w:pos="1152"/>
              </w:tabs>
              <w:suppressAutoHyphens/>
              <w:spacing w:before="40" w:after="81" w:line="210" w:lineRule="exact"/>
              <w:ind w:right="40"/>
              <w:jc w:val="right"/>
              <w:rPr>
                <w:sz w:val="17"/>
                <w:lang w:val="fr-FR"/>
              </w:rPr>
            </w:pPr>
            <w:r w:rsidRPr="00A66C9F">
              <w:rPr>
                <w:sz w:val="17"/>
                <w:lang w:val="fr-FR"/>
              </w:rPr>
              <w:t>22 136</w:t>
            </w:r>
          </w:p>
        </w:tc>
      </w:tr>
      <w:tr w:rsidR="006A2B1E" w:rsidRPr="00A66C9F" w14:paraId="3335435D" w14:textId="77777777" w:rsidTr="00107D5D">
        <w:tc>
          <w:tcPr>
            <w:tcW w:w="3684" w:type="dxa"/>
            <w:tcBorders>
              <w:top w:val="single" w:sz="4" w:space="0" w:color="auto"/>
              <w:bottom w:val="single" w:sz="4" w:space="0" w:color="auto"/>
            </w:tcBorders>
            <w:shd w:val="clear" w:color="auto" w:fill="auto"/>
            <w:noWrap/>
            <w:tcMar>
              <w:left w:w="0" w:type="dxa"/>
              <w:right w:w="0" w:type="dxa"/>
            </w:tcMar>
            <w:vAlign w:val="bottom"/>
            <w:hideMark/>
          </w:tcPr>
          <w:p w14:paraId="22DC35C4" w14:textId="77777777" w:rsidR="006A2B1E" w:rsidRPr="00A66C9F" w:rsidRDefault="006A2B1E" w:rsidP="00107D5D">
            <w:pPr>
              <w:tabs>
                <w:tab w:val="left" w:pos="288"/>
                <w:tab w:val="left" w:pos="576"/>
                <w:tab w:val="left" w:pos="864"/>
                <w:tab w:val="left" w:pos="1152"/>
              </w:tabs>
              <w:suppressAutoHyphens/>
              <w:spacing w:before="81" w:after="81" w:line="210" w:lineRule="exact"/>
              <w:ind w:right="40"/>
              <w:rPr>
                <w:b/>
                <w:sz w:val="17"/>
                <w:lang w:val="fr-FR"/>
              </w:rPr>
            </w:pPr>
            <w:r w:rsidRPr="00A66C9F">
              <w:rPr>
                <w:b/>
                <w:sz w:val="17"/>
                <w:lang w:val="fr-FR"/>
              </w:rPr>
              <w:tab/>
              <w:t>Total des droits acquis</w:t>
            </w:r>
          </w:p>
        </w:tc>
        <w:tc>
          <w:tcPr>
            <w:tcW w:w="1823" w:type="dxa"/>
            <w:tcBorders>
              <w:top w:val="single" w:sz="4" w:space="0" w:color="auto"/>
              <w:bottom w:val="single" w:sz="4" w:space="0" w:color="auto"/>
            </w:tcBorders>
            <w:shd w:val="clear" w:color="auto" w:fill="auto"/>
            <w:noWrap/>
            <w:tcMar>
              <w:left w:w="0" w:type="dxa"/>
              <w:right w:w="0" w:type="dxa"/>
            </w:tcMar>
            <w:vAlign w:val="bottom"/>
          </w:tcPr>
          <w:p w14:paraId="75075480" w14:textId="77777777" w:rsidR="006A2B1E" w:rsidRPr="00A66C9F" w:rsidRDefault="006A2B1E" w:rsidP="00107D5D">
            <w:pPr>
              <w:tabs>
                <w:tab w:val="left" w:pos="288"/>
                <w:tab w:val="left" w:pos="576"/>
                <w:tab w:val="left" w:pos="864"/>
                <w:tab w:val="left" w:pos="1152"/>
              </w:tabs>
              <w:suppressAutoHyphens/>
              <w:spacing w:before="81" w:after="81" w:line="210" w:lineRule="exact"/>
              <w:ind w:right="40"/>
              <w:jc w:val="right"/>
              <w:rPr>
                <w:b/>
                <w:sz w:val="17"/>
                <w:lang w:val="fr-FR"/>
              </w:rPr>
            </w:pPr>
            <w:r w:rsidRPr="00A66C9F">
              <w:rPr>
                <w:b/>
                <w:sz w:val="17"/>
                <w:lang w:val="fr-FR"/>
              </w:rPr>
              <w:t>43 759</w:t>
            </w:r>
          </w:p>
        </w:tc>
        <w:tc>
          <w:tcPr>
            <w:tcW w:w="1823" w:type="dxa"/>
            <w:tcBorders>
              <w:top w:val="single" w:sz="4" w:space="0" w:color="auto"/>
              <w:bottom w:val="single" w:sz="4" w:space="0" w:color="auto"/>
            </w:tcBorders>
            <w:shd w:val="clear" w:color="auto" w:fill="auto"/>
            <w:noWrap/>
            <w:tcMar>
              <w:left w:w="0" w:type="dxa"/>
              <w:right w:w="0" w:type="dxa"/>
            </w:tcMar>
            <w:vAlign w:val="bottom"/>
          </w:tcPr>
          <w:p w14:paraId="3541AA76" w14:textId="77777777" w:rsidR="006A2B1E" w:rsidRPr="00A66C9F" w:rsidRDefault="006A2B1E" w:rsidP="00107D5D">
            <w:pPr>
              <w:tabs>
                <w:tab w:val="left" w:pos="288"/>
                <w:tab w:val="left" w:pos="576"/>
                <w:tab w:val="left" w:pos="864"/>
                <w:tab w:val="left" w:pos="1152"/>
              </w:tabs>
              <w:suppressAutoHyphens/>
              <w:spacing w:before="81" w:after="81" w:line="210" w:lineRule="exact"/>
              <w:ind w:right="40"/>
              <w:jc w:val="right"/>
              <w:rPr>
                <w:b/>
                <w:sz w:val="17"/>
                <w:lang w:val="fr-FR"/>
              </w:rPr>
            </w:pPr>
            <w:r w:rsidRPr="00A66C9F">
              <w:rPr>
                <w:b/>
                <w:sz w:val="17"/>
                <w:lang w:val="fr-FR"/>
              </w:rPr>
              <w:t>58 691</w:t>
            </w:r>
          </w:p>
        </w:tc>
      </w:tr>
      <w:tr w:rsidR="006A2B1E" w:rsidRPr="00A66C9F" w14:paraId="7F72AD74" w14:textId="77777777" w:rsidTr="00107D5D">
        <w:tc>
          <w:tcPr>
            <w:tcW w:w="3684" w:type="dxa"/>
            <w:tcBorders>
              <w:top w:val="single" w:sz="4" w:space="0" w:color="auto"/>
              <w:bottom w:val="single" w:sz="4" w:space="0" w:color="auto"/>
            </w:tcBorders>
            <w:shd w:val="clear" w:color="auto" w:fill="auto"/>
            <w:noWrap/>
            <w:tcMar>
              <w:left w:w="0" w:type="dxa"/>
              <w:right w:w="0" w:type="dxa"/>
            </w:tcMar>
            <w:vAlign w:val="bottom"/>
            <w:hideMark/>
          </w:tcPr>
          <w:p w14:paraId="1D66201A" w14:textId="77777777" w:rsidR="006A2B1E" w:rsidRPr="00A66C9F" w:rsidRDefault="006A2B1E" w:rsidP="00107D5D">
            <w:pPr>
              <w:tabs>
                <w:tab w:val="left" w:pos="288"/>
                <w:tab w:val="left" w:pos="576"/>
                <w:tab w:val="left" w:pos="864"/>
                <w:tab w:val="left" w:pos="1152"/>
              </w:tabs>
              <w:suppressAutoHyphens/>
              <w:spacing w:before="81" w:after="81" w:line="210" w:lineRule="exact"/>
              <w:ind w:right="40"/>
              <w:rPr>
                <w:sz w:val="17"/>
                <w:lang w:val="fr-FR"/>
              </w:rPr>
            </w:pPr>
            <w:r w:rsidRPr="00A66C9F">
              <w:rPr>
                <w:sz w:val="17"/>
                <w:lang w:val="fr-FR"/>
              </w:rPr>
              <w:t>Total des droits non acquis</w:t>
            </w:r>
          </w:p>
        </w:tc>
        <w:tc>
          <w:tcPr>
            <w:tcW w:w="1823" w:type="dxa"/>
            <w:tcBorders>
              <w:top w:val="single" w:sz="4" w:space="0" w:color="auto"/>
              <w:bottom w:val="single" w:sz="4" w:space="0" w:color="auto"/>
            </w:tcBorders>
            <w:shd w:val="clear" w:color="auto" w:fill="auto"/>
            <w:noWrap/>
            <w:tcMar>
              <w:left w:w="0" w:type="dxa"/>
              <w:right w:w="0" w:type="dxa"/>
            </w:tcMar>
            <w:vAlign w:val="bottom"/>
          </w:tcPr>
          <w:p w14:paraId="71EA4CB3" w14:textId="77777777" w:rsidR="006A2B1E" w:rsidRPr="00A66C9F" w:rsidRDefault="006A2B1E" w:rsidP="00107D5D">
            <w:pPr>
              <w:tabs>
                <w:tab w:val="left" w:pos="288"/>
                <w:tab w:val="left" w:pos="576"/>
                <w:tab w:val="left" w:pos="864"/>
                <w:tab w:val="left" w:pos="1152"/>
              </w:tabs>
              <w:suppressAutoHyphens/>
              <w:spacing w:before="81" w:after="81" w:line="210" w:lineRule="exact"/>
              <w:ind w:right="40"/>
              <w:jc w:val="right"/>
              <w:rPr>
                <w:sz w:val="17"/>
                <w:lang w:val="fr-FR"/>
              </w:rPr>
            </w:pPr>
            <w:r w:rsidRPr="00A66C9F">
              <w:rPr>
                <w:sz w:val="17"/>
                <w:lang w:val="fr-FR"/>
              </w:rPr>
              <w:t>902</w:t>
            </w:r>
          </w:p>
        </w:tc>
        <w:tc>
          <w:tcPr>
            <w:tcW w:w="1823" w:type="dxa"/>
            <w:tcBorders>
              <w:top w:val="single" w:sz="4" w:space="0" w:color="auto"/>
              <w:bottom w:val="single" w:sz="4" w:space="0" w:color="auto"/>
            </w:tcBorders>
            <w:shd w:val="clear" w:color="auto" w:fill="auto"/>
            <w:noWrap/>
            <w:tcMar>
              <w:left w:w="0" w:type="dxa"/>
              <w:right w:w="0" w:type="dxa"/>
            </w:tcMar>
            <w:vAlign w:val="bottom"/>
          </w:tcPr>
          <w:p w14:paraId="448D6544" w14:textId="77777777" w:rsidR="006A2B1E" w:rsidRPr="00A66C9F" w:rsidRDefault="006A2B1E" w:rsidP="00107D5D">
            <w:pPr>
              <w:tabs>
                <w:tab w:val="left" w:pos="288"/>
                <w:tab w:val="left" w:pos="576"/>
                <w:tab w:val="left" w:pos="864"/>
                <w:tab w:val="left" w:pos="1152"/>
              </w:tabs>
              <w:suppressAutoHyphens/>
              <w:spacing w:before="81" w:after="81" w:line="210" w:lineRule="exact"/>
              <w:ind w:right="40"/>
              <w:jc w:val="right"/>
              <w:rPr>
                <w:sz w:val="17"/>
                <w:lang w:val="fr-FR"/>
              </w:rPr>
            </w:pPr>
            <w:r w:rsidRPr="00A66C9F">
              <w:rPr>
                <w:sz w:val="17"/>
                <w:lang w:val="fr-FR"/>
              </w:rPr>
              <w:t>1 138</w:t>
            </w:r>
          </w:p>
        </w:tc>
      </w:tr>
      <w:tr w:rsidR="006A2B1E" w:rsidRPr="00A66C9F" w14:paraId="13C5E276" w14:textId="77777777" w:rsidTr="00107D5D">
        <w:tc>
          <w:tcPr>
            <w:tcW w:w="3684" w:type="dxa"/>
            <w:tcBorders>
              <w:top w:val="single" w:sz="4" w:space="0" w:color="auto"/>
              <w:bottom w:val="single" w:sz="12" w:space="0" w:color="auto"/>
            </w:tcBorders>
            <w:shd w:val="clear" w:color="auto" w:fill="auto"/>
            <w:noWrap/>
            <w:tcMar>
              <w:left w:w="0" w:type="dxa"/>
              <w:right w:w="0" w:type="dxa"/>
            </w:tcMar>
            <w:vAlign w:val="bottom"/>
            <w:hideMark/>
          </w:tcPr>
          <w:p w14:paraId="6D752D7B" w14:textId="77777777" w:rsidR="006A2B1E" w:rsidRPr="00A66C9F" w:rsidRDefault="006A2B1E" w:rsidP="00107D5D">
            <w:pPr>
              <w:tabs>
                <w:tab w:val="left" w:pos="288"/>
                <w:tab w:val="left" w:pos="576"/>
                <w:tab w:val="left" w:pos="864"/>
                <w:tab w:val="left" w:pos="1152"/>
              </w:tabs>
              <w:suppressAutoHyphens/>
              <w:spacing w:before="81" w:after="81" w:line="210" w:lineRule="exact"/>
              <w:ind w:left="288" w:right="40" w:hanging="288"/>
              <w:rPr>
                <w:b/>
                <w:sz w:val="17"/>
                <w:lang w:val="fr-FR"/>
              </w:rPr>
            </w:pPr>
            <w:r w:rsidRPr="00A66C9F">
              <w:rPr>
                <w:b/>
                <w:sz w:val="17"/>
                <w:lang w:val="fr-FR"/>
              </w:rPr>
              <w:tab/>
              <w:t>Valeur actuarielle totale des droits à prestations accumulés</w:t>
            </w:r>
          </w:p>
        </w:tc>
        <w:tc>
          <w:tcPr>
            <w:tcW w:w="1823" w:type="dxa"/>
            <w:tcBorders>
              <w:top w:val="single" w:sz="4" w:space="0" w:color="auto"/>
              <w:bottom w:val="single" w:sz="12" w:space="0" w:color="auto"/>
            </w:tcBorders>
            <w:shd w:val="clear" w:color="auto" w:fill="auto"/>
            <w:noWrap/>
            <w:tcMar>
              <w:left w:w="0" w:type="dxa"/>
              <w:right w:w="0" w:type="dxa"/>
            </w:tcMar>
            <w:vAlign w:val="bottom"/>
          </w:tcPr>
          <w:p w14:paraId="435EA8B7" w14:textId="77777777" w:rsidR="006A2B1E" w:rsidRPr="00A66C9F" w:rsidRDefault="006A2B1E" w:rsidP="00107D5D">
            <w:pPr>
              <w:tabs>
                <w:tab w:val="left" w:pos="288"/>
                <w:tab w:val="left" w:pos="576"/>
                <w:tab w:val="left" w:pos="864"/>
                <w:tab w:val="left" w:pos="1152"/>
              </w:tabs>
              <w:suppressAutoHyphens/>
              <w:spacing w:before="81" w:after="81" w:line="210" w:lineRule="exact"/>
              <w:ind w:right="40"/>
              <w:jc w:val="right"/>
              <w:rPr>
                <w:b/>
                <w:sz w:val="17"/>
                <w:lang w:val="fr-FR"/>
              </w:rPr>
            </w:pPr>
            <w:r w:rsidRPr="00A66C9F">
              <w:rPr>
                <w:b/>
                <w:sz w:val="17"/>
                <w:lang w:val="fr-FR"/>
              </w:rPr>
              <w:t>44 661</w:t>
            </w:r>
          </w:p>
        </w:tc>
        <w:tc>
          <w:tcPr>
            <w:tcW w:w="1823" w:type="dxa"/>
            <w:tcBorders>
              <w:top w:val="single" w:sz="4" w:space="0" w:color="auto"/>
              <w:bottom w:val="single" w:sz="12" w:space="0" w:color="auto"/>
            </w:tcBorders>
            <w:shd w:val="clear" w:color="auto" w:fill="auto"/>
            <w:noWrap/>
            <w:tcMar>
              <w:left w:w="0" w:type="dxa"/>
              <w:right w:w="0" w:type="dxa"/>
            </w:tcMar>
            <w:vAlign w:val="bottom"/>
          </w:tcPr>
          <w:p w14:paraId="217B5703" w14:textId="77777777" w:rsidR="006A2B1E" w:rsidRPr="00A66C9F" w:rsidRDefault="006A2B1E" w:rsidP="00107D5D">
            <w:pPr>
              <w:tabs>
                <w:tab w:val="left" w:pos="288"/>
                <w:tab w:val="left" w:pos="576"/>
                <w:tab w:val="left" w:pos="864"/>
                <w:tab w:val="left" w:pos="1152"/>
              </w:tabs>
              <w:suppressAutoHyphens/>
              <w:spacing w:before="81" w:after="81" w:line="210" w:lineRule="exact"/>
              <w:ind w:right="40"/>
              <w:jc w:val="right"/>
              <w:rPr>
                <w:b/>
                <w:sz w:val="17"/>
                <w:lang w:val="fr-FR"/>
              </w:rPr>
            </w:pPr>
            <w:r w:rsidRPr="00A66C9F">
              <w:rPr>
                <w:b/>
                <w:sz w:val="17"/>
                <w:lang w:val="fr-FR"/>
              </w:rPr>
              <w:t>59 829</w:t>
            </w:r>
          </w:p>
        </w:tc>
      </w:tr>
    </w:tbl>
    <w:p w14:paraId="298D9093" w14:textId="77777777" w:rsidR="006A2B1E" w:rsidRPr="00A66C9F" w:rsidRDefault="006A2B1E" w:rsidP="006A2B1E">
      <w:pPr>
        <w:pStyle w:val="SingleTxt"/>
        <w:spacing w:after="0" w:line="120" w:lineRule="exact"/>
        <w:rPr>
          <w:sz w:val="10"/>
          <w:lang w:val="fr-FR"/>
        </w:rPr>
      </w:pPr>
    </w:p>
    <w:p w14:paraId="36F02AB9" w14:textId="77777777" w:rsidR="006A2B1E" w:rsidRPr="00A66C9F" w:rsidRDefault="006A2B1E" w:rsidP="006A2B1E">
      <w:pPr>
        <w:pStyle w:val="SingleTxt"/>
        <w:spacing w:after="0" w:line="120" w:lineRule="exact"/>
        <w:rPr>
          <w:sz w:val="10"/>
          <w:lang w:val="fr-FR"/>
        </w:rPr>
      </w:pPr>
    </w:p>
    <w:p w14:paraId="36A3D473" w14:textId="77777777" w:rsidR="006A2B1E" w:rsidRPr="00A66C9F" w:rsidRDefault="006A2B1E" w:rsidP="006A2B1E">
      <w:pPr>
        <w:pStyle w:val="SingleTxt"/>
        <w:spacing w:after="0" w:line="120" w:lineRule="exact"/>
        <w:rPr>
          <w:sz w:val="10"/>
          <w:lang w:val="fr-FR"/>
        </w:rPr>
      </w:pPr>
    </w:p>
    <w:p w14:paraId="461A0011" w14:textId="77777777" w:rsidR="006A2B1E" w:rsidRPr="00A66C9F" w:rsidRDefault="006A2B1E" w:rsidP="006A2B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Chiffres clefs</w:t>
      </w:r>
    </w:p>
    <w:p w14:paraId="6E81602B" w14:textId="77777777" w:rsidR="006A2B1E" w:rsidRPr="00A66C9F" w:rsidRDefault="006A2B1E" w:rsidP="006A2B1E">
      <w:pPr>
        <w:pStyle w:val="SingleTxt"/>
        <w:spacing w:after="0" w:line="120" w:lineRule="exact"/>
        <w:rPr>
          <w:sz w:val="10"/>
          <w:lang w:val="fr-FR"/>
        </w:rPr>
      </w:pPr>
    </w:p>
    <w:p w14:paraId="74534336" w14:textId="77777777" w:rsidR="006A2B1E" w:rsidRPr="00A66C9F" w:rsidRDefault="006A2B1E" w:rsidP="006A2B1E">
      <w:pPr>
        <w:pStyle w:val="SingleTxt"/>
        <w:numPr>
          <w:ilvl w:val="0"/>
          <w:numId w:val="9"/>
        </w:numPr>
        <w:tabs>
          <w:tab w:val="num" w:pos="2804"/>
        </w:tabs>
        <w:spacing w:line="240" w:lineRule="exact"/>
        <w:ind w:left="1267"/>
        <w:rPr>
          <w:szCs w:val="20"/>
          <w:lang w:val="fr-FR"/>
        </w:rPr>
      </w:pPr>
      <w:r w:rsidRPr="00A66C9F">
        <w:rPr>
          <w:lang w:val="fr-FR"/>
        </w:rPr>
        <w:t>Au 31 décembre 2019, la Caisse comptait 131 583 participants, contre 128 594 au 31 décembre 2018, ce qui représente une augmentation de 2 989 participants (2,3 %).</w:t>
      </w:r>
    </w:p>
    <w:p w14:paraId="3946568B" w14:textId="77777777" w:rsidR="006A2B1E" w:rsidRPr="00A66C9F" w:rsidRDefault="006A2B1E" w:rsidP="006A2B1E">
      <w:pPr>
        <w:pStyle w:val="SingleTxt"/>
        <w:numPr>
          <w:ilvl w:val="0"/>
          <w:numId w:val="9"/>
        </w:numPr>
        <w:tabs>
          <w:tab w:val="num" w:pos="2804"/>
        </w:tabs>
        <w:spacing w:line="240" w:lineRule="exact"/>
        <w:ind w:left="1267"/>
        <w:rPr>
          <w:lang w:val="fr-FR"/>
        </w:rPr>
      </w:pPr>
      <w:r w:rsidRPr="00A66C9F">
        <w:rPr>
          <w:lang w:val="fr-FR"/>
        </w:rPr>
        <w:t>Le nombre des prestations périodiques servies par la Caisse s’élevait à 79 975 au 31 décembre 2019, contre 78 716 au 31 décembre 2018, soit une augmentation de 1 259 prestations (1,6 %).</w:t>
      </w:r>
    </w:p>
    <w:p w14:paraId="5A72E9F0" w14:textId="77777777" w:rsidR="006A2B1E" w:rsidRPr="00A66C9F" w:rsidRDefault="006A2B1E" w:rsidP="006A2B1E">
      <w:pPr>
        <w:spacing w:after="200" w:line="276" w:lineRule="auto"/>
        <w:rPr>
          <w:lang w:val="fr-FR"/>
        </w:rPr>
      </w:pPr>
      <w:r w:rsidRPr="00A66C9F">
        <w:rPr>
          <w:lang w:val="fr-FR"/>
        </w:rPr>
        <w:br w:type="page"/>
      </w:r>
    </w:p>
    <w:p w14:paraId="0585750E" w14:textId="346756FB" w:rsidR="006A2B1E" w:rsidRPr="00A66C9F" w:rsidRDefault="006A2B1E" w:rsidP="006A2B1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2" w:name="_Toc335646870"/>
      <w:bookmarkStart w:id="13" w:name="_Toc339633482"/>
      <w:bookmarkStart w:id="14" w:name="_Toc339633817"/>
      <w:r w:rsidRPr="00A66C9F">
        <w:rPr>
          <w:lang w:val="fr-FR"/>
        </w:rPr>
        <w:lastRenderedPageBreak/>
        <w:t xml:space="preserve">Chapitre </w:t>
      </w:r>
      <w:r w:rsidR="002B3B17">
        <w:rPr>
          <w:lang w:val="fr-FR"/>
        </w:rPr>
        <w:t>I</w:t>
      </w:r>
      <w:r w:rsidRPr="00A66C9F">
        <w:rPr>
          <w:lang w:val="fr-FR"/>
        </w:rPr>
        <w:t>V</w:t>
      </w:r>
    </w:p>
    <w:p w14:paraId="6BE85DE5" w14:textId="77777777" w:rsidR="006A2B1E" w:rsidRPr="00A66C9F" w:rsidRDefault="006A2B1E" w:rsidP="006A2B1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États financiers pour l’année terminée le 31 décembre 2019</w:t>
      </w:r>
    </w:p>
    <w:p w14:paraId="4C6702CA" w14:textId="77777777" w:rsidR="006A2B1E" w:rsidRPr="00A66C9F" w:rsidRDefault="006A2B1E" w:rsidP="006A2B1E">
      <w:pPr>
        <w:pStyle w:val="SingleTxt"/>
        <w:spacing w:after="0" w:line="120" w:lineRule="exact"/>
        <w:rPr>
          <w:sz w:val="10"/>
          <w:lang w:val="fr-FR"/>
        </w:rPr>
      </w:pPr>
    </w:p>
    <w:p w14:paraId="26E2EF1A" w14:textId="77777777" w:rsidR="006A2B1E" w:rsidRPr="00A66C9F" w:rsidRDefault="006A2B1E" w:rsidP="006A2B1E">
      <w:pPr>
        <w:pStyle w:val="SingleTxt"/>
        <w:spacing w:after="0" w:line="120" w:lineRule="exact"/>
        <w:rPr>
          <w:sz w:val="10"/>
          <w:lang w:val="fr-FR"/>
        </w:rPr>
      </w:pPr>
    </w:p>
    <w:p w14:paraId="6AFB8B9D" w14:textId="77777777" w:rsidR="006A2B1E" w:rsidRPr="00A66C9F" w:rsidRDefault="006A2B1E" w:rsidP="006A2B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Caisse commune des pensions du personnel des Nations Unies</w:t>
      </w:r>
    </w:p>
    <w:p w14:paraId="4F27F7B3" w14:textId="77777777" w:rsidR="006A2B1E" w:rsidRPr="00A66C9F" w:rsidRDefault="006A2B1E" w:rsidP="006A2B1E">
      <w:pPr>
        <w:pStyle w:val="SingleTxt"/>
        <w:spacing w:after="0" w:line="120" w:lineRule="exact"/>
        <w:rPr>
          <w:sz w:val="10"/>
          <w:lang w:val="fr-FR"/>
        </w:rPr>
      </w:pPr>
    </w:p>
    <w:p w14:paraId="4B567CFF" w14:textId="77777777" w:rsidR="006A2B1E" w:rsidRPr="00A66C9F" w:rsidRDefault="006A2B1E" w:rsidP="006A2B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5" w:name="_Toc38529161"/>
      <w:r w:rsidRPr="00A66C9F">
        <w:rPr>
          <w:lang w:val="fr-FR"/>
        </w:rPr>
        <w:tab/>
      </w:r>
      <w:r w:rsidRPr="00A66C9F">
        <w:rPr>
          <w:lang w:val="fr-FR"/>
        </w:rPr>
        <w:tab/>
        <w:t>I. État de l’actif net disponible pour le versement des prestations</w:t>
      </w:r>
      <w:bookmarkEnd w:id="12"/>
      <w:bookmarkEnd w:id="13"/>
      <w:bookmarkEnd w:id="14"/>
      <w:bookmarkEnd w:id="15"/>
    </w:p>
    <w:p w14:paraId="50061CDA" w14:textId="77777777" w:rsidR="006A2B1E" w:rsidRPr="00A66C9F" w:rsidRDefault="006A2B1E" w:rsidP="006A2B1E">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lang w:val="fr-FR"/>
        </w:rPr>
        <w:tab/>
      </w:r>
      <w:r w:rsidRPr="00A66C9F">
        <w:rPr>
          <w:lang w:val="fr-FR"/>
        </w:rPr>
        <w:tab/>
      </w:r>
      <w:r w:rsidRPr="00A66C9F">
        <w:rPr>
          <w:sz w:val="14"/>
          <w:szCs w:val="14"/>
          <w:lang w:val="fr-FR"/>
        </w:rPr>
        <w:t>(En milliers de dollars des États-Unis)</w:t>
      </w:r>
    </w:p>
    <w:p w14:paraId="158DA559" w14:textId="77777777" w:rsidR="006A2B1E" w:rsidRPr="00A66C9F" w:rsidRDefault="006A2B1E" w:rsidP="006A2B1E">
      <w:pPr>
        <w:pStyle w:val="SingleTxt"/>
        <w:spacing w:after="0" w:line="120" w:lineRule="exact"/>
        <w:rPr>
          <w:sz w:val="10"/>
          <w:lang w:val="fr-FR"/>
        </w:rPr>
      </w:pPr>
    </w:p>
    <w:p w14:paraId="760D0C1D" w14:textId="77777777" w:rsidR="006A2B1E" w:rsidRPr="00A66C9F" w:rsidRDefault="006A2B1E" w:rsidP="006A2B1E">
      <w:pPr>
        <w:pStyle w:val="SingleTxt"/>
        <w:spacing w:after="0" w:line="120" w:lineRule="exact"/>
        <w:rPr>
          <w:sz w:val="10"/>
          <w:lang w:val="fr-FR"/>
        </w:rPr>
      </w:pPr>
    </w:p>
    <w:tbl>
      <w:tblPr>
        <w:tblW w:w="0" w:type="auto"/>
        <w:tblInd w:w="1267" w:type="dxa"/>
        <w:tblLayout w:type="fixed"/>
        <w:tblCellMar>
          <w:left w:w="0" w:type="dxa"/>
          <w:right w:w="0" w:type="dxa"/>
        </w:tblCellMar>
        <w:tblLook w:val="00A0" w:firstRow="1" w:lastRow="0" w:firstColumn="1" w:lastColumn="0" w:noHBand="0" w:noVBand="0"/>
      </w:tblPr>
      <w:tblGrid>
        <w:gridCol w:w="4151"/>
        <w:gridCol w:w="774"/>
        <w:gridCol w:w="1822"/>
        <w:gridCol w:w="1823"/>
      </w:tblGrid>
      <w:tr w:rsidR="006A2B1E" w:rsidRPr="00A66C9F" w14:paraId="7D1B441F" w14:textId="77777777" w:rsidTr="00107D5D">
        <w:trPr>
          <w:cantSplit/>
          <w:tblHeader/>
        </w:trPr>
        <w:tc>
          <w:tcPr>
            <w:tcW w:w="4151" w:type="dxa"/>
            <w:tcBorders>
              <w:top w:val="single" w:sz="4" w:space="0" w:color="auto"/>
              <w:bottom w:val="single" w:sz="12" w:space="0" w:color="auto"/>
            </w:tcBorders>
            <w:shd w:val="clear" w:color="auto" w:fill="auto"/>
            <w:noWrap/>
            <w:vAlign w:val="bottom"/>
          </w:tcPr>
          <w:p w14:paraId="6D96AAFF" w14:textId="77777777" w:rsidR="006A2B1E" w:rsidRPr="00A66C9F" w:rsidRDefault="006A2B1E" w:rsidP="00107D5D">
            <w:pPr>
              <w:suppressAutoHyphens/>
              <w:spacing w:before="81" w:after="81" w:line="160" w:lineRule="exact"/>
              <w:ind w:right="40"/>
              <w:rPr>
                <w:i/>
                <w:sz w:val="14"/>
                <w:lang w:val="fr-FR"/>
              </w:rPr>
            </w:pPr>
            <w:r w:rsidRPr="00A66C9F">
              <w:rPr>
                <w:i/>
                <w:sz w:val="14"/>
                <w:lang w:val="fr-FR"/>
              </w:rPr>
              <w:br w:type="page"/>
            </w:r>
          </w:p>
        </w:tc>
        <w:tc>
          <w:tcPr>
            <w:tcW w:w="774" w:type="dxa"/>
            <w:tcBorders>
              <w:top w:val="single" w:sz="4" w:space="0" w:color="auto"/>
              <w:bottom w:val="single" w:sz="12" w:space="0" w:color="auto"/>
            </w:tcBorders>
            <w:shd w:val="clear" w:color="auto" w:fill="auto"/>
            <w:noWrap/>
            <w:vAlign w:val="bottom"/>
          </w:tcPr>
          <w:p w14:paraId="482AD938" w14:textId="77777777" w:rsidR="006A2B1E" w:rsidRPr="00A66C9F" w:rsidRDefault="006A2B1E" w:rsidP="00107D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fr-FR"/>
              </w:rPr>
            </w:pPr>
            <w:r w:rsidRPr="00A66C9F">
              <w:rPr>
                <w:i/>
                <w:sz w:val="14"/>
                <w:lang w:val="fr-FR"/>
              </w:rPr>
              <w:t>Notes</w:t>
            </w:r>
          </w:p>
        </w:tc>
        <w:tc>
          <w:tcPr>
            <w:tcW w:w="1822" w:type="dxa"/>
            <w:tcBorders>
              <w:top w:val="single" w:sz="4" w:space="0" w:color="auto"/>
              <w:bottom w:val="single" w:sz="12" w:space="0" w:color="auto"/>
            </w:tcBorders>
            <w:shd w:val="clear" w:color="auto" w:fill="auto"/>
            <w:noWrap/>
            <w:vAlign w:val="bottom"/>
          </w:tcPr>
          <w:p w14:paraId="2EDC186E" w14:textId="77777777" w:rsidR="006A2B1E" w:rsidRPr="00A66C9F" w:rsidRDefault="006A2B1E" w:rsidP="00107D5D">
            <w:pPr>
              <w:suppressAutoHyphens/>
              <w:spacing w:before="81" w:after="81" w:line="160" w:lineRule="exact"/>
              <w:ind w:right="43"/>
              <w:jc w:val="right"/>
              <w:rPr>
                <w:i/>
                <w:sz w:val="14"/>
                <w:lang w:val="fr-FR"/>
              </w:rPr>
            </w:pPr>
            <w:r w:rsidRPr="00A66C9F">
              <w:rPr>
                <w:i/>
                <w:sz w:val="14"/>
                <w:lang w:val="fr-FR"/>
              </w:rPr>
              <w:t>Au 31 décembre 2019</w:t>
            </w:r>
          </w:p>
        </w:tc>
        <w:tc>
          <w:tcPr>
            <w:tcW w:w="1823" w:type="dxa"/>
            <w:tcBorders>
              <w:top w:val="single" w:sz="4" w:space="0" w:color="auto"/>
              <w:bottom w:val="single" w:sz="12" w:space="0" w:color="auto"/>
            </w:tcBorders>
            <w:shd w:val="clear" w:color="auto" w:fill="auto"/>
            <w:noWrap/>
            <w:vAlign w:val="bottom"/>
          </w:tcPr>
          <w:p w14:paraId="4CA1FAB1" w14:textId="77777777" w:rsidR="006A2B1E" w:rsidRPr="00A66C9F" w:rsidRDefault="006A2B1E" w:rsidP="00107D5D">
            <w:pPr>
              <w:suppressAutoHyphens/>
              <w:spacing w:before="81" w:after="81" w:line="160" w:lineRule="exact"/>
              <w:ind w:right="43"/>
              <w:jc w:val="right"/>
              <w:rPr>
                <w:i/>
                <w:sz w:val="14"/>
                <w:lang w:val="fr-FR"/>
              </w:rPr>
            </w:pPr>
            <w:r w:rsidRPr="00A66C9F">
              <w:rPr>
                <w:i/>
                <w:sz w:val="14"/>
                <w:lang w:val="fr-FR"/>
              </w:rPr>
              <w:t xml:space="preserve">Au 31 décembre 2018 </w:t>
            </w:r>
            <w:r w:rsidRPr="00A66C9F">
              <w:rPr>
                <w:i/>
                <w:sz w:val="14"/>
                <w:lang w:val="fr-FR"/>
              </w:rPr>
              <w:br/>
              <w:t>(après retraitement)</w:t>
            </w:r>
            <w:r w:rsidRPr="00A66C9F">
              <w:rPr>
                <w:i/>
                <w:sz w:val="14"/>
                <w:vertAlign w:val="superscript"/>
                <w:lang w:val="fr-FR"/>
              </w:rPr>
              <w:t>a</w:t>
            </w:r>
          </w:p>
        </w:tc>
      </w:tr>
      <w:tr w:rsidR="006A2B1E" w:rsidRPr="00A66C9F" w14:paraId="474B2A49" w14:textId="77777777" w:rsidTr="00107D5D">
        <w:trPr>
          <w:cantSplit/>
          <w:trHeight w:hRule="exact" w:val="115"/>
          <w:tblHeader/>
        </w:trPr>
        <w:tc>
          <w:tcPr>
            <w:tcW w:w="4151" w:type="dxa"/>
            <w:tcBorders>
              <w:top w:val="single" w:sz="12" w:space="0" w:color="auto"/>
            </w:tcBorders>
            <w:shd w:val="clear" w:color="auto" w:fill="auto"/>
            <w:noWrap/>
            <w:vAlign w:val="bottom"/>
          </w:tcPr>
          <w:p w14:paraId="1A1141B7" w14:textId="77777777" w:rsidR="006A2B1E" w:rsidRPr="00A66C9F" w:rsidRDefault="006A2B1E" w:rsidP="00107D5D">
            <w:pPr>
              <w:suppressAutoHyphens/>
              <w:spacing w:before="40" w:after="40" w:line="210" w:lineRule="exact"/>
              <w:ind w:right="40"/>
              <w:rPr>
                <w:sz w:val="17"/>
                <w:lang w:val="fr-FR"/>
              </w:rPr>
            </w:pPr>
          </w:p>
        </w:tc>
        <w:tc>
          <w:tcPr>
            <w:tcW w:w="774" w:type="dxa"/>
            <w:tcBorders>
              <w:top w:val="single" w:sz="12" w:space="0" w:color="auto"/>
            </w:tcBorders>
            <w:shd w:val="clear" w:color="auto" w:fill="auto"/>
            <w:noWrap/>
            <w:vAlign w:val="bottom"/>
          </w:tcPr>
          <w:p w14:paraId="2312C50D" w14:textId="77777777" w:rsidR="006A2B1E" w:rsidRPr="00A66C9F" w:rsidRDefault="006A2B1E" w:rsidP="00107D5D">
            <w:pPr>
              <w:suppressAutoHyphens/>
              <w:spacing w:before="40" w:after="40" w:line="210" w:lineRule="exact"/>
              <w:ind w:right="43"/>
              <w:jc w:val="right"/>
              <w:rPr>
                <w:sz w:val="17"/>
                <w:lang w:val="fr-FR"/>
              </w:rPr>
            </w:pPr>
          </w:p>
        </w:tc>
        <w:tc>
          <w:tcPr>
            <w:tcW w:w="1822" w:type="dxa"/>
            <w:tcBorders>
              <w:top w:val="single" w:sz="12" w:space="0" w:color="auto"/>
            </w:tcBorders>
            <w:shd w:val="clear" w:color="auto" w:fill="auto"/>
            <w:noWrap/>
            <w:vAlign w:val="bottom"/>
          </w:tcPr>
          <w:p w14:paraId="221E46B6" w14:textId="77777777" w:rsidR="006A2B1E" w:rsidRPr="00A66C9F" w:rsidRDefault="006A2B1E" w:rsidP="00107D5D">
            <w:pPr>
              <w:suppressAutoHyphens/>
              <w:spacing w:before="40" w:after="40" w:line="210" w:lineRule="exact"/>
              <w:ind w:right="43"/>
              <w:jc w:val="right"/>
              <w:rPr>
                <w:sz w:val="17"/>
                <w:lang w:val="fr-FR"/>
              </w:rPr>
            </w:pPr>
          </w:p>
        </w:tc>
        <w:tc>
          <w:tcPr>
            <w:tcW w:w="1823" w:type="dxa"/>
            <w:tcBorders>
              <w:top w:val="single" w:sz="12" w:space="0" w:color="auto"/>
            </w:tcBorders>
            <w:shd w:val="clear" w:color="auto" w:fill="auto"/>
            <w:noWrap/>
            <w:vAlign w:val="bottom"/>
          </w:tcPr>
          <w:p w14:paraId="7E8B766D" w14:textId="77777777" w:rsidR="006A2B1E" w:rsidRPr="00A66C9F" w:rsidRDefault="006A2B1E" w:rsidP="00107D5D">
            <w:pPr>
              <w:suppressAutoHyphens/>
              <w:spacing w:before="40" w:after="40" w:line="210" w:lineRule="exact"/>
              <w:ind w:right="43"/>
              <w:jc w:val="right"/>
              <w:rPr>
                <w:sz w:val="17"/>
                <w:lang w:val="fr-FR"/>
              </w:rPr>
            </w:pPr>
          </w:p>
        </w:tc>
      </w:tr>
      <w:tr w:rsidR="006A2B1E" w:rsidRPr="00A66C9F" w14:paraId="6FA044AB" w14:textId="77777777" w:rsidTr="00107D5D">
        <w:trPr>
          <w:cantSplit/>
        </w:trPr>
        <w:tc>
          <w:tcPr>
            <w:tcW w:w="4151" w:type="dxa"/>
            <w:shd w:val="clear" w:color="auto" w:fill="auto"/>
            <w:noWrap/>
            <w:vAlign w:val="bottom"/>
          </w:tcPr>
          <w:p w14:paraId="29A20192" w14:textId="77777777" w:rsidR="006A2B1E" w:rsidRPr="00A66C9F" w:rsidRDefault="006A2B1E" w:rsidP="00107D5D">
            <w:pPr>
              <w:tabs>
                <w:tab w:val="left" w:pos="288"/>
                <w:tab w:val="left" w:pos="576"/>
                <w:tab w:val="left" w:pos="864"/>
                <w:tab w:val="left" w:pos="1152"/>
              </w:tabs>
              <w:suppressAutoHyphens/>
              <w:spacing w:before="40" w:after="40" w:line="210" w:lineRule="exact"/>
              <w:ind w:right="40"/>
              <w:rPr>
                <w:b/>
                <w:bCs/>
                <w:sz w:val="17"/>
                <w:lang w:val="fr-FR"/>
              </w:rPr>
            </w:pPr>
            <w:r w:rsidRPr="00A66C9F">
              <w:rPr>
                <w:b/>
                <w:bCs/>
                <w:sz w:val="17"/>
                <w:lang w:val="fr-FR"/>
              </w:rPr>
              <w:t>Actif</w:t>
            </w:r>
          </w:p>
        </w:tc>
        <w:tc>
          <w:tcPr>
            <w:tcW w:w="774" w:type="dxa"/>
            <w:shd w:val="clear" w:color="auto" w:fill="auto"/>
            <w:noWrap/>
            <w:vAlign w:val="bottom"/>
          </w:tcPr>
          <w:p w14:paraId="472309B7"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 w:val="17"/>
                <w:lang w:val="fr-FR"/>
              </w:rPr>
            </w:pPr>
          </w:p>
        </w:tc>
        <w:tc>
          <w:tcPr>
            <w:tcW w:w="1822" w:type="dxa"/>
            <w:shd w:val="clear" w:color="auto" w:fill="auto"/>
            <w:noWrap/>
            <w:vAlign w:val="bottom"/>
          </w:tcPr>
          <w:p w14:paraId="26389CDB"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p>
        </w:tc>
        <w:tc>
          <w:tcPr>
            <w:tcW w:w="1823" w:type="dxa"/>
            <w:shd w:val="clear" w:color="auto" w:fill="auto"/>
            <w:noWrap/>
            <w:vAlign w:val="bottom"/>
          </w:tcPr>
          <w:p w14:paraId="64E63C32"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p>
        </w:tc>
      </w:tr>
      <w:tr w:rsidR="006A2B1E" w:rsidRPr="00A66C9F" w14:paraId="4BC50396" w14:textId="77777777" w:rsidTr="00107D5D">
        <w:trPr>
          <w:cantSplit/>
        </w:trPr>
        <w:tc>
          <w:tcPr>
            <w:tcW w:w="4151" w:type="dxa"/>
            <w:shd w:val="clear" w:color="auto" w:fill="auto"/>
            <w:noWrap/>
            <w:vAlign w:val="bottom"/>
          </w:tcPr>
          <w:p w14:paraId="727753A5" w14:textId="77777777" w:rsidR="006A2B1E" w:rsidRPr="00A66C9F" w:rsidRDefault="006A2B1E"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 xml:space="preserve">Trésorerie et équivalents de trésorerie </w:t>
            </w:r>
          </w:p>
        </w:tc>
        <w:tc>
          <w:tcPr>
            <w:tcW w:w="774" w:type="dxa"/>
            <w:shd w:val="clear" w:color="auto" w:fill="auto"/>
            <w:noWrap/>
            <w:vAlign w:val="bottom"/>
          </w:tcPr>
          <w:p w14:paraId="66D0E723"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 w:val="17"/>
                <w:lang w:val="fr-FR"/>
              </w:rPr>
            </w:pPr>
            <w:r w:rsidRPr="00A66C9F">
              <w:rPr>
                <w:sz w:val="17"/>
                <w:lang w:val="fr-FR"/>
              </w:rPr>
              <w:t>4</w:t>
            </w:r>
          </w:p>
        </w:tc>
        <w:tc>
          <w:tcPr>
            <w:tcW w:w="1822" w:type="dxa"/>
            <w:shd w:val="clear" w:color="auto" w:fill="auto"/>
            <w:noWrap/>
            <w:vAlign w:val="bottom"/>
          </w:tcPr>
          <w:p w14:paraId="77400FD7"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436 354 </w:t>
            </w:r>
          </w:p>
        </w:tc>
        <w:tc>
          <w:tcPr>
            <w:tcW w:w="1823" w:type="dxa"/>
            <w:shd w:val="clear" w:color="auto" w:fill="auto"/>
            <w:noWrap/>
            <w:vAlign w:val="bottom"/>
          </w:tcPr>
          <w:p w14:paraId="6FAC9B0C"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564 891</w:t>
            </w:r>
          </w:p>
        </w:tc>
      </w:tr>
      <w:tr w:rsidR="006A2B1E" w:rsidRPr="00A66C9F" w14:paraId="15C16EA1" w14:textId="77777777" w:rsidTr="00107D5D">
        <w:trPr>
          <w:cantSplit/>
        </w:trPr>
        <w:tc>
          <w:tcPr>
            <w:tcW w:w="4151" w:type="dxa"/>
            <w:shd w:val="clear" w:color="auto" w:fill="auto"/>
            <w:noWrap/>
            <w:vAlign w:val="bottom"/>
          </w:tcPr>
          <w:p w14:paraId="60275E71" w14:textId="77777777" w:rsidR="006A2B1E" w:rsidRPr="00A66C9F" w:rsidRDefault="006A2B1E"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Investissements</w:t>
            </w:r>
          </w:p>
        </w:tc>
        <w:tc>
          <w:tcPr>
            <w:tcW w:w="774" w:type="dxa"/>
            <w:shd w:val="clear" w:color="auto" w:fill="auto"/>
            <w:noWrap/>
            <w:vAlign w:val="bottom"/>
          </w:tcPr>
          <w:p w14:paraId="615F03CB"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 w:val="17"/>
                <w:lang w:val="fr-FR"/>
              </w:rPr>
            </w:pPr>
            <w:r w:rsidRPr="00A66C9F">
              <w:rPr>
                <w:sz w:val="17"/>
                <w:lang w:val="fr-FR"/>
              </w:rPr>
              <w:t>5 et 6</w:t>
            </w:r>
          </w:p>
        </w:tc>
        <w:tc>
          <w:tcPr>
            <w:tcW w:w="1822" w:type="dxa"/>
            <w:shd w:val="clear" w:color="auto" w:fill="auto"/>
            <w:noWrap/>
            <w:vAlign w:val="bottom"/>
          </w:tcPr>
          <w:p w14:paraId="15216E6C"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p>
        </w:tc>
        <w:tc>
          <w:tcPr>
            <w:tcW w:w="1823" w:type="dxa"/>
            <w:shd w:val="clear" w:color="auto" w:fill="auto"/>
            <w:noWrap/>
            <w:vAlign w:val="bottom"/>
          </w:tcPr>
          <w:p w14:paraId="3E95D963"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p>
        </w:tc>
      </w:tr>
      <w:tr w:rsidR="006A2B1E" w:rsidRPr="00A66C9F" w14:paraId="7AD1D368" w14:textId="77777777" w:rsidTr="00107D5D">
        <w:trPr>
          <w:cantSplit/>
        </w:trPr>
        <w:tc>
          <w:tcPr>
            <w:tcW w:w="4151" w:type="dxa"/>
            <w:shd w:val="clear" w:color="auto" w:fill="auto"/>
            <w:noWrap/>
            <w:vAlign w:val="bottom"/>
          </w:tcPr>
          <w:p w14:paraId="38BDCACA" w14:textId="77777777" w:rsidR="006A2B1E" w:rsidRPr="00A66C9F" w:rsidRDefault="006A2B1E"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ab/>
              <w:t>Actions</w:t>
            </w:r>
          </w:p>
        </w:tc>
        <w:tc>
          <w:tcPr>
            <w:tcW w:w="774" w:type="dxa"/>
            <w:shd w:val="clear" w:color="auto" w:fill="auto"/>
            <w:noWrap/>
            <w:vAlign w:val="bottom"/>
          </w:tcPr>
          <w:p w14:paraId="641978FA"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 w:val="17"/>
                <w:lang w:val="fr-FR"/>
              </w:rPr>
            </w:pPr>
          </w:p>
        </w:tc>
        <w:tc>
          <w:tcPr>
            <w:tcW w:w="1822" w:type="dxa"/>
            <w:shd w:val="clear" w:color="auto" w:fill="auto"/>
            <w:noWrap/>
            <w:vAlign w:val="bottom"/>
          </w:tcPr>
          <w:p w14:paraId="4043079B"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42 309 141 </w:t>
            </w:r>
          </w:p>
        </w:tc>
        <w:tc>
          <w:tcPr>
            <w:tcW w:w="1823" w:type="dxa"/>
            <w:shd w:val="clear" w:color="auto" w:fill="auto"/>
            <w:noWrap/>
            <w:vAlign w:val="bottom"/>
          </w:tcPr>
          <w:p w14:paraId="668797A7"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34 401 159 </w:t>
            </w:r>
          </w:p>
        </w:tc>
      </w:tr>
      <w:tr w:rsidR="006A2B1E" w:rsidRPr="00A66C9F" w14:paraId="464FB3B7" w14:textId="77777777" w:rsidTr="00107D5D">
        <w:trPr>
          <w:cantSplit/>
        </w:trPr>
        <w:tc>
          <w:tcPr>
            <w:tcW w:w="4151" w:type="dxa"/>
            <w:shd w:val="clear" w:color="auto" w:fill="auto"/>
            <w:noWrap/>
            <w:vAlign w:val="bottom"/>
          </w:tcPr>
          <w:p w14:paraId="5EA832A4" w14:textId="77777777" w:rsidR="006A2B1E" w:rsidRPr="00A66C9F" w:rsidRDefault="006A2B1E"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ab/>
              <w:t>Valeurs à revenu fixe</w:t>
            </w:r>
          </w:p>
        </w:tc>
        <w:tc>
          <w:tcPr>
            <w:tcW w:w="774" w:type="dxa"/>
            <w:shd w:val="clear" w:color="auto" w:fill="auto"/>
            <w:noWrap/>
            <w:vAlign w:val="bottom"/>
          </w:tcPr>
          <w:p w14:paraId="75ABB323"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 w:val="17"/>
                <w:lang w:val="fr-FR"/>
              </w:rPr>
            </w:pPr>
          </w:p>
        </w:tc>
        <w:tc>
          <w:tcPr>
            <w:tcW w:w="1822" w:type="dxa"/>
            <w:shd w:val="clear" w:color="auto" w:fill="auto"/>
            <w:noWrap/>
            <w:vAlign w:val="bottom"/>
          </w:tcPr>
          <w:p w14:paraId="570445B1"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20 412 531 </w:t>
            </w:r>
          </w:p>
        </w:tc>
        <w:tc>
          <w:tcPr>
            <w:tcW w:w="1823" w:type="dxa"/>
            <w:shd w:val="clear" w:color="auto" w:fill="auto"/>
            <w:noWrap/>
            <w:vAlign w:val="bottom"/>
          </w:tcPr>
          <w:p w14:paraId="59F27A6E"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18 824 833 </w:t>
            </w:r>
          </w:p>
        </w:tc>
      </w:tr>
      <w:tr w:rsidR="006A2B1E" w:rsidRPr="00A66C9F" w14:paraId="062E67EB" w14:textId="77777777" w:rsidTr="00107D5D">
        <w:trPr>
          <w:cantSplit/>
        </w:trPr>
        <w:tc>
          <w:tcPr>
            <w:tcW w:w="4151" w:type="dxa"/>
            <w:shd w:val="clear" w:color="auto" w:fill="auto"/>
            <w:noWrap/>
            <w:vAlign w:val="bottom"/>
          </w:tcPr>
          <w:p w14:paraId="7AAE4094" w14:textId="77777777" w:rsidR="006A2B1E" w:rsidRPr="00A66C9F" w:rsidRDefault="006A2B1E"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ab/>
              <w:t>Actifs réels</w:t>
            </w:r>
          </w:p>
        </w:tc>
        <w:tc>
          <w:tcPr>
            <w:tcW w:w="774" w:type="dxa"/>
            <w:shd w:val="clear" w:color="auto" w:fill="auto"/>
            <w:noWrap/>
            <w:vAlign w:val="bottom"/>
          </w:tcPr>
          <w:p w14:paraId="09F06A73"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 w:val="17"/>
                <w:lang w:val="fr-FR"/>
              </w:rPr>
            </w:pPr>
          </w:p>
        </w:tc>
        <w:tc>
          <w:tcPr>
            <w:tcW w:w="1822" w:type="dxa"/>
            <w:shd w:val="clear" w:color="auto" w:fill="auto"/>
            <w:noWrap/>
            <w:vAlign w:val="bottom"/>
          </w:tcPr>
          <w:p w14:paraId="67307AD8"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5 201 835 </w:t>
            </w:r>
          </w:p>
        </w:tc>
        <w:tc>
          <w:tcPr>
            <w:tcW w:w="1823" w:type="dxa"/>
            <w:shd w:val="clear" w:color="auto" w:fill="auto"/>
            <w:noWrap/>
            <w:vAlign w:val="bottom"/>
          </w:tcPr>
          <w:p w14:paraId="49E58BBB"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4 340 466 </w:t>
            </w:r>
          </w:p>
        </w:tc>
      </w:tr>
      <w:tr w:rsidR="006A2B1E" w:rsidRPr="00A66C9F" w14:paraId="5532FCE5" w14:textId="77777777" w:rsidTr="00107D5D">
        <w:trPr>
          <w:cantSplit/>
        </w:trPr>
        <w:tc>
          <w:tcPr>
            <w:tcW w:w="4151" w:type="dxa"/>
            <w:tcBorders>
              <w:bottom w:val="single" w:sz="4" w:space="0" w:color="auto"/>
            </w:tcBorders>
            <w:shd w:val="clear" w:color="auto" w:fill="auto"/>
            <w:noWrap/>
            <w:vAlign w:val="bottom"/>
          </w:tcPr>
          <w:p w14:paraId="3D5553D3" w14:textId="77777777" w:rsidR="006A2B1E" w:rsidRPr="00A66C9F" w:rsidRDefault="006A2B1E" w:rsidP="00107D5D">
            <w:pPr>
              <w:tabs>
                <w:tab w:val="left" w:pos="288"/>
                <w:tab w:val="left" w:pos="576"/>
                <w:tab w:val="left" w:pos="864"/>
                <w:tab w:val="left" w:pos="1152"/>
              </w:tabs>
              <w:suppressAutoHyphens/>
              <w:spacing w:before="40" w:after="81" w:line="210" w:lineRule="exact"/>
              <w:ind w:right="40"/>
              <w:rPr>
                <w:sz w:val="17"/>
                <w:lang w:val="fr-FR"/>
              </w:rPr>
            </w:pPr>
            <w:r w:rsidRPr="00A66C9F">
              <w:rPr>
                <w:sz w:val="17"/>
                <w:lang w:val="fr-FR"/>
              </w:rPr>
              <w:tab/>
              <w:t>Investissements alternatifs et divers</w:t>
            </w:r>
          </w:p>
        </w:tc>
        <w:tc>
          <w:tcPr>
            <w:tcW w:w="774" w:type="dxa"/>
            <w:tcBorders>
              <w:bottom w:val="single" w:sz="4" w:space="0" w:color="auto"/>
            </w:tcBorders>
            <w:shd w:val="clear" w:color="auto" w:fill="auto"/>
            <w:noWrap/>
            <w:vAlign w:val="bottom"/>
          </w:tcPr>
          <w:p w14:paraId="0D7D9B00"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3"/>
              <w:jc w:val="left"/>
              <w:rPr>
                <w:sz w:val="17"/>
                <w:lang w:val="fr-FR"/>
              </w:rPr>
            </w:pPr>
          </w:p>
        </w:tc>
        <w:tc>
          <w:tcPr>
            <w:tcW w:w="1822" w:type="dxa"/>
            <w:tcBorders>
              <w:bottom w:val="single" w:sz="4" w:space="0" w:color="auto"/>
            </w:tcBorders>
            <w:shd w:val="clear" w:color="auto" w:fill="auto"/>
            <w:noWrap/>
            <w:vAlign w:val="bottom"/>
          </w:tcPr>
          <w:p w14:paraId="26AFFE35" w14:textId="77777777" w:rsidR="006A2B1E" w:rsidRPr="00A66C9F" w:rsidRDefault="006A2B1E"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3 626 467 </w:t>
            </w:r>
          </w:p>
        </w:tc>
        <w:tc>
          <w:tcPr>
            <w:tcW w:w="1823" w:type="dxa"/>
            <w:tcBorders>
              <w:bottom w:val="single" w:sz="4" w:space="0" w:color="auto"/>
            </w:tcBorders>
            <w:shd w:val="clear" w:color="auto" w:fill="auto"/>
            <w:noWrap/>
            <w:vAlign w:val="bottom"/>
          </w:tcPr>
          <w:p w14:paraId="48B7FB5D" w14:textId="77777777" w:rsidR="006A2B1E" w:rsidRPr="00A66C9F" w:rsidRDefault="006A2B1E"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2 743 377 </w:t>
            </w:r>
          </w:p>
        </w:tc>
      </w:tr>
      <w:tr w:rsidR="006A2B1E" w:rsidRPr="00A66C9F" w14:paraId="67A686CB" w14:textId="77777777" w:rsidTr="00107D5D">
        <w:trPr>
          <w:cantSplit/>
        </w:trPr>
        <w:tc>
          <w:tcPr>
            <w:tcW w:w="4151" w:type="dxa"/>
            <w:tcBorders>
              <w:top w:val="single" w:sz="4" w:space="0" w:color="auto"/>
              <w:bottom w:val="single" w:sz="4" w:space="0" w:color="auto"/>
            </w:tcBorders>
            <w:shd w:val="clear" w:color="auto" w:fill="auto"/>
            <w:noWrap/>
            <w:vAlign w:val="bottom"/>
          </w:tcPr>
          <w:p w14:paraId="201CBC6D" w14:textId="77777777" w:rsidR="006A2B1E" w:rsidRPr="00A66C9F" w:rsidRDefault="006A2B1E" w:rsidP="00107D5D">
            <w:pPr>
              <w:tabs>
                <w:tab w:val="left" w:pos="288"/>
                <w:tab w:val="left" w:pos="576"/>
                <w:tab w:val="left" w:pos="864"/>
                <w:tab w:val="left" w:pos="1152"/>
              </w:tabs>
              <w:suppressAutoHyphens/>
              <w:spacing w:before="81" w:after="81" w:line="210" w:lineRule="exact"/>
              <w:ind w:right="40"/>
              <w:rPr>
                <w:b/>
                <w:sz w:val="17"/>
                <w:lang w:val="fr-FR"/>
              </w:rPr>
            </w:pPr>
          </w:p>
        </w:tc>
        <w:tc>
          <w:tcPr>
            <w:tcW w:w="774" w:type="dxa"/>
            <w:tcBorders>
              <w:top w:val="single" w:sz="4" w:space="0" w:color="auto"/>
              <w:bottom w:val="single" w:sz="4" w:space="0" w:color="auto"/>
            </w:tcBorders>
            <w:shd w:val="clear" w:color="auto" w:fill="auto"/>
            <w:noWrap/>
            <w:vAlign w:val="bottom"/>
          </w:tcPr>
          <w:p w14:paraId="09757645"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3"/>
              <w:jc w:val="left"/>
              <w:rPr>
                <w:sz w:val="17"/>
                <w:lang w:val="fr-FR"/>
              </w:rPr>
            </w:pPr>
          </w:p>
        </w:tc>
        <w:tc>
          <w:tcPr>
            <w:tcW w:w="1822" w:type="dxa"/>
            <w:tcBorders>
              <w:top w:val="single" w:sz="4" w:space="0" w:color="auto"/>
              <w:bottom w:val="single" w:sz="4" w:space="0" w:color="auto"/>
            </w:tcBorders>
            <w:shd w:val="clear" w:color="auto" w:fill="auto"/>
            <w:noWrap/>
            <w:vAlign w:val="bottom"/>
          </w:tcPr>
          <w:p w14:paraId="7A46F248" w14:textId="77777777" w:rsidR="006A2B1E" w:rsidRPr="00A66C9F" w:rsidRDefault="006A2B1E"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71 549 974 </w:t>
            </w:r>
          </w:p>
        </w:tc>
        <w:tc>
          <w:tcPr>
            <w:tcW w:w="1823" w:type="dxa"/>
            <w:tcBorders>
              <w:top w:val="single" w:sz="4" w:space="0" w:color="auto"/>
              <w:bottom w:val="single" w:sz="4" w:space="0" w:color="auto"/>
            </w:tcBorders>
            <w:shd w:val="clear" w:color="auto" w:fill="auto"/>
            <w:noWrap/>
            <w:vAlign w:val="bottom"/>
          </w:tcPr>
          <w:p w14:paraId="0EC99D5C" w14:textId="77777777" w:rsidR="006A2B1E" w:rsidRPr="00A66C9F" w:rsidRDefault="006A2B1E"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60 309 835</w:t>
            </w:r>
          </w:p>
        </w:tc>
      </w:tr>
      <w:tr w:rsidR="006A2B1E" w:rsidRPr="00A66C9F" w14:paraId="58405FB3" w14:textId="77777777" w:rsidTr="00107D5D">
        <w:trPr>
          <w:cantSplit/>
        </w:trPr>
        <w:tc>
          <w:tcPr>
            <w:tcW w:w="4151" w:type="dxa"/>
            <w:shd w:val="clear" w:color="auto" w:fill="auto"/>
            <w:noWrap/>
            <w:vAlign w:val="bottom"/>
          </w:tcPr>
          <w:p w14:paraId="7A8E18AC" w14:textId="77777777" w:rsidR="006A2B1E" w:rsidRPr="00A66C9F" w:rsidRDefault="006A2B1E" w:rsidP="00107D5D">
            <w:pPr>
              <w:tabs>
                <w:tab w:val="left" w:pos="288"/>
                <w:tab w:val="left" w:pos="576"/>
                <w:tab w:val="left" w:pos="864"/>
                <w:tab w:val="left" w:pos="1152"/>
              </w:tabs>
              <w:suppressAutoHyphens/>
              <w:spacing w:before="81" w:after="40" w:line="210" w:lineRule="exact"/>
              <w:ind w:right="40"/>
              <w:rPr>
                <w:sz w:val="17"/>
                <w:lang w:val="fr-FR"/>
              </w:rPr>
            </w:pPr>
            <w:r w:rsidRPr="00A66C9F">
              <w:rPr>
                <w:sz w:val="17"/>
                <w:lang w:val="fr-FR"/>
              </w:rPr>
              <w:t xml:space="preserve">Cotisations à recevoir </w:t>
            </w:r>
          </w:p>
        </w:tc>
        <w:tc>
          <w:tcPr>
            <w:tcW w:w="774" w:type="dxa"/>
            <w:shd w:val="clear" w:color="auto" w:fill="auto"/>
            <w:noWrap/>
            <w:vAlign w:val="bottom"/>
          </w:tcPr>
          <w:p w14:paraId="38557326"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3"/>
              <w:jc w:val="left"/>
              <w:rPr>
                <w:sz w:val="17"/>
                <w:lang w:val="fr-FR"/>
              </w:rPr>
            </w:pPr>
          </w:p>
        </w:tc>
        <w:tc>
          <w:tcPr>
            <w:tcW w:w="1822" w:type="dxa"/>
            <w:shd w:val="clear" w:color="auto" w:fill="auto"/>
            <w:noWrap/>
            <w:vAlign w:val="bottom"/>
          </w:tcPr>
          <w:p w14:paraId="412F4B9A" w14:textId="77777777" w:rsidR="006A2B1E" w:rsidRPr="00A66C9F" w:rsidRDefault="006A2B1E" w:rsidP="00107D5D">
            <w:pPr>
              <w:tabs>
                <w:tab w:val="left" w:pos="288"/>
                <w:tab w:val="left" w:pos="576"/>
                <w:tab w:val="left" w:pos="864"/>
                <w:tab w:val="left" w:pos="1152"/>
              </w:tabs>
              <w:suppressAutoHyphens/>
              <w:spacing w:before="81" w:after="40" w:line="210" w:lineRule="exact"/>
              <w:ind w:right="43"/>
              <w:jc w:val="right"/>
              <w:rPr>
                <w:sz w:val="17"/>
                <w:lang w:val="fr-FR"/>
              </w:rPr>
            </w:pPr>
            <w:r w:rsidRPr="00A66C9F">
              <w:rPr>
                <w:sz w:val="17"/>
                <w:lang w:val="fr-FR"/>
              </w:rPr>
              <w:t xml:space="preserve"> 64 912</w:t>
            </w:r>
          </w:p>
        </w:tc>
        <w:tc>
          <w:tcPr>
            <w:tcW w:w="1823" w:type="dxa"/>
            <w:shd w:val="clear" w:color="auto" w:fill="auto"/>
            <w:noWrap/>
            <w:vAlign w:val="bottom"/>
          </w:tcPr>
          <w:p w14:paraId="4E7421C5" w14:textId="77777777" w:rsidR="006A2B1E" w:rsidRPr="00A66C9F" w:rsidRDefault="006A2B1E" w:rsidP="00107D5D">
            <w:pPr>
              <w:tabs>
                <w:tab w:val="left" w:pos="288"/>
                <w:tab w:val="left" w:pos="576"/>
                <w:tab w:val="left" w:pos="864"/>
                <w:tab w:val="left" w:pos="1152"/>
              </w:tabs>
              <w:suppressAutoHyphens/>
              <w:spacing w:before="81" w:after="40" w:line="210" w:lineRule="exact"/>
              <w:ind w:right="43"/>
              <w:jc w:val="right"/>
              <w:rPr>
                <w:sz w:val="17"/>
                <w:lang w:val="fr-FR"/>
              </w:rPr>
            </w:pPr>
            <w:r w:rsidRPr="00A66C9F">
              <w:rPr>
                <w:sz w:val="17"/>
                <w:lang w:val="fr-FR"/>
              </w:rPr>
              <w:t xml:space="preserve"> 55 889 </w:t>
            </w:r>
          </w:p>
        </w:tc>
      </w:tr>
      <w:tr w:rsidR="006A2B1E" w:rsidRPr="00A66C9F" w14:paraId="7D11613E" w14:textId="77777777" w:rsidTr="00107D5D">
        <w:trPr>
          <w:cantSplit/>
        </w:trPr>
        <w:tc>
          <w:tcPr>
            <w:tcW w:w="4151" w:type="dxa"/>
            <w:shd w:val="clear" w:color="auto" w:fill="auto"/>
            <w:noWrap/>
            <w:vAlign w:val="bottom"/>
          </w:tcPr>
          <w:p w14:paraId="38A44DC3" w14:textId="77777777" w:rsidR="006A2B1E" w:rsidRPr="00A66C9F" w:rsidRDefault="006A2B1E"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Produits à recevoir sur les investissements</w:t>
            </w:r>
          </w:p>
        </w:tc>
        <w:tc>
          <w:tcPr>
            <w:tcW w:w="774" w:type="dxa"/>
            <w:shd w:val="clear" w:color="auto" w:fill="auto"/>
            <w:noWrap/>
            <w:vAlign w:val="bottom"/>
          </w:tcPr>
          <w:p w14:paraId="124815B9"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 w:val="17"/>
                <w:lang w:val="fr-FR"/>
              </w:rPr>
            </w:pPr>
            <w:r w:rsidRPr="00A66C9F">
              <w:rPr>
                <w:sz w:val="17"/>
                <w:lang w:val="fr-FR"/>
              </w:rPr>
              <w:t>7</w:t>
            </w:r>
          </w:p>
        </w:tc>
        <w:tc>
          <w:tcPr>
            <w:tcW w:w="1822" w:type="dxa"/>
            <w:shd w:val="clear" w:color="auto" w:fill="auto"/>
            <w:noWrap/>
            <w:vAlign w:val="bottom"/>
          </w:tcPr>
          <w:p w14:paraId="7276128D"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163 163 </w:t>
            </w:r>
          </w:p>
        </w:tc>
        <w:tc>
          <w:tcPr>
            <w:tcW w:w="1823" w:type="dxa"/>
            <w:shd w:val="clear" w:color="auto" w:fill="auto"/>
            <w:noWrap/>
            <w:vAlign w:val="bottom"/>
          </w:tcPr>
          <w:p w14:paraId="36B29BD7"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158 251 </w:t>
            </w:r>
          </w:p>
        </w:tc>
      </w:tr>
      <w:tr w:rsidR="006A2B1E" w:rsidRPr="00A66C9F" w14:paraId="68521913" w14:textId="77777777" w:rsidTr="00107D5D">
        <w:trPr>
          <w:cantSplit/>
        </w:trPr>
        <w:tc>
          <w:tcPr>
            <w:tcW w:w="4151" w:type="dxa"/>
            <w:shd w:val="clear" w:color="auto" w:fill="auto"/>
            <w:noWrap/>
            <w:vAlign w:val="bottom"/>
          </w:tcPr>
          <w:p w14:paraId="1ECC7512" w14:textId="77777777" w:rsidR="006A2B1E" w:rsidRPr="00A66C9F" w:rsidRDefault="006A2B1E"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Produits à recevoir sur la cession de titres</w:t>
            </w:r>
          </w:p>
        </w:tc>
        <w:tc>
          <w:tcPr>
            <w:tcW w:w="774" w:type="dxa"/>
            <w:shd w:val="clear" w:color="auto" w:fill="auto"/>
            <w:noWrap/>
            <w:vAlign w:val="bottom"/>
          </w:tcPr>
          <w:p w14:paraId="24B3FC99"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 w:val="17"/>
                <w:lang w:val="fr-FR"/>
              </w:rPr>
            </w:pPr>
            <w:r w:rsidRPr="00A66C9F">
              <w:rPr>
                <w:sz w:val="17"/>
                <w:lang w:val="fr-FR"/>
              </w:rPr>
              <w:t>5</w:t>
            </w:r>
          </w:p>
        </w:tc>
        <w:tc>
          <w:tcPr>
            <w:tcW w:w="1822" w:type="dxa"/>
            <w:shd w:val="clear" w:color="auto" w:fill="auto"/>
            <w:noWrap/>
            <w:vAlign w:val="bottom"/>
          </w:tcPr>
          <w:p w14:paraId="27EE30E2"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15 390 </w:t>
            </w:r>
          </w:p>
        </w:tc>
        <w:tc>
          <w:tcPr>
            <w:tcW w:w="1823" w:type="dxa"/>
            <w:shd w:val="clear" w:color="auto" w:fill="auto"/>
            <w:noWrap/>
            <w:vAlign w:val="bottom"/>
          </w:tcPr>
          <w:p w14:paraId="77D60386"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7 869 </w:t>
            </w:r>
          </w:p>
        </w:tc>
      </w:tr>
      <w:tr w:rsidR="006A2B1E" w:rsidRPr="00A66C9F" w14:paraId="0303D397" w14:textId="77777777" w:rsidTr="00107D5D">
        <w:trPr>
          <w:cantSplit/>
        </w:trPr>
        <w:tc>
          <w:tcPr>
            <w:tcW w:w="4151" w:type="dxa"/>
            <w:shd w:val="clear" w:color="auto" w:fill="auto"/>
            <w:noWrap/>
            <w:vAlign w:val="bottom"/>
          </w:tcPr>
          <w:p w14:paraId="3098CF3C" w14:textId="77777777" w:rsidR="006A2B1E" w:rsidRPr="00A66C9F" w:rsidRDefault="006A2B1E"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Créances sur des administrations fiscales</w:t>
            </w:r>
          </w:p>
        </w:tc>
        <w:tc>
          <w:tcPr>
            <w:tcW w:w="774" w:type="dxa"/>
            <w:shd w:val="clear" w:color="auto" w:fill="auto"/>
            <w:noWrap/>
            <w:vAlign w:val="bottom"/>
          </w:tcPr>
          <w:p w14:paraId="715308C3"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 w:val="17"/>
                <w:lang w:val="fr-FR"/>
              </w:rPr>
            </w:pPr>
            <w:r w:rsidRPr="00A66C9F">
              <w:rPr>
                <w:sz w:val="17"/>
                <w:lang w:val="fr-FR"/>
              </w:rPr>
              <w:t>8</w:t>
            </w:r>
          </w:p>
        </w:tc>
        <w:tc>
          <w:tcPr>
            <w:tcW w:w="1822" w:type="dxa"/>
            <w:shd w:val="clear" w:color="auto" w:fill="auto"/>
            <w:noWrap/>
            <w:vAlign w:val="bottom"/>
          </w:tcPr>
          <w:p w14:paraId="1984041F"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35 789 </w:t>
            </w:r>
          </w:p>
        </w:tc>
        <w:tc>
          <w:tcPr>
            <w:tcW w:w="1823" w:type="dxa"/>
            <w:shd w:val="clear" w:color="auto" w:fill="auto"/>
            <w:noWrap/>
            <w:vAlign w:val="bottom"/>
          </w:tcPr>
          <w:p w14:paraId="789EE6A9"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20 133 </w:t>
            </w:r>
          </w:p>
        </w:tc>
      </w:tr>
      <w:tr w:rsidR="006A2B1E" w:rsidRPr="00A66C9F" w14:paraId="0C5C4895" w14:textId="77777777" w:rsidTr="00107D5D">
        <w:trPr>
          <w:cantSplit/>
        </w:trPr>
        <w:tc>
          <w:tcPr>
            <w:tcW w:w="4151" w:type="dxa"/>
            <w:tcBorders>
              <w:bottom w:val="single" w:sz="4" w:space="0" w:color="auto"/>
            </w:tcBorders>
            <w:shd w:val="clear" w:color="auto" w:fill="auto"/>
            <w:noWrap/>
            <w:vAlign w:val="bottom"/>
          </w:tcPr>
          <w:p w14:paraId="44D8F470" w14:textId="77777777" w:rsidR="006A2B1E" w:rsidRPr="00A66C9F" w:rsidRDefault="006A2B1E" w:rsidP="00107D5D">
            <w:pPr>
              <w:tabs>
                <w:tab w:val="left" w:pos="288"/>
                <w:tab w:val="left" w:pos="576"/>
                <w:tab w:val="left" w:pos="864"/>
                <w:tab w:val="left" w:pos="1152"/>
              </w:tabs>
              <w:suppressAutoHyphens/>
              <w:spacing w:before="40" w:after="81" w:line="210" w:lineRule="exact"/>
              <w:ind w:right="40"/>
              <w:rPr>
                <w:sz w:val="17"/>
                <w:lang w:val="fr-FR"/>
              </w:rPr>
            </w:pPr>
            <w:r w:rsidRPr="00A66C9F">
              <w:rPr>
                <w:sz w:val="17"/>
                <w:lang w:val="fr-FR"/>
              </w:rPr>
              <w:t>Autres éléments d’actif</w:t>
            </w:r>
          </w:p>
        </w:tc>
        <w:tc>
          <w:tcPr>
            <w:tcW w:w="774" w:type="dxa"/>
            <w:tcBorders>
              <w:bottom w:val="single" w:sz="4" w:space="0" w:color="auto"/>
            </w:tcBorders>
            <w:shd w:val="clear" w:color="auto" w:fill="auto"/>
            <w:noWrap/>
            <w:vAlign w:val="bottom"/>
          </w:tcPr>
          <w:p w14:paraId="52264973"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3"/>
              <w:jc w:val="left"/>
              <w:rPr>
                <w:sz w:val="17"/>
                <w:lang w:val="fr-FR"/>
              </w:rPr>
            </w:pPr>
            <w:r w:rsidRPr="00A66C9F">
              <w:rPr>
                <w:sz w:val="17"/>
                <w:lang w:val="fr-FR"/>
              </w:rPr>
              <w:t>9</w:t>
            </w:r>
          </w:p>
        </w:tc>
        <w:tc>
          <w:tcPr>
            <w:tcW w:w="1822" w:type="dxa"/>
            <w:tcBorders>
              <w:bottom w:val="single" w:sz="4" w:space="0" w:color="auto"/>
            </w:tcBorders>
            <w:shd w:val="clear" w:color="auto" w:fill="auto"/>
            <w:noWrap/>
            <w:vAlign w:val="bottom"/>
          </w:tcPr>
          <w:p w14:paraId="21DCACAD" w14:textId="77777777" w:rsidR="006A2B1E" w:rsidRPr="00A66C9F" w:rsidRDefault="006A2B1E"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25 398 </w:t>
            </w:r>
          </w:p>
        </w:tc>
        <w:tc>
          <w:tcPr>
            <w:tcW w:w="1823" w:type="dxa"/>
            <w:tcBorders>
              <w:bottom w:val="single" w:sz="4" w:space="0" w:color="auto"/>
            </w:tcBorders>
            <w:shd w:val="clear" w:color="auto" w:fill="auto"/>
            <w:noWrap/>
            <w:vAlign w:val="bottom"/>
          </w:tcPr>
          <w:p w14:paraId="29D931E8" w14:textId="77777777" w:rsidR="006A2B1E" w:rsidRPr="00A66C9F" w:rsidRDefault="006A2B1E"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22 068 </w:t>
            </w:r>
          </w:p>
        </w:tc>
      </w:tr>
      <w:tr w:rsidR="006A2B1E" w:rsidRPr="00A66C9F" w14:paraId="7B8168D5" w14:textId="77777777" w:rsidTr="00107D5D">
        <w:trPr>
          <w:cantSplit/>
        </w:trPr>
        <w:tc>
          <w:tcPr>
            <w:tcW w:w="4151" w:type="dxa"/>
            <w:tcBorders>
              <w:top w:val="single" w:sz="4" w:space="0" w:color="auto"/>
              <w:bottom w:val="single" w:sz="4" w:space="0" w:color="auto"/>
            </w:tcBorders>
            <w:shd w:val="clear" w:color="auto" w:fill="auto"/>
            <w:noWrap/>
            <w:vAlign w:val="bottom"/>
          </w:tcPr>
          <w:p w14:paraId="4B59318D" w14:textId="77777777" w:rsidR="006A2B1E" w:rsidRPr="00A66C9F" w:rsidRDefault="006A2B1E" w:rsidP="00107D5D">
            <w:pPr>
              <w:tabs>
                <w:tab w:val="left" w:pos="288"/>
                <w:tab w:val="left" w:pos="576"/>
                <w:tab w:val="left" w:pos="864"/>
                <w:tab w:val="left" w:pos="1152"/>
              </w:tabs>
              <w:suppressAutoHyphens/>
              <w:spacing w:before="81" w:after="81" w:line="210" w:lineRule="exact"/>
              <w:ind w:right="40"/>
              <w:rPr>
                <w:b/>
                <w:sz w:val="17"/>
                <w:lang w:val="fr-FR"/>
              </w:rPr>
            </w:pPr>
            <w:r w:rsidRPr="00A66C9F">
              <w:rPr>
                <w:b/>
                <w:sz w:val="17"/>
                <w:lang w:val="fr-FR"/>
              </w:rPr>
              <w:tab/>
              <w:t>Total de l’actif</w:t>
            </w:r>
          </w:p>
        </w:tc>
        <w:tc>
          <w:tcPr>
            <w:tcW w:w="774" w:type="dxa"/>
            <w:tcBorders>
              <w:top w:val="single" w:sz="4" w:space="0" w:color="auto"/>
              <w:bottom w:val="single" w:sz="4" w:space="0" w:color="auto"/>
            </w:tcBorders>
            <w:shd w:val="clear" w:color="auto" w:fill="auto"/>
            <w:noWrap/>
            <w:vAlign w:val="bottom"/>
          </w:tcPr>
          <w:p w14:paraId="37CEDB9E"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3"/>
              <w:jc w:val="left"/>
              <w:rPr>
                <w:sz w:val="17"/>
                <w:lang w:val="fr-FR"/>
              </w:rPr>
            </w:pPr>
          </w:p>
        </w:tc>
        <w:tc>
          <w:tcPr>
            <w:tcW w:w="1822" w:type="dxa"/>
            <w:tcBorders>
              <w:top w:val="single" w:sz="4" w:space="0" w:color="auto"/>
              <w:bottom w:val="single" w:sz="4" w:space="0" w:color="auto"/>
            </w:tcBorders>
            <w:shd w:val="clear" w:color="auto" w:fill="auto"/>
            <w:noWrap/>
            <w:vAlign w:val="bottom"/>
          </w:tcPr>
          <w:p w14:paraId="15CC1DBC" w14:textId="77777777" w:rsidR="006A2B1E" w:rsidRPr="00A66C9F" w:rsidRDefault="006A2B1E"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72 290 980</w:t>
            </w:r>
          </w:p>
        </w:tc>
        <w:tc>
          <w:tcPr>
            <w:tcW w:w="1823" w:type="dxa"/>
            <w:tcBorders>
              <w:top w:val="single" w:sz="4" w:space="0" w:color="auto"/>
              <w:bottom w:val="single" w:sz="4" w:space="0" w:color="auto"/>
            </w:tcBorders>
            <w:shd w:val="clear" w:color="auto" w:fill="auto"/>
            <w:noWrap/>
            <w:vAlign w:val="bottom"/>
          </w:tcPr>
          <w:p w14:paraId="529D66E6" w14:textId="77777777" w:rsidR="006A2B1E" w:rsidRPr="00A66C9F" w:rsidRDefault="006A2B1E"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61 138 936</w:t>
            </w:r>
          </w:p>
        </w:tc>
      </w:tr>
      <w:tr w:rsidR="006A2B1E" w:rsidRPr="00A66C9F" w14:paraId="542A5FB8" w14:textId="77777777" w:rsidTr="00107D5D">
        <w:trPr>
          <w:cantSplit/>
        </w:trPr>
        <w:tc>
          <w:tcPr>
            <w:tcW w:w="4151" w:type="dxa"/>
            <w:shd w:val="clear" w:color="auto" w:fill="auto"/>
            <w:noWrap/>
            <w:vAlign w:val="bottom"/>
          </w:tcPr>
          <w:p w14:paraId="2E9FA712" w14:textId="77777777" w:rsidR="006A2B1E" w:rsidRPr="00A66C9F" w:rsidRDefault="006A2B1E" w:rsidP="00107D5D">
            <w:pPr>
              <w:tabs>
                <w:tab w:val="left" w:pos="288"/>
                <w:tab w:val="left" w:pos="576"/>
                <w:tab w:val="left" w:pos="864"/>
                <w:tab w:val="left" w:pos="1152"/>
              </w:tabs>
              <w:suppressAutoHyphens/>
              <w:spacing w:before="81" w:after="40" w:line="210" w:lineRule="exact"/>
              <w:ind w:right="40"/>
              <w:rPr>
                <w:b/>
                <w:bCs/>
                <w:sz w:val="17"/>
                <w:lang w:val="fr-FR"/>
              </w:rPr>
            </w:pPr>
            <w:r w:rsidRPr="00A66C9F">
              <w:rPr>
                <w:b/>
                <w:bCs/>
                <w:sz w:val="17"/>
                <w:lang w:val="fr-FR"/>
              </w:rPr>
              <w:t>Passif</w:t>
            </w:r>
          </w:p>
        </w:tc>
        <w:tc>
          <w:tcPr>
            <w:tcW w:w="774" w:type="dxa"/>
            <w:shd w:val="clear" w:color="auto" w:fill="auto"/>
            <w:noWrap/>
            <w:vAlign w:val="bottom"/>
          </w:tcPr>
          <w:p w14:paraId="3DD92266"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3"/>
              <w:jc w:val="left"/>
              <w:rPr>
                <w:sz w:val="17"/>
                <w:lang w:val="fr-FR"/>
              </w:rPr>
            </w:pPr>
          </w:p>
        </w:tc>
        <w:tc>
          <w:tcPr>
            <w:tcW w:w="1822" w:type="dxa"/>
            <w:shd w:val="clear" w:color="auto" w:fill="auto"/>
            <w:noWrap/>
            <w:vAlign w:val="bottom"/>
          </w:tcPr>
          <w:p w14:paraId="4E097A1F" w14:textId="77777777" w:rsidR="006A2B1E" w:rsidRPr="00A66C9F" w:rsidRDefault="006A2B1E" w:rsidP="00107D5D">
            <w:pPr>
              <w:tabs>
                <w:tab w:val="left" w:pos="288"/>
                <w:tab w:val="left" w:pos="576"/>
                <w:tab w:val="left" w:pos="864"/>
                <w:tab w:val="left" w:pos="1152"/>
              </w:tabs>
              <w:suppressAutoHyphens/>
              <w:spacing w:before="81" w:after="40" w:line="210" w:lineRule="exact"/>
              <w:ind w:right="43"/>
              <w:jc w:val="right"/>
              <w:rPr>
                <w:sz w:val="17"/>
                <w:lang w:val="fr-FR"/>
              </w:rPr>
            </w:pPr>
          </w:p>
        </w:tc>
        <w:tc>
          <w:tcPr>
            <w:tcW w:w="1823" w:type="dxa"/>
            <w:shd w:val="clear" w:color="auto" w:fill="auto"/>
            <w:noWrap/>
            <w:vAlign w:val="bottom"/>
          </w:tcPr>
          <w:p w14:paraId="5C9ED3A6" w14:textId="77777777" w:rsidR="006A2B1E" w:rsidRPr="00A66C9F" w:rsidRDefault="006A2B1E" w:rsidP="00107D5D">
            <w:pPr>
              <w:tabs>
                <w:tab w:val="left" w:pos="288"/>
                <w:tab w:val="left" w:pos="576"/>
                <w:tab w:val="left" w:pos="864"/>
                <w:tab w:val="left" w:pos="1152"/>
              </w:tabs>
              <w:suppressAutoHyphens/>
              <w:spacing w:before="81" w:after="40" w:line="210" w:lineRule="exact"/>
              <w:ind w:right="43"/>
              <w:jc w:val="right"/>
              <w:rPr>
                <w:sz w:val="17"/>
                <w:lang w:val="fr-FR"/>
              </w:rPr>
            </w:pPr>
          </w:p>
        </w:tc>
      </w:tr>
      <w:tr w:rsidR="006A2B1E" w:rsidRPr="00A66C9F" w14:paraId="510AECD1" w14:textId="77777777" w:rsidTr="00107D5D">
        <w:trPr>
          <w:cantSplit/>
        </w:trPr>
        <w:tc>
          <w:tcPr>
            <w:tcW w:w="4151" w:type="dxa"/>
            <w:shd w:val="clear" w:color="auto" w:fill="auto"/>
            <w:noWrap/>
            <w:vAlign w:val="bottom"/>
          </w:tcPr>
          <w:p w14:paraId="78A6FC91" w14:textId="77777777" w:rsidR="006A2B1E" w:rsidRPr="00A66C9F" w:rsidRDefault="006A2B1E"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Prestations à payer</w:t>
            </w:r>
          </w:p>
        </w:tc>
        <w:tc>
          <w:tcPr>
            <w:tcW w:w="774" w:type="dxa"/>
            <w:shd w:val="clear" w:color="auto" w:fill="auto"/>
            <w:noWrap/>
            <w:vAlign w:val="bottom"/>
          </w:tcPr>
          <w:p w14:paraId="39344801"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 w:val="17"/>
                <w:lang w:val="fr-FR"/>
              </w:rPr>
            </w:pPr>
            <w:r w:rsidRPr="00A66C9F">
              <w:rPr>
                <w:sz w:val="17"/>
                <w:lang w:val="fr-FR"/>
              </w:rPr>
              <w:t>10</w:t>
            </w:r>
          </w:p>
        </w:tc>
        <w:tc>
          <w:tcPr>
            <w:tcW w:w="1822" w:type="dxa"/>
            <w:shd w:val="clear" w:color="auto" w:fill="auto"/>
            <w:noWrap/>
            <w:vAlign w:val="bottom"/>
          </w:tcPr>
          <w:p w14:paraId="25BB159F"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105 970 </w:t>
            </w:r>
          </w:p>
        </w:tc>
        <w:tc>
          <w:tcPr>
            <w:tcW w:w="1823" w:type="dxa"/>
            <w:shd w:val="clear" w:color="auto" w:fill="auto"/>
            <w:noWrap/>
            <w:vAlign w:val="bottom"/>
          </w:tcPr>
          <w:p w14:paraId="153944A3"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102 488</w:t>
            </w:r>
          </w:p>
        </w:tc>
      </w:tr>
      <w:tr w:rsidR="006A2B1E" w:rsidRPr="00A66C9F" w14:paraId="6A8300BD" w14:textId="77777777" w:rsidTr="00107D5D">
        <w:trPr>
          <w:cantSplit/>
        </w:trPr>
        <w:tc>
          <w:tcPr>
            <w:tcW w:w="4151" w:type="dxa"/>
            <w:shd w:val="clear" w:color="auto" w:fill="auto"/>
            <w:noWrap/>
            <w:vAlign w:val="bottom"/>
          </w:tcPr>
          <w:p w14:paraId="2B2BF255" w14:textId="77777777" w:rsidR="006A2B1E" w:rsidRPr="00A66C9F" w:rsidRDefault="006A2B1E"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Montants à payer découlant d’opérations sur titres</w:t>
            </w:r>
          </w:p>
        </w:tc>
        <w:tc>
          <w:tcPr>
            <w:tcW w:w="774" w:type="dxa"/>
            <w:shd w:val="clear" w:color="auto" w:fill="auto"/>
            <w:noWrap/>
            <w:vAlign w:val="bottom"/>
          </w:tcPr>
          <w:p w14:paraId="4FFC69A4"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 w:val="17"/>
                <w:lang w:val="fr-FR"/>
              </w:rPr>
            </w:pPr>
            <w:r w:rsidRPr="00A66C9F">
              <w:rPr>
                <w:sz w:val="17"/>
                <w:lang w:val="fr-FR"/>
              </w:rPr>
              <w:t>5</w:t>
            </w:r>
          </w:p>
        </w:tc>
        <w:tc>
          <w:tcPr>
            <w:tcW w:w="1822" w:type="dxa"/>
            <w:shd w:val="clear" w:color="auto" w:fill="auto"/>
            <w:noWrap/>
            <w:vAlign w:val="bottom"/>
          </w:tcPr>
          <w:p w14:paraId="216D8C5A"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27 191 </w:t>
            </w:r>
          </w:p>
        </w:tc>
        <w:tc>
          <w:tcPr>
            <w:tcW w:w="1823" w:type="dxa"/>
            <w:shd w:val="clear" w:color="auto" w:fill="auto"/>
            <w:noWrap/>
            <w:vAlign w:val="bottom"/>
          </w:tcPr>
          <w:p w14:paraId="02AE0F06"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159 913</w:t>
            </w:r>
          </w:p>
        </w:tc>
      </w:tr>
      <w:tr w:rsidR="006A2B1E" w:rsidRPr="00A66C9F" w14:paraId="752AACA8" w14:textId="77777777" w:rsidTr="00107D5D">
        <w:trPr>
          <w:cantSplit/>
        </w:trPr>
        <w:tc>
          <w:tcPr>
            <w:tcW w:w="4151" w:type="dxa"/>
            <w:shd w:val="clear" w:color="auto" w:fill="auto"/>
            <w:noWrap/>
            <w:vAlign w:val="bottom"/>
          </w:tcPr>
          <w:p w14:paraId="3EC04F45" w14:textId="77777777" w:rsidR="006A2B1E" w:rsidRPr="00A66C9F" w:rsidRDefault="006A2B1E" w:rsidP="00107D5D">
            <w:pPr>
              <w:tabs>
                <w:tab w:val="left" w:pos="288"/>
                <w:tab w:val="left" w:pos="576"/>
                <w:tab w:val="left" w:pos="864"/>
                <w:tab w:val="left" w:pos="1152"/>
              </w:tabs>
              <w:suppressAutoHyphens/>
              <w:spacing w:before="40" w:after="40" w:line="210" w:lineRule="exact"/>
              <w:ind w:right="40"/>
              <w:rPr>
                <w:sz w:val="17"/>
                <w:lang w:val="fr-FR"/>
              </w:rPr>
            </w:pPr>
            <w:bookmarkStart w:id="16" w:name="_Hlk37879301"/>
            <w:r w:rsidRPr="00A66C9F">
              <w:rPr>
                <w:sz w:val="17"/>
                <w:lang w:val="fr-FR"/>
              </w:rPr>
              <w:t>Assurance maladie après la cessation de service et autres avantages du personnel</w:t>
            </w:r>
            <w:bookmarkEnd w:id="16"/>
          </w:p>
        </w:tc>
        <w:tc>
          <w:tcPr>
            <w:tcW w:w="774" w:type="dxa"/>
            <w:shd w:val="clear" w:color="auto" w:fill="auto"/>
            <w:noWrap/>
            <w:vAlign w:val="bottom"/>
          </w:tcPr>
          <w:p w14:paraId="72ADD72A"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 w:val="17"/>
                <w:lang w:val="fr-FR"/>
              </w:rPr>
            </w:pPr>
            <w:r w:rsidRPr="00A66C9F">
              <w:rPr>
                <w:sz w:val="17"/>
                <w:lang w:val="fr-FR"/>
              </w:rPr>
              <w:t>11</w:t>
            </w:r>
          </w:p>
        </w:tc>
        <w:tc>
          <w:tcPr>
            <w:tcW w:w="1822" w:type="dxa"/>
            <w:shd w:val="clear" w:color="auto" w:fill="auto"/>
            <w:noWrap/>
            <w:vAlign w:val="bottom"/>
          </w:tcPr>
          <w:p w14:paraId="122462F1"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103 989 </w:t>
            </w:r>
          </w:p>
        </w:tc>
        <w:tc>
          <w:tcPr>
            <w:tcW w:w="1823" w:type="dxa"/>
            <w:shd w:val="clear" w:color="auto" w:fill="auto"/>
            <w:noWrap/>
            <w:vAlign w:val="bottom"/>
          </w:tcPr>
          <w:p w14:paraId="18F4749F"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87 891</w:t>
            </w:r>
          </w:p>
        </w:tc>
      </w:tr>
      <w:tr w:rsidR="006A2B1E" w:rsidRPr="00A66C9F" w14:paraId="70B13BFC" w14:textId="77777777" w:rsidTr="00107D5D">
        <w:trPr>
          <w:cantSplit/>
        </w:trPr>
        <w:tc>
          <w:tcPr>
            <w:tcW w:w="4151" w:type="dxa"/>
            <w:tcBorders>
              <w:bottom w:val="single" w:sz="4" w:space="0" w:color="auto"/>
            </w:tcBorders>
            <w:shd w:val="clear" w:color="auto" w:fill="auto"/>
            <w:noWrap/>
            <w:vAlign w:val="bottom"/>
          </w:tcPr>
          <w:p w14:paraId="012EB261" w14:textId="77777777" w:rsidR="006A2B1E" w:rsidRPr="00A66C9F" w:rsidRDefault="006A2B1E" w:rsidP="00107D5D">
            <w:pPr>
              <w:tabs>
                <w:tab w:val="left" w:pos="288"/>
                <w:tab w:val="left" w:pos="576"/>
                <w:tab w:val="left" w:pos="864"/>
                <w:tab w:val="left" w:pos="1152"/>
              </w:tabs>
              <w:suppressAutoHyphens/>
              <w:spacing w:before="40" w:after="81" w:line="210" w:lineRule="exact"/>
              <w:ind w:right="40"/>
              <w:rPr>
                <w:sz w:val="17"/>
                <w:lang w:val="fr-FR"/>
              </w:rPr>
            </w:pPr>
            <w:r w:rsidRPr="00A66C9F">
              <w:rPr>
                <w:sz w:val="17"/>
                <w:lang w:val="fr-FR"/>
              </w:rPr>
              <w:t>Autres passifs et charges à payer</w:t>
            </w:r>
          </w:p>
        </w:tc>
        <w:tc>
          <w:tcPr>
            <w:tcW w:w="774" w:type="dxa"/>
            <w:tcBorders>
              <w:bottom w:val="single" w:sz="4" w:space="0" w:color="auto"/>
            </w:tcBorders>
            <w:shd w:val="clear" w:color="auto" w:fill="auto"/>
            <w:noWrap/>
            <w:vAlign w:val="bottom"/>
          </w:tcPr>
          <w:p w14:paraId="777DE4C3"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3"/>
              <w:jc w:val="left"/>
              <w:rPr>
                <w:sz w:val="17"/>
                <w:lang w:val="fr-FR"/>
              </w:rPr>
            </w:pPr>
            <w:r w:rsidRPr="00A66C9F">
              <w:rPr>
                <w:sz w:val="17"/>
                <w:lang w:val="fr-FR"/>
              </w:rPr>
              <w:t>12</w:t>
            </w:r>
          </w:p>
        </w:tc>
        <w:tc>
          <w:tcPr>
            <w:tcW w:w="1822" w:type="dxa"/>
            <w:tcBorders>
              <w:bottom w:val="single" w:sz="4" w:space="0" w:color="auto"/>
            </w:tcBorders>
            <w:shd w:val="clear" w:color="auto" w:fill="auto"/>
            <w:noWrap/>
            <w:vAlign w:val="bottom"/>
          </w:tcPr>
          <w:p w14:paraId="33BE0F84" w14:textId="77777777" w:rsidR="006A2B1E" w:rsidRPr="00A66C9F" w:rsidRDefault="006A2B1E"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19 352 </w:t>
            </w:r>
          </w:p>
        </w:tc>
        <w:tc>
          <w:tcPr>
            <w:tcW w:w="1823" w:type="dxa"/>
            <w:tcBorders>
              <w:bottom w:val="single" w:sz="4" w:space="0" w:color="auto"/>
            </w:tcBorders>
            <w:shd w:val="clear" w:color="auto" w:fill="auto"/>
            <w:noWrap/>
            <w:vAlign w:val="bottom"/>
          </w:tcPr>
          <w:p w14:paraId="1D6617F1" w14:textId="77777777" w:rsidR="006A2B1E" w:rsidRPr="00A66C9F" w:rsidRDefault="006A2B1E"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12 597</w:t>
            </w:r>
          </w:p>
        </w:tc>
      </w:tr>
      <w:tr w:rsidR="006A2B1E" w:rsidRPr="00A66C9F" w14:paraId="41DAD6C3" w14:textId="77777777" w:rsidTr="00107D5D">
        <w:trPr>
          <w:cantSplit/>
        </w:trPr>
        <w:tc>
          <w:tcPr>
            <w:tcW w:w="4151" w:type="dxa"/>
            <w:tcBorders>
              <w:top w:val="single" w:sz="4" w:space="0" w:color="auto"/>
              <w:bottom w:val="single" w:sz="4" w:space="0" w:color="auto"/>
            </w:tcBorders>
            <w:shd w:val="clear" w:color="auto" w:fill="auto"/>
            <w:noWrap/>
            <w:vAlign w:val="bottom"/>
          </w:tcPr>
          <w:p w14:paraId="5A571EAB" w14:textId="77777777" w:rsidR="006A2B1E" w:rsidRPr="00A66C9F" w:rsidRDefault="006A2B1E" w:rsidP="00107D5D">
            <w:pPr>
              <w:tabs>
                <w:tab w:val="left" w:pos="288"/>
                <w:tab w:val="left" w:pos="576"/>
                <w:tab w:val="left" w:pos="864"/>
                <w:tab w:val="left" w:pos="1152"/>
              </w:tabs>
              <w:suppressAutoHyphens/>
              <w:spacing w:before="81" w:after="81" w:line="210" w:lineRule="exact"/>
              <w:ind w:right="40"/>
              <w:rPr>
                <w:b/>
                <w:sz w:val="17"/>
                <w:lang w:val="fr-FR"/>
              </w:rPr>
            </w:pPr>
            <w:r w:rsidRPr="00A66C9F">
              <w:rPr>
                <w:b/>
                <w:sz w:val="17"/>
                <w:lang w:val="fr-FR"/>
              </w:rPr>
              <w:tab/>
              <w:t>Total du passif</w:t>
            </w:r>
          </w:p>
        </w:tc>
        <w:tc>
          <w:tcPr>
            <w:tcW w:w="774" w:type="dxa"/>
            <w:tcBorders>
              <w:top w:val="single" w:sz="4" w:space="0" w:color="auto"/>
              <w:bottom w:val="single" w:sz="4" w:space="0" w:color="auto"/>
            </w:tcBorders>
            <w:shd w:val="clear" w:color="auto" w:fill="auto"/>
            <w:noWrap/>
            <w:vAlign w:val="bottom"/>
          </w:tcPr>
          <w:p w14:paraId="5B406428"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3"/>
              <w:jc w:val="left"/>
              <w:rPr>
                <w:sz w:val="17"/>
                <w:lang w:val="fr-FR"/>
              </w:rPr>
            </w:pPr>
          </w:p>
        </w:tc>
        <w:tc>
          <w:tcPr>
            <w:tcW w:w="1822" w:type="dxa"/>
            <w:tcBorders>
              <w:top w:val="single" w:sz="4" w:space="0" w:color="auto"/>
              <w:bottom w:val="single" w:sz="4" w:space="0" w:color="auto"/>
            </w:tcBorders>
            <w:shd w:val="clear" w:color="auto" w:fill="auto"/>
            <w:noWrap/>
            <w:vAlign w:val="bottom"/>
          </w:tcPr>
          <w:p w14:paraId="504F2ACC" w14:textId="77777777" w:rsidR="006A2B1E" w:rsidRPr="00A66C9F" w:rsidRDefault="006A2B1E"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256 502 </w:t>
            </w:r>
          </w:p>
        </w:tc>
        <w:tc>
          <w:tcPr>
            <w:tcW w:w="1823" w:type="dxa"/>
            <w:tcBorders>
              <w:top w:val="single" w:sz="4" w:space="0" w:color="auto"/>
              <w:bottom w:val="single" w:sz="4" w:space="0" w:color="auto"/>
            </w:tcBorders>
            <w:shd w:val="clear" w:color="auto" w:fill="auto"/>
            <w:noWrap/>
            <w:vAlign w:val="bottom"/>
          </w:tcPr>
          <w:p w14:paraId="0829ACE7" w14:textId="77777777" w:rsidR="006A2B1E" w:rsidRPr="00A66C9F" w:rsidRDefault="006A2B1E"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362 889</w:t>
            </w:r>
          </w:p>
        </w:tc>
      </w:tr>
      <w:tr w:rsidR="006A2B1E" w:rsidRPr="00A66C9F" w14:paraId="1D56F2D1" w14:textId="77777777" w:rsidTr="00107D5D">
        <w:trPr>
          <w:cantSplit/>
        </w:trPr>
        <w:tc>
          <w:tcPr>
            <w:tcW w:w="4151" w:type="dxa"/>
            <w:tcBorders>
              <w:top w:val="single" w:sz="4" w:space="0" w:color="auto"/>
              <w:bottom w:val="single" w:sz="12" w:space="0" w:color="auto"/>
            </w:tcBorders>
            <w:shd w:val="clear" w:color="auto" w:fill="auto"/>
            <w:noWrap/>
            <w:vAlign w:val="bottom"/>
          </w:tcPr>
          <w:p w14:paraId="036DBD34" w14:textId="77777777" w:rsidR="006A2B1E" w:rsidRPr="00A66C9F" w:rsidRDefault="006A2B1E" w:rsidP="00107D5D">
            <w:pPr>
              <w:tabs>
                <w:tab w:val="left" w:pos="288"/>
                <w:tab w:val="left" w:pos="576"/>
                <w:tab w:val="left" w:pos="864"/>
                <w:tab w:val="left" w:pos="1152"/>
              </w:tabs>
              <w:suppressAutoHyphens/>
              <w:spacing w:before="81" w:after="81" w:line="210" w:lineRule="exact"/>
              <w:ind w:left="288" w:right="40"/>
              <w:rPr>
                <w:b/>
                <w:sz w:val="17"/>
                <w:lang w:val="fr-FR"/>
              </w:rPr>
            </w:pPr>
            <w:r w:rsidRPr="00A66C9F">
              <w:rPr>
                <w:b/>
                <w:sz w:val="17"/>
                <w:lang w:val="fr-FR"/>
              </w:rPr>
              <w:t>Actif net disponible pour le versement des prestations</w:t>
            </w:r>
          </w:p>
        </w:tc>
        <w:tc>
          <w:tcPr>
            <w:tcW w:w="774" w:type="dxa"/>
            <w:tcBorders>
              <w:top w:val="single" w:sz="4" w:space="0" w:color="auto"/>
              <w:bottom w:val="single" w:sz="12" w:space="0" w:color="auto"/>
            </w:tcBorders>
            <w:shd w:val="clear" w:color="auto" w:fill="auto"/>
            <w:noWrap/>
            <w:vAlign w:val="bottom"/>
          </w:tcPr>
          <w:p w14:paraId="24001682"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3"/>
              <w:jc w:val="left"/>
              <w:rPr>
                <w:sz w:val="17"/>
                <w:lang w:val="fr-FR"/>
              </w:rPr>
            </w:pPr>
          </w:p>
        </w:tc>
        <w:tc>
          <w:tcPr>
            <w:tcW w:w="1822" w:type="dxa"/>
            <w:tcBorders>
              <w:top w:val="single" w:sz="4" w:space="0" w:color="auto"/>
              <w:bottom w:val="single" w:sz="12" w:space="0" w:color="auto"/>
            </w:tcBorders>
            <w:shd w:val="clear" w:color="auto" w:fill="auto"/>
            <w:noWrap/>
            <w:vAlign w:val="bottom"/>
          </w:tcPr>
          <w:p w14:paraId="326C4FEB" w14:textId="77777777" w:rsidR="006A2B1E" w:rsidRPr="00A66C9F" w:rsidRDefault="006A2B1E"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72 034 478</w:t>
            </w:r>
          </w:p>
        </w:tc>
        <w:tc>
          <w:tcPr>
            <w:tcW w:w="1823" w:type="dxa"/>
            <w:tcBorders>
              <w:top w:val="single" w:sz="4" w:space="0" w:color="auto"/>
              <w:bottom w:val="single" w:sz="12" w:space="0" w:color="auto"/>
            </w:tcBorders>
            <w:shd w:val="clear" w:color="auto" w:fill="auto"/>
            <w:noWrap/>
            <w:vAlign w:val="bottom"/>
          </w:tcPr>
          <w:p w14:paraId="0042CA49" w14:textId="77777777" w:rsidR="006A2B1E" w:rsidRPr="00A66C9F" w:rsidRDefault="006A2B1E"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60 776 047</w:t>
            </w:r>
          </w:p>
        </w:tc>
      </w:tr>
    </w:tbl>
    <w:p w14:paraId="2BADFA6B" w14:textId="77777777" w:rsidR="006A2B1E" w:rsidRPr="00A66C9F" w:rsidRDefault="006A2B1E" w:rsidP="006A2B1E">
      <w:pPr>
        <w:pStyle w:val="SingleTxt"/>
        <w:spacing w:after="0" w:line="120" w:lineRule="exact"/>
        <w:rPr>
          <w:sz w:val="10"/>
          <w:lang w:val="fr-FR"/>
        </w:rPr>
      </w:pPr>
    </w:p>
    <w:p w14:paraId="4C6CAF77" w14:textId="77777777" w:rsidR="006A2B1E" w:rsidRPr="00A66C9F" w:rsidRDefault="006A2B1E" w:rsidP="006A2B1E">
      <w:pPr>
        <w:pStyle w:val="FootnoteText"/>
        <w:tabs>
          <w:tab w:val="right" w:pos="1476"/>
          <w:tab w:val="left" w:pos="1548"/>
          <w:tab w:val="right" w:pos="1836"/>
          <w:tab w:val="left" w:pos="1908"/>
        </w:tabs>
        <w:ind w:left="1548" w:hanging="288"/>
        <w:rPr>
          <w:lang w:val="fr-FR"/>
        </w:rPr>
      </w:pPr>
      <w:r w:rsidRPr="00A66C9F">
        <w:rPr>
          <w:lang w:val="fr-FR"/>
        </w:rPr>
        <w:tab/>
        <w:t>Les notes explicatives font partie intégrante des présents états financiers.</w:t>
      </w:r>
    </w:p>
    <w:p w14:paraId="009444D9" w14:textId="77777777" w:rsidR="006A2B1E" w:rsidRPr="00A66C9F" w:rsidRDefault="006A2B1E" w:rsidP="006A2B1E">
      <w:pPr>
        <w:pStyle w:val="FootnoteText"/>
        <w:tabs>
          <w:tab w:val="right" w:pos="1476"/>
          <w:tab w:val="left" w:pos="1548"/>
          <w:tab w:val="right" w:pos="1836"/>
          <w:tab w:val="left" w:pos="1908"/>
        </w:tabs>
        <w:spacing w:line="120" w:lineRule="exact"/>
        <w:ind w:left="1548" w:hanging="288"/>
        <w:rPr>
          <w:sz w:val="10"/>
          <w:lang w:val="fr-FR"/>
        </w:rPr>
      </w:pPr>
    </w:p>
    <w:p w14:paraId="5321D96D" w14:textId="77777777" w:rsidR="006A2B1E" w:rsidRPr="00A66C9F" w:rsidRDefault="006A2B1E" w:rsidP="006A2B1E">
      <w:pPr>
        <w:pStyle w:val="FootnoteText"/>
        <w:tabs>
          <w:tab w:val="right" w:pos="1476"/>
          <w:tab w:val="left" w:pos="1548"/>
          <w:tab w:val="right" w:pos="1836"/>
          <w:tab w:val="left" w:pos="1908"/>
        </w:tabs>
        <w:ind w:left="1548" w:hanging="288"/>
        <w:rPr>
          <w:lang w:val="fr-FR"/>
        </w:rPr>
      </w:pPr>
      <w:r w:rsidRPr="00A66C9F">
        <w:rPr>
          <w:lang w:val="fr-FR"/>
        </w:rPr>
        <w:tab/>
      </w:r>
      <w:r w:rsidRPr="00A66C9F">
        <w:rPr>
          <w:i/>
          <w:iCs/>
          <w:vertAlign w:val="superscript"/>
          <w:lang w:val="fr-FR"/>
        </w:rPr>
        <w:t>a</w:t>
      </w:r>
      <w:r w:rsidRPr="00A66C9F">
        <w:rPr>
          <w:lang w:val="fr-FR"/>
        </w:rPr>
        <w:tab/>
        <w:t xml:space="preserve"> Voir la note 24 pour plus de détails sur les éléments qui ont fait l’objet d’un retraitement.</w:t>
      </w:r>
    </w:p>
    <w:p w14:paraId="549F04F6" w14:textId="77777777" w:rsidR="006A2B1E" w:rsidRPr="00A66C9F" w:rsidRDefault="006A2B1E" w:rsidP="006A2B1E">
      <w:pPr>
        <w:spacing w:after="200" w:line="276" w:lineRule="auto"/>
        <w:rPr>
          <w:lang w:val="fr-FR"/>
        </w:rPr>
      </w:pPr>
      <w:r w:rsidRPr="00A66C9F">
        <w:rPr>
          <w:lang w:val="fr-FR"/>
        </w:rPr>
        <w:br w:type="page"/>
      </w:r>
    </w:p>
    <w:p w14:paraId="738E38EA" w14:textId="77777777" w:rsidR="006A2B1E" w:rsidRPr="00A66C9F" w:rsidRDefault="006A2B1E" w:rsidP="006A2B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lastRenderedPageBreak/>
        <w:tab/>
      </w:r>
      <w:r w:rsidRPr="00A66C9F">
        <w:rPr>
          <w:lang w:val="fr-FR"/>
        </w:rPr>
        <w:tab/>
        <w:t>Caisse commune des pensions du personnel des Nations Unies</w:t>
      </w:r>
    </w:p>
    <w:p w14:paraId="322A6A43" w14:textId="77777777" w:rsidR="006A2B1E" w:rsidRPr="00A66C9F" w:rsidRDefault="006A2B1E" w:rsidP="006A2B1E">
      <w:pPr>
        <w:pStyle w:val="SingleTxt"/>
        <w:spacing w:after="0" w:line="120" w:lineRule="exact"/>
        <w:rPr>
          <w:sz w:val="10"/>
          <w:lang w:val="fr-FR"/>
        </w:rPr>
      </w:pPr>
    </w:p>
    <w:p w14:paraId="203B4C8E" w14:textId="77777777" w:rsidR="006A2B1E" w:rsidRPr="00A66C9F" w:rsidRDefault="006A2B1E" w:rsidP="006A2B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7" w:name="_Toc38529162"/>
      <w:r w:rsidRPr="00A66C9F">
        <w:rPr>
          <w:lang w:val="fr-FR"/>
        </w:rPr>
        <w:tab/>
      </w:r>
      <w:r w:rsidRPr="00A66C9F">
        <w:rPr>
          <w:lang w:val="fr-FR"/>
        </w:rPr>
        <w:tab/>
        <w:t>II. État des variations de l’actif net disponible pour le versement des prestations</w:t>
      </w:r>
      <w:bookmarkEnd w:id="17"/>
    </w:p>
    <w:p w14:paraId="1DF4B09D" w14:textId="77777777" w:rsidR="006A2B1E" w:rsidRPr="00A66C9F" w:rsidRDefault="006A2B1E" w:rsidP="006A2B1E">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lang w:val="fr-FR"/>
        </w:rPr>
        <w:tab/>
      </w:r>
      <w:r w:rsidRPr="00A66C9F">
        <w:rPr>
          <w:lang w:val="fr-FR"/>
        </w:rPr>
        <w:tab/>
      </w:r>
      <w:r w:rsidRPr="00A66C9F">
        <w:rPr>
          <w:sz w:val="14"/>
          <w:szCs w:val="14"/>
          <w:lang w:val="fr-FR"/>
        </w:rPr>
        <w:t>(En milliers de dollars des États-Unis)</w:t>
      </w:r>
    </w:p>
    <w:p w14:paraId="4F284662" w14:textId="77777777" w:rsidR="006A2B1E" w:rsidRPr="00A66C9F" w:rsidRDefault="006A2B1E" w:rsidP="006A2B1E">
      <w:pPr>
        <w:pStyle w:val="SingleTxt"/>
        <w:spacing w:after="0" w:line="120" w:lineRule="exact"/>
        <w:rPr>
          <w:sz w:val="10"/>
          <w:lang w:val="fr-FR"/>
        </w:rPr>
      </w:pPr>
    </w:p>
    <w:p w14:paraId="57210527" w14:textId="77777777" w:rsidR="006A2B1E" w:rsidRPr="00A66C9F" w:rsidRDefault="006A2B1E" w:rsidP="006A2B1E">
      <w:pPr>
        <w:pStyle w:val="SingleTxt"/>
        <w:spacing w:after="0" w:line="120" w:lineRule="exact"/>
        <w:rPr>
          <w:sz w:val="10"/>
          <w:lang w:val="fr-FR"/>
        </w:rPr>
      </w:pPr>
    </w:p>
    <w:tbl>
      <w:tblPr>
        <w:tblW w:w="8595" w:type="dxa"/>
        <w:tblInd w:w="1267" w:type="dxa"/>
        <w:tblLayout w:type="fixed"/>
        <w:tblCellMar>
          <w:left w:w="0" w:type="dxa"/>
          <w:right w:w="0" w:type="dxa"/>
        </w:tblCellMar>
        <w:tblLook w:val="00A0" w:firstRow="1" w:lastRow="0" w:firstColumn="1" w:lastColumn="0" w:noHBand="0" w:noVBand="0"/>
      </w:tblPr>
      <w:tblGrid>
        <w:gridCol w:w="4590"/>
        <w:gridCol w:w="720"/>
        <w:gridCol w:w="1642"/>
        <w:gridCol w:w="1643"/>
      </w:tblGrid>
      <w:tr w:rsidR="006A2B1E" w:rsidRPr="00A66C9F" w14:paraId="5D7FD87F" w14:textId="77777777" w:rsidTr="00107D5D">
        <w:trPr>
          <w:cantSplit/>
          <w:tblHeader/>
        </w:trPr>
        <w:tc>
          <w:tcPr>
            <w:tcW w:w="4590" w:type="dxa"/>
            <w:tcBorders>
              <w:top w:val="single" w:sz="4" w:space="0" w:color="auto"/>
              <w:bottom w:val="single" w:sz="12" w:space="0" w:color="auto"/>
            </w:tcBorders>
            <w:shd w:val="clear" w:color="auto" w:fill="auto"/>
            <w:noWrap/>
            <w:vAlign w:val="bottom"/>
          </w:tcPr>
          <w:p w14:paraId="28CF840F" w14:textId="77777777" w:rsidR="006A2B1E" w:rsidRPr="00A66C9F" w:rsidRDefault="006A2B1E" w:rsidP="00107D5D">
            <w:pPr>
              <w:suppressAutoHyphens/>
              <w:spacing w:before="81" w:after="81" w:line="160" w:lineRule="exact"/>
              <w:ind w:right="40"/>
              <w:rPr>
                <w:i/>
                <w:sz w:val="14"/>
                <w:lang w:val="fr-FR"/>
              </w:rPr>
            </w:pPr>
          </w:p>
        </w:tc>
        <w:tc>
          <w:tcPr>
            <w:tcW w:w="720" w:type="dxa"/>
            <w:tcBorders>
              <w:top w:val="single" w:sz="4" w:space="0" w:color="auto"/>
              <w:bottom w:val="single" w:sz="12" w:space="0" w:color="auto"/>
            </w:tcBorders>
            <w:shd w:val="clear" w:color="auto" w:fill="auto"/>
            <w:noWrap/>
            <w:vAlign w:val="bottom"/>
          </w:tcPr>
          <w:p w14:paraId="3C09F397" w14:textId="77777777" w:rsidR="006A2B1E" w:rsidRPr="00A66C9F" w:rsidRDefault="006A2B1E" w:rsidP="00107D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sz w:val="17"/>
                <w:lang w:val="fr-FR"/>
              </w:rPr>
            </w:pPr>
            <w:r w:rsidRPr="00A66C9F">
              <w:rPr>
                <w:i/>
                <w:sz w:val="14"/>
                <w:szCs w:val="20"/>
                <w:lang w:val="fr-FR"/>
              </w:rPr>
              <w:t>Notes</w:t>
            </w:r>
          </w:p>
        </w:tc>
        <w:tc>
          <w:tcPr>
            <w:tcW w:w="1642" w:type="dxa"/>
            <w:tcBorders>
              <w:top w:val="single" w:sz="4" w:space="0" w:color="auto"/>
              <w:bottom w:val="single" w:sz="12" w:space="0" w:color="auto"/>
            </w:tcBorders>
            <w:shd w:val="clear" w:color="auto" w:fill="auto"/>
            <w:noWrap/>
            <w:vAlign w:val="bottom"/>
          </w:tcPr>
          <w:p w14:paraId="64D2ADE9" w14:textId="77777777" w:rsidR="006A2B1E" w:rsidRPr="00A66C9F" w:rsidRDefault="006A2B1E" w:rsidP="00107D5D">
            <w:pPr>
              <w:suppressAutoHyphens/>
              <w:spacing w:before="81" w:after="81" w:line="160" w:lineRule="exact"/>
              <w:ind w:right="43"/>
              <w:jc w:val="right"/>
              <w:rPr>
                <w:i/>
                <w:sz w:val="14"/>
                <w:lang w:val="fr-FR"/>
              </w:rPr>
            </w:pPr>
            <w:r w:rsidRPr="00A66C9F">
              <w:rPr>
                <w:i/>
                <w:sz w:val="14"/>
                <w:lang w:val="fr-FR"/>
              </w:rPr>
              <w:t xml:space="preserve">2019 </w:t>
            </w:r>
          </w:p>
        </w:tc>
        <w:tc>
          <w:tcPr>
            <w:tcW w:w="1643" w:type="dxa"/>
            <w:tcBorders>
              <w:top w:val="single" w:sz="4" w:space="0" w:color="auto"/>
              <w:bottom w:val="single" w:sz="12" w:space="0" w:color="auto"/>
            </w:tcBorders>
            <w:shd w:val="clear" w:color="auto" w:fill="auto"/>
            <w:noWrap/>
            <w:vAlign w:val="bottom"/>
          </w:tcPr>
          <w:p w14:paraId="0166BD7B" w14:textId="77777777" w:rsidR="006A2B1E" w:rsidRPr="00A66C9F" w:rsidRDefault="006A2B1E" w:rsidP="00107D5D">
            <w:pPr>
              <w:suppressAutoHyphens/>
              <w:spacing w:before="81" w:after="81" w:line="160" w:lineRule="exact"/>
              <w:ind w:right="43"/>
              <w:jc w:val="right"/>
              <w:rPr>
                <w:i/>
                <w:sz w:val="14"/>
                <w:lang w:val="fr-FR"/>
              </w:rPr>
            </w:pPr>
            <w:r w:rsidRPr="00A66C9F">
              <w:rPr>
                <w:i/>
                <w:sz w:val="14"/>
                <w:lang w:val="fr-FR"/>
              </w:rPr>
              <w:t>2018</w:t>
            </w:r>
          </w:p>
        </w:tc>
      </w:tr>
      <w:tr w:rsidR="006A2B1E" w:rsidRPr="00A66C9F" w14:paraId="14719A56" w14:textId="77777777" w:rsidTr="00107D5D">
        <w:trPr>
          <w:cantSplit/>
          <w:trHeight w:hRule="exact" w:val="115"/>
          <w:tblHeader/>
        </w:trPr>
        <w:tc>
          <w:tcPr>
            <w:tcW w:w="4590" w:type="dxa"/>
            <w:tcBorders>
              <w:top w:val="single" w:sz="12" w:space="0" w:color="auto"/>
            </w:tcBorders>
            <w:shd w:val="clear" w:color="auto" w:fill="auto"/>
            <w:noWrap/>
            <w:vAlign w:val="bottom"/>
          </w:tcPr>
          <w:p w14:paraId="0CA15E8D" w14:textId="77777777" w:rsidR="006A2B1E" w:rsidRPr="00A66C9F" w:rsidRDefault="006A2B1E" w:rsidP="00107D5D">
            <w:pPr>
              <w:suppressAutoHyphens/>
              <w:spacing w:before="40" w:after="40" w:line="210" w:lineRule="exact"/>
              <w:ind w:right="40"/>
              <w:rPr>
                <w:sz w:val="17"/>
                <w:lang w:val="fr-FR"/>
              </w:rPr>
            </w:pPr>
          </w:p>
        </w:tc>
        <w:tc>
          <w:tcPr>
            <w:tcW w:w="720" w:type="dxa"/>
            <w:tcBorders>
              <w:top w:val="single" w:sz="12" w:space="0" w:color="auto"/>
            </w:tcBorders>
            <w:shd w:val="clear" w:color="auto" w:fill="auto"/>
            <w:noWrap/>
            <w:vAlign w:val="bottom"/>
          </w:tcPr>
          <w:p w14:paraId="25B50112"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00" w:lineRule="exact"/>
              <w:ind w:left="144" w:right="43"/>
              <w:jc w:val="left"/>
              <w:rPr>
                <w:sz w:val="17"/>
                <w:lang w:val="fr-FR"/>
              </w:rPr>
            </w:pPr>
          </w:p>
        </w:tc>
        <w:tc>
          <w:tcPr>
            <w:tcW w:w="1642" w:type="dxa"/>
            <w:tcBorders>
              <w:top w:val="single" w:sz="12" w:space="0" w:color="auto"/>
            </w:tcBorders>
            <w:shd w:val="clear" w:color="auto" w:fill="auto"/>
            <w:noWrap/>
            <w:vAlign w:val="bottom"/>
          </w:tcPr>
          <w:p w14:paraId="2BF6CBB5" w14:textId="77777777" w:rsidR="006A2B1E" w:rsidRPr="00A66C9F" w:rsidRDefault="006A2B1E" w:rsidP="00107D5D">
            <w:pPr>
              <w:suppressAutoHyphens/>
              <w:spacing w:before="40" w:after="40" w:line="210" w:lineRule="exact"/>
              <w:ind w:right="43"/>
              <w:jc w:val="right"/>
              <w:rPr>
                <w:sz w:val="17"/>
                <w:lang w:val="fr-FR"/>
              </w:rPr>
            </w:pPr>
          </w:p>
        </w:tc>
        <w:tc>
          <w:tcPr>
            <w:tcW w:w="1643" w:type="dxa"/>
            <w:tcBorders>
              <w:top w:val="single" w:sz="12" w:space="0" w:color="auto"/>
            </w:tcBorders>
            <w:shd w:val="clear" w:color="auto" w:fill="auto"/>
            <w:noWrap/>
            <w:vAlign w:val="bottom"/>
          </w:tcPr>
          <w:p w14:paraId="35F1B320" w14:textId="77777777" w:rsidR="006A2B1E" w:rsidRPr="00A66C9F" w:rsidRDefault="006A2B1E" w:rsidP="00107D5D">
            <w:pPr>
              <w:suppressAutoHyphens/>
              <w:spacing w:before="40" w:after="40" w:line="210" w:lineRule="exact"/>
              <w:ind w:right="43"/>
              <w:jc w:val="right"/>
              <w:rPr>
                <w:sz w:val="17"/>
                <w:lang w:val="fr-FR"/>
              </w:rPr>
            </w:pPr>
          </w:p>
        </w:tc>
      </w:tr>
      <w:tr w:rsidR="006A2B1E" w:rsidRPr="00A66C9F" w14:paraId="4476C3D0" w14:textId="77777777" w:rsidTr="00107D5D">
        <w:trPr>
          <w:cantSplit/>
        </w:trPr>
        <w:tc>
          <w:tcPr>
            <w:tcW w:w="4590" w:type="dxa"/>
            <w:shd w:val="clear" w:color="auto" w:fill="auto"/>
            <w:noWrap/>
            <w:vAlign w:val="bottom"/>
          </w:tcPr>
          <w:p w14:paraId="653A8232" w14:textId="77777777" w:rsidR="006A2B1E" w:rsidRPr="00A66C9F" w:rsidRDefault="006A2B1E" w:rsidP="00107D5D">
            <w:pPr>
              <w:tabs>
                <w:tab w:val="left" w:pos="288"/>
                <w:tab w:val="left" w:pos="576"/>
                <w:tab w:val="left" w:pos="864"/>
                <w:tab w:val="left" w:pos="1152"/>
              </w:tabs>
              <w:suppressAutoHyphens/>
              <w:spacing w:before="40" w:after="40" w:line="210" w:lineRule="exact"/>
              <w:ind w:left="144" w:right="40" w:hanging="144"/>
              <w:rPr>
                <w:b/>
                <w:bCs/>
                <w:sz w:val="17"/>
                <w:lang w:val="fr-FR"/>
              </w:rPr>
            </w:pPr>
            <w:r w:rsidRPr="00A66C9F">
              <w:rPr>
                <w:b/>
                <w:bCs/>
                <w:sz w:val="17"/>
                <w:lang w:val="fr-FR"/>
              </w:rPr>
              <w:t>Produits des investissements/(pertes)</w:t>
            </w:r>
          </w:p>
        </w:tc>
        <w:tc>
          <w:tcPr>
            <w:tcW w:w="720" w:type="dxa"/>
            <w:shd w:val="clear" w:color="auto" w:fill="auto"/>
            <w:noWrap/>
            <w:vAlign w:val="bottom"/>
          </w:tcPr>
          <w:p w14:paraId="10A1B7C5"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 w:val="17"/>
                <w:lang w:val="fr-FR"/>
              </w:rPr>
            </w:pPr>
            <w:r w:rsidRPr="00A66C9F">
              <w:rPr>
                <w:sz w:val="17"/>
                <w:lang w:val="fr-FR"/>
              </w:rPr>
              <w:t>13</w:t>
            </w:r>
          </w:p>
        </w:tc>
        <w:tc>
          <w:tcPr>
            <w:tcW w:w="1642" w:type="dxa"/>
            <w:shd w:val="clear" w:color="auto" w:fill="auto"/>
            <w:noWrap/>
            <w:vAlign w:val="bottom"/>
          </w:tcPr>
          <w:p w14:paraId="2713C0DB"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p>
        </w:tc>
        <w:tc>
          <w:tcPr>
            <w:tcW w:w="1643" w:type="dxa"/>
            <w:shd w:val="clear" w:color="auto" w:fill="auto"/>
            <w:noWrap/>
            <w:vAlign w:val="bottom"/>
          </w:tcPr>
          <w:p w14:paraId="3BDA658E"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p>
        </w:tc>
      </w:tr>
      <w:tr w:rsidR="006A2B1E" w:rsidRPr="00A66C9F" w14:paraId="0F18B908" w14:textId="77777777" w:rsidTr="00107D5D">
        <w:trPr>
          <w:cantSplit/>
        </w:trPr>
        <w:tc>
          <w:tcPr>
            <w:tcW w:w="4590" w:type="dxa"/>
            <w:shd w:val="clear" w:color="auto" w:fill="auto"/>
            <w:noWrap/>
            <w:vAlign w:val="bottom"/>
          </w:tcPr>
          <w:p w14:paraId="1B42EA7E" w14:textId="77777777" w:rsidR="006A2B1E" w:rsidRPr="00A66C9F" w:rsidRDefault="006A2B1E" w:rsidP="00107D5D">
            <w:pPr>
              <w:tabs>
                <w:tab w:val="left" w:pos="288"/>
              </w:tabs>
              <w:suppressAutoHyphens/>
              <w:spacing w:before="40" w:after="40" w:line="210" w:lineRule="exact"/>
              <w:ind w:left="288" w:right="144" w:hanging="288"/>
              <w:rPr>
                <w:sz w:val="17"/>
                <w:lang w:val="fr-FR"/>
              </w:rPr>
            </w:pPr>
            <w:r w:rsidRPr="00A66C9F">
              <w:rPr>
                <w:sz w:val="17"/>
                <w:lang w:val="fr-FR"/>
              </w:rPr>
              <w:tab/>
              <w:t>Variation nette de la juste valeur des investissements</w:t>
            </w:r>
          </w:p>
        </w:tc>
        <w:tc>
          <w:tcPr>
            <w:tcW w:w="720" w:type="dxa"/>
            <w:shd w:val="clear" w:color="auto" w:fill="auto"/>
            <w:noWrap/>
            <w:vAlign w:val="bottom"/>
          </w:tcPr>
          <w:p w14:paraId="712A94C6"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 w:val="17"/>
                <w:lang w:val="fr-FR"/>
              </w:rPr>
            </w:pPr>
          </w:p>
        </w:tc>
        <w:tc>
          <w:tcPr>
            <w:tcW w:w="1642" w:type="dxa"/>
            <w:shd w:val="clear" w:color="auto" w:fill="auto"/>
            <w:noWrap/>
            <w:vAlign w:val="bottom"/>
          </w:tcPr>
          <w:p w14:paraId="099A6831"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10 009 778 </w:t>
            </w:r>
          </w:p>
        </w:tc>
        <w:tc>
          <w:tcPr>
            <w:tcW w:w="1643" w:type="dxa"/>
            <w:shd w:val="clear" w:color="auto" w:fill="auto"/>
            <w:noWrap/>
            <w:vAlign w:val="bottom"/>
          </w:tcPr>
          <w:p w14:paraId="039BE7D0"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(4 502 075)</w:t>
            </w:r>
          </w:p>
        </w:tc>
      </w:tr>
      <w:tr w:rsidR="006A2B1E" w:rsidRPr="00A66C9F" w14:paraId="35CD0480" w14:textId="77777777" w:rsidTr="00107D5D">
        <w:trPr>
          <w:cantSplit/>
        </w:trPr>
        <w:tc>
          <w:tcPr>
            <w:tcW w:w="4590" w:type="dxa"/>
            <w:shd w:val="clear" w:color="auto" w:fill="auto"/>
            <w:noWrap/>
            <w:vAlign w:val="bottom"/>
          </w:tcPr>
          <w:p w14:paraId="427F30A9" w14:textId="77777777" w:rsidR="006A2B1E" w:rsidRPr="00A66C9F" w:rsidRDefault="006A2B1E" w:rsidP="00107D5D">
            <w:pPr>
              <w:tabs>
                <w:tab w:val="left" w:pos="288"/>
              </w:tabs>
              <w:suppressAutoHyphens/>
              <w:spacing w:before="40" w:after="40" w:line="210" w:lineRule="exact"/>
              <w:ind w:right="144"/>
              <w:rPr>
                <w:sz w:val="17"/>
                <w:lang w:val="fr-FR"/>
              </w:rPr>
            </w:pPr>
            <w:r w:rsidRPr="00A66C9F">
              <w:rPr>
                <w:sz w:val="17"/>
                <w:lang w:val="fr-FR"/>
              </w:rPr>
              <w:tab/>
              <w:t>Intérêts créditeurs</w:t>
            </w:r>
          </w:p>
        </w:tc>
        <w:tc>
          <w:tcPr>
            <w:tcW w:w="720" w:type="dxa"/>
            <w:shd w:val="clear" w:color="auto" w:fill="auto"/>
            <w:noWrap/>
            <w:vAlign w:val="bottom"/>
          </w:tcPr>
          <w:p w14:paraId="247AAB8C"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 w:val="17"/>
                <w:lang w:val="fr-FR"/>
              </w:rPr>
            </w:pPr>
          </w:p>
        </w:tc>
        <w:tc>
          <w:tcPr>
            <w:tcW w:w="1642" w:type="dxa"/>
            <w:shd w:val="clear" w:color="auto" w:fill="auto"/>
            <w:noWrap/>
            <w:vAlign w:val="bottom"/>
          </w:tcPr>
          <w:p w14:paraId="1113DFC5"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518 791 </w:t>
            </w:r>
          </w:p>
        </w:tc>
        <w:tc>
          <w:tcPr>
            <w:tcW w:w="1643" w:type="dxa"/>
            <w:shd w:val="clear" w:color="auto" w:fill="auto"/>
            <w:noWrap/>
            <w:vAlign w:val="bottom"/>
          </w:tcPr>
          <w:p w14:paraId="427C4E1A"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376 716</w:t>
            </w:r>
          </w:p>
        </w:tc>
      </w:tr>
      <w:tr w:rsidR="006A2B1E" w:rsidRPr="00A66C9F" w14:paraId="6EFDBA8B" w14:textId="77777777" w:rsidTr="00107D5D">
        <w:trPr>
          <w:cantSplit/>
        </w:trPr>
        <w:tc>
          <w:tcPr>
            <w:tcW w:w="4590" w:type="dxa"/>
            <w:shd w:val="clear" w:color="auto" w:fill="auto"/>
            <w:noWrap/>
            <w:vAlign w:val="bottom"/>
          </w:tcPr>
          <w:p w14:paraId="1532802A" w14:textId="77777777" w:rsidR="006A2B1E" w:rsidRPr="00A66C9F" w:rsidRDefault="006A2B1E" w:rsidP="00107D5D">
            <w:pPr>
              <w:tabs>
                <w:tab w:val="left" w:pos="288"/>
              </w:tabs>
              <w:suppressAutoHyphens/>
              <w:spacing w:before="40" w:after="40" w:line="210" w:lineRule="exact"/>
              <w:ind w:right="144"/>
              <w:rPr>
                <w:sz w:val="17"/>
                <w:lang w:val="fr-FR"/>
              </w:rPr>
            </w:pPr>
            <w:r w:rsidRPr="00A66C9F">
              <w:rPr>
                <w:sz w:val="17"/>
                <w:lang w:val="fr-FR"/>
              </w:rPr>
              <w:tab/>
              <w:t>Dividendes</w:t>
            </w:r>
          </w:p>
        </w:tc>
        <w:tc>
          <w:tcPr>
            <w:tcW w:w="720" w:type="dxa"/>
            <w:shd w:val="clear" w:color="auto" w:fill="auto"/>
            <w:noWrap/>
            <w:vAlign w:val="bottom"/>
          </w:tcPr>
          <w:p w14:paraId="4D6B80AE"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 w:val="17"/>
                <w:lang w:val="fr-FR"/>
              </w:rPr>
            </w:pPr>
          </w:p>
        </w:tc>
        <w:tc>
          <w:tcPr>
            <w:tcW w:w="1642" w:type="dxa"/>
            <w:shd w:val="clear" w:color="auto" w:fill="auto"/>
            <w:noWrap/>
            <w:vAlign w:val="bottom"/>
          </w:tcPr>
          <w:p w14:paraId="3034809C"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918 469 </w:t>
            </w:r>
          </w:p>
        </w:tc>
        <w:tc>
          <w:tcPr>
            <w:tcW w:w="1643" w:type="dxa"/>
            <w:shd w:val="clear" w:color="auto" w:fill="auto"/>
            <w:noWrap/>
            <w:vAlign w:val="bottom"/>
          </w:tcPr>
          <w:p w14:paraId="69369BA3"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912 237</w:t>
            </w:r>
          </w:p>
        </w:tc>
      </w:tr>
      <w:tr w:rsidR="006A2B1E" w:rsidRPr="00A66C9F" w14:paraId="21ABBF9B" w14:textId="77777777" w:rsidTr="00107D5D">
        <w:trPr>
          <w:cantSplit/>
        </w:trPr>
        <w:tc>
          <w:tcPr>
            <w:tcW w:w="4590" w:type="dxa"/>
            <w:shd w:val="clear" w:color="auto" w:fill="auto"/>
            <w:noWrap/>
            <w:vAlign w:val="bottom"/>
          </w:tcPr>
          <w:p w14:paraId="16EA49C7" w14:textId="77777777" w:rsidR="006A2B1E" w:rsidRPr="00A66C9F" w:rsidRDefault="006A2B1E" w:rsidP="00107D5D">
            <w:pPr>
              <w:tabs>
                <w:tab w:val="left" w:pos="288"/>
              </w:tabs>
              <w:suppressAutoHyphens/>
              <w:spacing w:before="40" w:after="40" w:line="210" w:lineRule="exact"/>
              <w:ind w:right="144"/>
              <w:rPr>
                <w:sz w:val="17"/>
                <w:lang w:val="fr-FR"/>
              </w:rPr>
            </w:pPr>
            <w:r w:rsidRPr="00A66C9F">
              <w:rPr>
                <w:sz w:val="17"/>
                <w:lang w:val="fr-FR"/>
              </w:rPr>
              <w:tab/>
              <w:t xml:space="preserve">Revenus des actifs réels </w:t>
            </w:r>
          </w:p>
        </w:tc>
        <w:tc>
          <w:tcPr>
            <w:tcW w:w="720" w:type="dxa"/>
            <w:shd w:val="clear" w:color="auto" w:fill="auto"/>
            <w:noWrap/>
            <w:vAlign w:val="bottom"/>
          </w:tcPr>
          <w:p w14:paraId="351D24B2"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 w:val="17"/>
                <w:lang w:val="fr-FR"/>
              </w:rPr>
            </w:pPr>
          </w:p>
        </w:tc>
        <w:tc>
          <w:tcPr>
            <w:tcW w:w="1642" w:type="dxa"/>
            <w:shd w:val="clear" w:color="auto" w:fill="auto"/>
            <w:noWrap/>
            <w:vAlign w:val="bottom"/>
          </w:tcPr>
          <w:p w14:paraId="3A158C7E"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78 547 </w:t>
            </w:r>
          </w:p>
        </w:tc>
        <w:tc>
          <w:tcPr>
            <w:tcW w:w="1643" w:type="dxa"/>
            <w:shd w:val="clear" w:color="auto" w:fill="auto"/>
            <w:noWrap/>
            <w:vAlign w:val="bottom"/>
          </w:tcPr>
          <w:p w14:paraId="67BB90B8"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55 510</w:t>
            </w:r>
          </w:p>
        </w:tc>
      </w:tr>
      <w:tr w:rsidR="006A2B1E" w:rsidRPr="00A66C9F" w14:paraId="5D70585E" w14:textId="77777777" w:rsidTr="00107D5D">
        <w:trPr>
          <w:cantSplit/>
        </w:trPr>
        <w:tc>
          <w:tcPr>
            <w:tcW w:w="4590" w:type="dxa"/>
            <w:shd w:val="clear" w:color="auto" w:fill="auto"/>
            <w:noWrap/>
            <w:vAlign w:val="bottom"/>
          </w:tcPr>
          <w:p w14:paraId="54E27234" w14:textId="77777777" w:rsidR="006A2B1E" w:rsidRPr="00A66C9F" w:rsidRDefault="006A2B1E" w:rsidP="00107D5D">
            <w:pPr>
              <w:tabs>
                <w:tab w:val="left" w:pos="288"/>
              </w:tabs>
              <w:suppressAutoHyphens/>
              <w:spacing w:before="40" w:after="40" w:line="210" w:lineRule="exact"/>
              <w:ind w:left="288" w:right="144" w:hanging="288"/>
              <w:rPr>
                <w:sz w:val="17"/>
                <w:lang w:val="fr-FR"/>
              </w:rPr>
            </w:pPr>
            <w:r w:rsidRPr="00A66C9F">
              <w:rPr>
                <w:sz w:val="17"/>
                <w:lang w:val="fr-FR"/>
              </w:rPr>
              <w:tab/>
              <w:t>À déduire ; coûts de transaction et frais de gestion</w:t>
            </w:r>
          </w:p>
        </w:tc>
        <w:tc>
          <w:tcPr>
            <w:tcW w:w="720" w:type="dxa"/>
            <w:shd w:val="clear" w:color="auto" w:fill="auto"/>
            <w:noWrap/>
            <w:vAlign w:val="bottom"/>
          </w:tcPr>
          <w:p w14:paraId="0E440704"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 w:val="17"/>
                <w:lang w:val="fr-FR"/>
              </w:rPr>
            </w:pPr>
          </w:p>
        </w:tc>
        <w:tc>
          <w:tcPr>
            <w:tcW w:w="1642" w:type="dxa"/>
            <w:shd w:val="clear" w:color="auto" w:fill="auto"/>
            <w:noWrap/>
            <w:vAlign w:val="bottom"/>
          </w:tcPr>
          <w:p w14:paraId="62CDDAED"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(158 748)</w:t>
            </w:r>
          </w:p>
        </w:tc>
        <w:tc>
          <w:tcPr>
            <w:tcW w:w="1643" w:type="dxa"/>
            <w:shd w:val="clear" w:color="auto" w:fill="auto"/>
            <w:noWrap/>
            <w:vAlign w:val="bottom"/>
          </w:tcPr>
          <w:p w14:paraId="0E5491F7"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(143 435)</w:t>
            </w:r>
          </w:p>
        </w:tc>
      </w:tr>
      <w:tr w:rsidR="006A2B1E" w:rsidRPr="00A66C9F" w14:paraId="49E85ADB" w14:textId="77777777" w:rsidTr="00107D5D">
        <w:trPr>
          <w:cantSplit/>
        </w:trPr>
        <w:tc>
          <w:tcPr>
            <w:tcW w:w="4590" w:type="dxa"/>
            <w:shd w:val="clear" w:color="auto" w:fill="auto"/>
            <w:noWrap/>
            <w:vAlign w:val="bottom"/>
          </w:tcPr>
          <w:p w14:paraId="39FAEB5C" w14:textId="77777777" w:rsidR="006A2B1E" w:rsidRPr="00A66C9F" w:rsidRDefault="006A2B1E" w:rsidP="00107D5D">
            <w:pPr>
              <w:tabs>
                <w:tab w:val="left" w:pos="288"/>
              </w:tabs>
              <w:suppressAutoHyphens/>
              <w:spacing w:before="40" w:after="40" w:line="210" w:lineRule="exact"/>
              <w:ind w:right="144"/>
              <w:rPr>
                <w:sz w:val="17"/>
                <w:lang w:val="fr-FR"/>
              </w:rPr>
            </w:pPr>
            <w:r w:rsidRPr="00A66C9F">
              <w:rPr>
                <w:sz w:val="17"/>
                <w:lang w:val="fr-FR"/>
              </w:rPr>
              <w:tab/>
              <w:t>À déduire ; impôt retenu à la source</w:t>
            </w:r>
          </w:p>
        </w:tc>
        <w:tc>
          <w:tcPr>
            <w:tcW w:w="720" w:type="dxa"/>
            <w:shd w:val="clear" w:color="auto" w:fill="auto"/>
            <w:noWrap/>
            <w:vAlign w:val="bottom"/>
          </w:tcPr>
          <w:p w14:paraId="6A2400C3"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 w:val="17"/>
                <w:lang w:val="fr-FR"/>
              </w:rPr>
            </w:pPr>
          </w:p>
        </w:tc>
        <w:tc>
          <w:tcPr>
            <w:tcW w:w="1642" w:type="dxa"/>
            <w:shd w:val="clear" w:color="auto" w:fill="auto"/>
            <w:noWrap/>
            <w:vAlign w:val="bottom"/>
          </w:tcPr>
          <w:p w14:paraId="023E189A"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(3 232)</w:t>
            </w:r>
          </w:p>
        </w:tc>
        <w:tc>
          <w:tcPr>
            <w:tcW w:w="1643" w:type="dxa"/>
            <w:shd w:val="clear" w:color="auto" w:fill="auto"/>
            <w:noWrap/>
            <w:vAlign w:val="bottom"/>
          </w:tcPr>
          <w:p w14:paraId="234284AB"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(5 972)</w:t>
            </w:r>
          </w:p>
        </w:tc>
      </w:tr>
      <w:tr w:rsidR="006A2B1E" w:rsidRPr="00A66C9F" w14:paraId="70CD54B8" w14:textId="77777777" w:rsidTr="00107D5D">
        <w:trPr>
          <w:cantSplit/>
        </w:trPr>
        <w:tc>
          <w:tcPr>
            <w:tcW w:w="4590" w:type="dxa"/>
            <w:tcBorders>
              <w:bottom w:val="single" w:sz="4" w:space="0" w:color="auto"/>
            </w:tcBorders>
            <w:shd w:val="clear" w:color="auto" w:fill="auto"/>
            <w:noWrap/>
            <w:vAlign w:val="bottom"/>
          </w:tcPr>
          <w:p w14:paraId="71F26004" w14:textId="77777777" w:rsidR="006A2B1E" w:rsidRPr="00A66C9F" w:rsidRDefault="006A2B1E" w:rsidP="00107D5D">
            <w:pPr>
              <w:tabs>
                <w:tab w:val="left" w:pos="288"/>
              </w:tabs>
              <w:suppressAutoHyphens/>
              <w:spacing w:before="40" w:after="81" w:line="210" w:lineRule="exact"/>
              <w:ind w:left="288" w:right="144" w:hanging="288"/>
              <w:rPr>
                <w:sz w:val="17"/>
                <w:lang w:val="fr-FR"/>
              </w:rPr>
            </w:pPr>
            <w:r w:rsidRPr="00A66C9F">
              <w:rPr>
                <w:sz w:val="17"/>
                <w:lang w:val="fr-FR"/>
              </w:rPr>
              <w:tab/>
              <w:t>Produits divers/(charges diverses) lié(e)s aux investissements (montant net)</w:t>
            </w:r>
          </w:p>
        </w:tc>
        <w:tc>
          <w:tcPr>
            <w:tcW w:w="720" w:type="dxa"/>
            <w:tcBorders>
              <w:bottom w:val="single" w:sz="4" w:space="0" w:color="auto"/>
            </w:tcBorders>
            <w:shd w:val="clear" w:color="auto" w:fill="auto"/>
            <w:noWrap/>
            <w:vAlign w:val="bottom"/>
          </w:tcPr>
          <w:p w14:paraId="7A5A7F32"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3"/>
              <w:jc w:val="left"/>
              <w:rPr>
                <w:sz w:val="17"/>
                <w:lang w:val="fr-FR"/>
              </w:rPr>
            </w:pPr>
          </w:p>
        </w:tc>
        <w:tc>
          <w:tcPr>
            <w:tcW w:w="1642" w:type="dxa"/>
            <w:tcBorders>
              <w:bottom w:val="single" w:sz="4" w:space="0" w:color="auto"/>
            </w:tcBorders>
            <w:shd w:val="clear" w:color="auto" w:fill="auto"/>
            <w:noWrap/>
            <w:vAlign w:val="bottom"/>
          </w:tcPr>
          <w:p w14:paraId="7CCEAA34" w14:textId="77777777" w:rsidR="006A2B1E" w:rsidRPr="00A66C9F" w:rsidRDefault="006A2B1E"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(1 348)</w:t>
            </w:r>
          </w:p>
        </w:tc>
        <w:tc>
          <w:tcPr>
            <w:tcW w:w="1643" w:type="dxa"/>
            <w:tcBorders>
              <w:bottom w:val="single" w:sz="4" w:space="0" w:color="auto"/>
            </w:tcBorders>
            <w:shd w:val="clear" w:color="auto" w:fill="auto"/>
            <w:noWrap/>
            <w:vAlign w:val="bottom"/>
          </w:tcPr>
          <w:p w14:paraId="1F6495A3" w14:textId="77777777" w:rsidR="006A2B1E" w:rsidRPr="00A66C9F" w:rsidRDefault="006A2B1E"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505</w:t>
            </w:r>
          </w:p>
        </w:tc>
      </w:tr>
      <w:tr w:rsidR="006A2B1E" w:rsidRPr="00A66C9F" w14:paraId="7464241A" w14:textId="77777777" w:rsidTr="00107D5D">
        <w:trPr>
          <w:cantSplit/>
        </w:trPr>
        <w:tc>
          <w:tcPr>
            <w:tcW w:w="4590" w:type="dxa"/>
            <w:tcBorders>
              <w:top w:val="single" w:sz="4" w:space="0" w:color="auto"/>
              <w:bottom w:val="single" w:sz="4" w:space="0" w:color="auto"/>
            </w:tcBorders>
            <w:shd w:val="clear" w:color="auto" w:fill="auto"/>
            <w:noWrap/>
            <w:vAlign w:val="bottom"/>
          </w:tcPr>
          <w:p w14:paraId="10381421" w14:textId="77777777" w:rsidR="006A2B1E" w:rsidRPr="00A66C9F" w:rsidRDefault="006A2B1E" w:rsidP="00107D5D">
            <w:pPr>
              <w:tabs>
                <w:tab w:val="left" w:pos="288"/>
                <w:tab w:val="left" w:pos="576"/>
                <w:tab w:val="left" w:pos="864"/>
                <w:tab w:val="left" w:pos="1152"/>
              </w:tabs>
              <w:suppressAutoHyphens/>
              <w:spacing w:before="81" w:after="81" w:line="210" w:lineRule="exact"/>
              <w:ind w:left="144" w:right="40" w:hanging="144"/>
              <w:rPr>
                <w:b/>
                <w:sz w:val="17"/>
                <w:lang w:val="fr-FR"/>
              </w:rPr>
            </w:pPr>
          </w:p>
        </w:tc>
        <w:tc>
          <w:tcPr>
            <w:tcW w:w="720" w:type="dxa"/>
            <w:tcBorders>
              <w:top w:val="single" w:sz="4" w:space="0" w:color="auto"/>
              <w:bottom w:val="single" w:sz="4" w:space="0" w:color="auto"/>
            </w:tcBorders>
            <w:shd w:val="clear" w:color="auto" w:fill="auto"/>
            <w:noWrap/>
            <w:vAlign w:val="bottom"/>
          </w:tcPr>
          <w:p w14:paraId="5268DE13"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3"/>
              <w:jc w:val="left"/>
              <w:rPr>
                <w:b/>
                <w:sz w:val="17"/>
                <w:lang w:val="fr-FR"/>
              </w:rPr>
            </w:pPr>
          </w:p>
        </w:tc>
        <w:tc>
          <w:tcPr>
            <w:tcW w:w="1642" w:type="dxa"/>
            <w:tcBorders>
              <w:top w:val="single" w:sz="4" w:space="0" w:color="auto"/>
              <w:bottom w:val="single" w:sz="4" w:space="0" w:color="auto"/>
            </w:tcBorders>
            <w:shd w:val="clear" w:color="auto" w:fill="auto"/>
            <w:noWrap/>
            <w:vAlign w:val="bottom"/>
          </w:tcPr>
          <w:p w14:paraId="1C1C5F90" w14:textId="77777777" w:rsidR="006A2B1E" w:rsidRPr="00A66C9F" w:rsidRDefault="006A2B1E"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11 362 257 </w:t>
            </w:r>
          </w:p>
        </w:tc>
        <w:tc>
          <w:tcPr>
            <w:tcW w:w="1643" w:type="dxa"/>
            <w:tcBorders>
              <w:top w:val="single" w:sz="4" w:space="0" w:color="auto"/>
              <w:bottom w:val="single" w:sz="4" w:space="0" w:color="auto"/>
            </w:tcBorders>
            <w:shd w:val="clear" w:color="auto" w:fill="auto"/>
            <w:noWrap/>
            <w:vAlign w:val="bottom"/>
          </w:tcPr>
          <w:p w14:paraId="078AD6EE" w14:textId="77777777" w:rsidR="006A2B1E" w:rsidRPr="00A66C9F" w:rsidRDefault="006A2B1E"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(3 306 514)</w:t>
            </w:r>
          </w:p>
        </w:tc>
      </w:tr>
      <w:tr w:rsidR="006A2B1E" w:rsidRPr="00A66C9F" w14:paraId="6684DF32" w14:textId="77777777" w:rsidTr="00107D5D">
        <w:trPr>
          <w:cantSplit/>
        </w:trPr>
        <w:tc>
          <w:tcPr>
            <w:tcW w:w="4590" w:type="dxa"/>
            <w:tcBorders>
              <w:top w:val="single" w:sz="4" w:space="0" w:color="auto"/>
            </w:tcBorders>
            <w:shd w:val="clear" w:color="auto" w:fill="auto"/>
            <w:noWrap/>
            <w:vAlign w:val="bottom"/>
          </w:tcPr>
          <w:p w14:paraId="40C9E9C3" w14:textId="77777777" w:rsidR="006A2B1E" w:rsidRPr="00A66C9F" w:rsidRDefault="006A2B1E" w:rsidP="00107D5D">
            <w:pPr>
              <w:tabs>
                <w:tab w:val="left" w:pos="288"/>
                <w:tab w:val="left" w:pos="576"/>
                <w:tab w:val="left" w:pos="864"/>
                <w:tab w:val="left" w:pos="1152"/>
              </w:tabs>
              <w:suppressAutoHyphens/>
              <w:spacing w:before="81" w:after="40" w:line="210" w:lineRule="exact"/>
              <w:ind w:left="144" w:right="40" w:hanging="144"/>
              <w:rPr>
                <w:b/>
                <w:bCs/>
                <w:sz w:val="17"/>
                <w:lang w:val="fr-FR"/>
              </w:rPr>
            </w:pPr>
            <w:r w:rsidRPr="00A66C9F">
              <w:rPr>
                <w:b/>
                <w:bCs/>
                <w:sz w:val="17"/>
                <w:lang w:val="fr-FR"/>
              </w:rPr>
              <w:t>Cotisations</w:t>
            </w:r>
          </w:p>
        </w:tc>
        <w:tc>
          <w:tcPr>
            <w:tcW w:w="720" w:type="dxa"/>
            <w:tcBorders>
              <w:top w:val="single" w:sz="4" w:space="0" w:color="auto"/>
            </w:tcBorders>
            <w:shd w:val="clear" w:color="auto" w:fill="auto"/>
            <w:noWrap/>
            <w:vAlign w:val="bottom"/>
          </w:tcPr>
          <w:p w14:paraId="1D19C279"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3"/>
              <w:jc w:val="left"/>
              <w:rPr>
                <w:sz w:val="17"/>
                <w:lang w:val="fr-FR"/>
              </w:rPr>
            </w:pPr>
            <w:r w:rsidRPr="00A66C9F">
              <w:rPr>
                <w:sz w:val="17"/>
                <w:lang w:val="fr-FR"/>
              </w:rPr>
              <w:t>14</w:t>
            </w:r>
          </w:p>
        </w:tc>
        <w:tc>
          <w:tcPr>
            <w:tcW w:w="1642" w:type="dxa"/>
            <w:tcBorders>
              <w:top w:val="single" w:sz="4" w:space="0" w:color="auto"/>
            </w:tcBorders>
            <w:shd w:val="clear" w:color="auto" w:fill="auto"/>
            <w:noWrap/>
            <w:vAlign w:val="bottom"/>
          </w:tcPr>
          <w:p w14:paraId="00464D44" w14:textId="77777777" w:rsidR="006A2B1E" w:rsidRPr="00A66C9F" w:rsidRDefault="006A2B1E" w:rsidP="00107D5D">
            <w:pPr>
              <w:tabs>
                <w:tab w:val="left" w:pos="288"/>
                <w:tab w:val="left" w:pos="576"/>
                <w:tab w:val="left" w:pos="864"/>
                <w:tab w:val="left" w:pos="1152"/>
              </w:tabs>
              <w:suppressAutoHyphens/>
              <w:spacing w:before="81" w:after="40" w:line="210" w:lineRule="exact"/>
              <w:ind w:right="43"/>
              <w:jc w:val="right"/>
              <w:rPr>
                <w:sz w:val="17"/>
                <w:lang w:val="fr-FR"/>
              </w:rPr>
            </w:pPr>
          </w:p>
        </w:tc>
        <w:tc>
          <w:tcPr>
            <w:tcW w:w="1643" w:type="dxa"/>
            <w:tcBorders>
              <w:top w:val="single" w:sz="4" w:space="0" w:color="auto"/>
            </w:tcBorders>
            <w:shd w:val="clear" w:color="auto" w:fill="auto"/>
            <w:noWrap/>
            <w:vAlign w:val="bottom"/>
          </w:tcPr>
          <w:p w14:paraId="240ECAC0" w14:textId="77777777" w:rsidR="006A2B1E" w:rsidRPr="00A66C9F" w:rsidRDefault="006A2B1E" w:rsidP="00107D5D">
            <w:pPr>
              <w:tabs>
                <w:tab w:val="left" w:pos="288"/>
                <w:tab w:val="left" w:pos="576"/>
                <w:tab w:val="left" w:pos="864"/>
                <w:tab w:val="left" w:pos="1152"/>
              </w:tabs>
              <w:suppressAutoHyphens/>
              <w:spacing w:before="81" w:after="40" w:line="210" w:lineRule="exact"/>
              <w:ind w:right="43"/>
              <w:jc w:val="right"/>
              <w:rPr>
                <w:sz w:val="17"/>
                <w:lang w:val="fr-FR"/>
              </w:rPr>
            </w:pPr>
          </w:p>
        </w:tc>
      </w:tr>
      <w:tr w:rsidR="006A2B1E" w:rsidRPr="00A66C9F" w14:paraId="0895C28A" w14:textId="77777777" w:rsidTr="00107D5D">
        <w:trPr>
          <w:cantSplit/>
        </w:trPr>
        <w:tc>
          <w:tcPr>
            <w:tcW w:w="4590" w:type="dxa"/>
            <w:shd w:val="clear" w:color="auto" w:fill="auto"/>
            <w:noWrap/>
            <w:vAlign w:val="bottom"/>
          </w:tcPr>
          <w:p w14:paraId="12737947" w14:textId="77777777" w:rsidR="006A2B1E" w:rsidRPr="00A66C9F" w:rsidRDefault="006A2B1E" w:rsidP="00107D5D">
            <w:pPr>
              <w:tabs>
                <w:tab w:val="left" w:pos="288"/>
              </w:tabs>
              <w:suppressAutoHyphens/>
              <w:spacing w:before="40" w:after="40" w:line="210" w:lineRule="exact"/>
              <w:ind w:right="144"/>
              <w:rPr>
                <w:sz w:val="17"/>
                <w:lang w:val="fr-FR"/>
              </w:rPr>
            </w:pPr>
            <w:r w:rsidRPr="00A66C9F">
              <w:rPr>
                <w:sz w:val="17"/>
                <w:lang w:val="fr-FR"/>
              </w:rPr>
              <w:tab/>
              <w:t>Cotisations des participants</w:t>
            </w:r>
          </w:p>
        </w:tc>
        <w:tc>
          <w:tcPr>
            <w:tcW w:w="720" w:type="dxa"/>
            <w:shd w:val="clear" w:color="auto" w:fill="auto"/>
            <w:noWrap/>
            <w:vAlign w:val="bottom"/>
          </w:tcPr>
          <w:p w14:paraId="730052C9"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 w:val="17"/>
                <w:lang w:val="fr-FR"/>
              </w:rPr>
            </w:pPr>
          </w:p>
        </w:tc>
        <w:tc>
          <w:tcPr>
            <w:tcW w:w="1642" w:type="dxa"/>
            <w:shd w:val="clear" w:color="auto" w:fill="auto"/>
            <w:noWrap/>
            <w:vAlign w:val="bottom"/>
          </w:tcPr>
          <w:p w14:paraId="6E74D97C"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890 381 </w:t>
            </w:r>
          </w:p>
        </w:tc>
        <w:tc>
          <w:tcPr>
            <w:tcW w:w="1643" w:type="dxa"/>
            <w:shd w:val="clear" w:color="auto" w:fill="auto"/>
            <w:noWrap/>
            <w:vAlign w:val="bottom"/>
          </w:tcPr>
          <w:p w14:paraId="13C85C9E"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820 209</w:t>
            </w:r>
          </w:p>
        </w:tc>
      </w:tr>
      <w:tr w:rsidR="006A2B1E" w:rsidRPr="00A66C9F" w14:paraId="59E8590D" w14:textId="77777777" w:rsidTr="00107D5D">
        <w:trPr>
          <w:cantSplit/>
        </w:trPr>
        <w:tc>
          <w:tcPr>
            <w:tcW w:w="4590" w:type="dxa"/>
            <w:shd w:val="clear" w:color="auto" w:fill="auto"/>
            <w:noWrap/>
            <w:vAlign w:val="bottom"/>
          </w:tcPr>
          <w:p w14:paraId="7454D0E4" w14:textId="77777777" w:rsidR="006A2B1E" w:rsidRPr="00A66C9F" w:rsidRDefault="006A2B1E" w:rsidP="00107D5D">
            <w:pPr>
              <w:tabs>
                <w:tab w:val="left" w:pos="288"/>
              </w:tabs>
              <w:suppressAutoHyphens/>
              <w:spacing w:before="40" w:after="40" w:line="210" w:lineRule="exact"/>
              <w:ind w:right="144"/>
              <w:rPr>
                <w:sz w:val="17"/>
                <w:lang w:val="fr-FR"/>
              </w:rPr>
            </w:pPr>
            <w:r w:rsidRPr="00A66C9F">
              <w:rPr>
                <w:sz w:val="17"/>
                <w:lang w:val="fr-FR"/>
              </w:rPr>
              <w:tab/>
              <w:t>Cotisations des organisations affiliées</w:t>
            </w:r>
          </w:p>
        </w:tc>
        <w:tc>
          <w:tcPr>
            <w:tcW w:w="720" w:type="dxa"/>
            <w:shd w:val="clear" w:color="auto" w:fill="auto"/>
            <w:noWrap/>
            <w:vAlign w:val="bottom"/>
          </w:tcPr>
          <w:p w14:paraId="74DEB3D6"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 w:val="17"/>
                <w:lang w:val="fr-FR"/>
              </w:rPr>
            </w:pPr>
          </w:p>
        </w:tc>
        <w:tc>
          <w:tcPr>
            <w:tcW w:w="1642" w:type="dxa"/>
            <w:shd w:val="clear" w:color="auto" w:fill="auto"/>
            <w:noWrap/>
            <w:vAlign w:val="bottom"/>
          </w:tcPr>
          <w:p w14:paraId="1EA60012"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1 771 258 </w:t>
            </w:r>
          </w:p>
        </w:tc>
        <w:tc>
          <w:tcPr>
            <w:tcW w:w="1643" w:type="dxa"/>
            <w:shd w:val="clear" w:color="auto" w:fill="auto"/>
            <w:noWrap/>
            <w:vAlign w:val="bottom"/>
          </w:tcPr>
          <w:p w14:paraId="615D7898"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1 630 838</w:t>
            </w:r>
          </w:p>
        </w:tc>
      </w:tr>
      <w:tr w:rsidR="006A2B1E" w:rsidRPr="00A66C9F" w14:paraId="7D0364F0" w14:textId="77777777" w:rsidTr="00107D5D">
        <w:trPr>
          <w:cantSplit/>
        </w:trPr>
        <w:tc>
          <w:tcPr>
            <w:tcW w:w="4590" w:type="dxa"/>
            <w:tcBorders>
              <w:bottom w:val="single" w:sz="4" w:space="0" w:color="auto"/>
            </w:tcBorders>
            <w:shd w:val="clear" w:color="auto" w:fill="auto"/>
            <w:noWrap/>
            <w:vAlign w:val="bottom"/>
          </w:tcPr>
          <w:p w14:paraId="41AD2EE6" w14:textId="77777777" w:rsidR="006A2B1E" w:rsidRPr="00A66C9F" w:rsidRDefault="006A2B1E" w:rsidP="00107D5D">
            <w:pPr>
              <w:tabs>
                <w:tab w:val="left" w:pos="288"/>
              </w:tabs>
              <w:suppressAutoHyphens/>
              <w:spacing w:before="40" w:after="81" w:line="210" w:lineRule="exact"/>
              <w:ind w:right="144"/>
              <w:rPr>
                <w:sz w:val="17"/>
                <w:lang w:val="fr-FR"/>
              </w:rPr>
            </w:pPr>
            <w:r w:rsidRPr="00A66C9F">
              <w:rPr>
                <w:sz w:val="17"/>
                <w:lang w:val="fr-FR"/>
              </w:rPr>
              <w:tab/>
              <w:t>Cotisations diverses</w:t>
            </w:r>
          </w:p>
        </w:tc>
        <w:tc>
          <w:tcPr>
            <w:tcW w:w="720" w:type="dxa"/>
            <w:tcBorders>
              <w:bottom w:val="single" w:sz="4" w:space="0" w:color="auto"/>
            </w:tcBorders>
            <w:shd w:val="clear" w:color="auto" w:fill="auto"/>
            <w:noWrap/>
            <w:vAlign w:val="bottom"/>
          </w:tcPr>
          <w:p w14:paraId="2BED0BF7"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3"/>
              <w:jc w:val="left"/>
              <w:rPr>
                <w:sz w:val="17"/>
                <w:lang w:val="fr-FR"/>
              </w:rPr>
            </w:pPr>
          </w:p>
        </w:tc>
        <w:tc>
          <w:tcPr>
            <w:tcW w:w="1642" w:type="dxa"/>
            <w:tcBorders>
              <w:bottom w:val="single" w:sz="4" w:space="0" w:color="auto"/>
            </w:tcBorders>
            <w:shd w:val="clear" w:color="auto" w:fill="auto"/>
            <w:noWrap/>
            <w:vAlign w:val="bottom"/>
          </w:tcPr>
          <w:p w14:paraId="3FF0D77A" w14:textId="77777777" w:rsidR="006A2B1E" w:rsidRPr="00A66C9F" w:rsidRDefault="006A2B1E"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27 217 </w:t>
            </w:r>
          </w:p>
        </w:tc>
        <w:tc>
          <w:tcPr>
            <w:tcW w:w="1643" w:type="dxa"/>
            <w:tcBorders>
              <w:bottom w:val="single" w:sz="4" w:space="0" w:color="auto"/>
            </w:tcBorders>
            <w:shd w:val="clear" w:color="auto" w:fill="auto"/>
            <w:noWrap/>
            <w:vAlign w:val="bottom"/>
          </w:tcPr>
          <w:p w14:paraId="15872782" w14:textId="77777777" w:rsidR="006A2B1E" w:rsidRPr="00A66C9F" w:rsidRDefault="006A2B1E"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6 104</w:t>
            </w:r>
          </w:p>
        </w:tc>
      </w:tr>
      <w:tr w:rsidR="006A2B1E" w:rsidRPr="00A66C9F" w14:paraId="2799649D" w14:textId="77777777" w:rsidTr="00107D5D">
        <w:trPr>
          <w:cantSplit/>
        </w:trPr>
        <w:tc>
          <w:tcPr>
            <w:tcW w:w="4590" w:type="dxa"/>
            <w:tcBorders>
              <w:top w:val="single" w:sz="4" w:space="0" w:color="auto"/>
              <w:bottom w:val="single" w:sz="4" w:space="0" w:color="auto"/>
            </w:tcBorders>
            <w:shd w:val="clear" w:color="auto" w:fill="auto"/>
            <w:noWrap/>
            <w:vAlign w:val="bottom"/>
          </w:tcPr>
          <w:p w14:paraId="06444CAB" w14:textId="77777777" w:rsidR="006A2B1E" w:rsidRPr="00A66C9F" w:rsidRDefault="006A2B1E" w:rsidP="00107D5D">
            <w:pPr>
              <w:tabs>
                <w:tab w:val="left" w:pos="288"/>
                <w:tab w:val="left" w:pos="576"/>
                <w:tab w:val="left" w:pos="864"/>
                <w:tab w:val="left" w:pos="1152"/>
              </w:tabs>
              <w:suppressAutoHyphens/>
              <w:spacing w:before="81" w:after="81" w:line="210" w:lineRule="exact"/>
              <w:ind w:left="144" w:right="40" w:hanging="144"/>
              <w:rPr>
                <w:b/>
                <w:sz w:val="17"/>
                <w:lang w:val="fr-FR"/>
              </w:rPr>
            </w:pPr>
          </w:p>
        </w:tc>
        <w:tc>
          <w:tcPr>
            <w:tcW w:w="720" w:type="dxa"/>
            <w:tcBorders>
              <w:top w:val="single" w:sz="4" w:space="0" w:color="auto"/>
              <w:bottom w:val="single" w:sz="4" w:space="0" w:color="auto"/>
            </w:tcBorders>
            <w:shd w:val="clear" w:color="auto" w:fill="auto"/>
            <w:noWrap/>
            <w:vAlign w:val="bottom"/>
          </w:tcPr>
          <w:p w14:paraId="053DEACE"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3"/>
              <w:jc w:val="left"/>
              <w:rPr>
                <w:b/>
                <w:sz w:val="17"/>
                <w:lang w:val="fr-FR"/>
              </w:rPr>
            </w:pPr>
          </w:p>
        </w:tc>
        <w:tc>
          <w:tcPr>
            <w:tcW w:w="1642" w:type="dxa"/>
            <w:tcBorders>
              <w:top w:val="single" w:sz="4" w:space="0" w:color="auto"/>
              <w:bottom w:val="single" w:sz="4" w:space="0" w:color="auto"/>
            </w:tcBorders>
            <w:shd w:val="clear" w:color="auto" w:fill="auto"/>
            <w:noWrap/>
            <w:vAlign w:val="bottom"/>
          </w:tcPr>
          <w:p w14:paraId="33659A88" w14:textId="77777777" w:rsidR="006A2B1E" w:rsidRPr="00A66C9F" w:rsidRDefault="006A2B1E"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2 688 856 </w:t>
            </w:r>
          </w:p>
        </w:tc>
        <w:tc>
          <w:tcPr>
            <w:tcW w:w="1643" w:type="dxa"/>
            <w:tcBorders>
              <w:top w:val="single" w:sz="4" w:space="0" w:color="auto"/>
              <w:bottom w:val="single" w:sz="4" w:space="0" w:color="auto"/>
            </w:tcBorders>
            <w:shd w:val="clear" w:color="auto" w:fill="auto"/>
            <w:noWrap/>
            <w:vAlign w:val="bottom"/>
          </w:tcPr>
          <w:p w14:paraId="5BE62800" w14:textId="77777777" w:rsidR="006A2B1E" w:rsidRPr="00A66C9F" w:rsidRDefault="006A2B1E"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2 457 151</w:t>
            </w:r>
          </w:p>
        </w:tc>
      </w:tr>
      <w:tr w:rsidR="006A2B1E" w:rsidRPr="00A66C9F" w14:paraId="381F1896" w14:textId="77777777" w:rsidTr="00107D5D">
        <w:trPr>
          <w:cantSplit/>
        </w:trPr>
        <w:tc>
          <w:tcPr>
            <w:tcW w:w="4590" w:type="dxa"/>
            <w:tcBorders>
              <w:top w:val="single" w:sz="4" w:space="0" w:color="auto"/>
            </w:tcBorders>
            <w:shd w:val="clear" w:color="auto" w:fill="auto"/>
            <w:noWrap/>
            <w:vAlign w:val="bottom"/>
          </w:tcPr>
          <w:p w14:paraId="42B5A1FE" w14:textId="77777777" w:rsidR="006A2B1E" w:rsidRPr="00A66C9F" w:rsidRDefault="006A2B1E" w:rsidP="00107D5D">
            <w:pPr>
              <w:tabs>
                <w:tab w:val="left" w:pos="288"/>
                <w:tab w:val="left" w:pos="576"/>
                <w:tab w:val="left" w:pos="864"/>
                <w:tab w:val="left" w:pos="1152"/>
              </w:tabs>
              <w:suppressAutoHyphens/>
              <w:spacing w:before="81" w:after="40" w:line="210" w:lineRule="exact"/>
              <w:ind w:left="144" w:right="40" w:hanging="144"/>
              <w:rPr>
                <w:b/>
                <w:bCs/>
                <w:sz w:val="17"/>
                <w:lang w:val="fr-FR"/>
              </w:rPr>
            </w:pPr>
            <w:r w:rsidRPr="00A66C9F">
              <w:rPr>
                <w:b/>
                <w:bCs/>
                <w:sz w:val="17"/>
                <w:lang w:val="fr-FR"/>
              </w:rPr>
              <w:t>Paiement des prestations</w:t>
            </w:r>
          </w:p>
        </w:tc>
        <w:tc>
          <w:tcPr>
            <w:tcW w:w="720" w:type="dxa"/>
            <w:tcBorders>
              <w:top w:val="single" w:sz="4" w:space="0" w:color="auto"/>
            </w:tcBorders>
            <w:shd w:val="clear" w:color="auto" w:fill="auto"/>
            <w:noWrap/>
            <w:vAlign w:val="bottom"/>
          </w:tcPr>
          <w:p w14:paraId="4D1467A3"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3"/>
              <w:jc w:val="left"/>
              <w:rPr>
                <w:sz w:val="17"/>
                <w:lang w:val="fr-FR"/>
              </w:rPr>
            </w:pPr>
            <w:r w:rsidRPr="00A66C9F">
              <w:rPr>
                <w:sz w:val="17"/>
                <w:lang w:val="fr-FR"/>
              </w:rPr>
              <w:t>15</w:t>
            </w:r>
          </w:p>
        </w:tc>
        <w:tc>
          <w:tcPr>
            <w:tcW w:w="1642" w:type="dxa"/>
            <w:tcBorders>
              <w:top w:val="single" w:sz="4" w:space="0" w:color="auto"/>
            </w:tcBorders>
            <w:shd w:val="clear" w:color="auto" w:fill="auto"/>
            <w:noWrap/>
            <w:vAlign w:val="bottom"/>
          </w:tcPr>
          <w:p w14:paraId="22D8B44E" w14:textId="77777777" w:rsidR="006A2B1E" w:rsidRPr="00A66C9F" w:rsidRDefault="006A2B1E" w:rsidP="00107D5D">
            <w:pPr>
              <w:tabs>
                <w:tab w:val="left" w:pos="288"/>
                <w:tab w:val="left" w:pos="576"/>
                <w:tab w:val="left" w:pos="864"/>
                <w:tab w:val="left" w:pos="1152"/>
              </w:tabs>
              <w:suppressAutoHyphens/>
              <w:spacing w:before="81" w:after="40" w:line="210" w:lineRule="exact"/>
              <w:ind w:right="43"/>
              <w:jc w:val="right"/>
              <w:rPr>
                <w:sz w:val="17"/>
                <w:lang w:val="fr-FR"/>
              </w:rPr>
            </w:pPr>
          </w:p>
        </w:tc>
        <w:tc>
          <w:tcPr>
            <w:tcW w:w="1643" w:type="dxa"/>
            <w:tcBorders>
              <w:top w:val="single" w:sz="4" w:space="0" w:color="auto"/>
            </w:tcBorders>
            <w:shd w:val="clear" w:color="auto" w:fill="auto"/>
            <w:noWrap/>
            <w:vAlign w:val="bottom"/>
          </w:tcPr>
          <w:p w14:paraId="6E89D0E0" w14:textId="77777777" w:rsidR="006A2B1E" w:rsidRPr="00A66C9F" w:rsidRDefault="006A2B1E" w:rsidP="00107D5D">
            <w:pPr>
              <w:tabs>
                <w:tab w:val="left" w:pos="288"/>
                <w:tab w:val="left" w:pos="576"/>
                <w:tab w:val="left" w:pos="864"/>
                <w:tab w:val="left" w:pos="1152"/>
              </w:tabs>
              <w:suppressAutoHyphens/>
              <w:spacing w:before="81" w:after="40" w:line="210" w:lineRule="exact"/>
              <w:ind w:right="43"/>
              <w:jc w:val="right"/>
              <w:rPr>
                <w:sz w:val="17"/>
                <w:lang w:val="fr-FR"/>
              </w:rPr>
            </w:pPr>
          </w:p>
        </w:tc>
      </w:tr>
      <w:tr w:rsidR="006A2B1E" w:rsidRPr="00A66C9F" w14:paraId="2C20359E" w14:textId="77777777" w:rsidTr="00107D5D">
        <w:trPr>
          <w:cantSplit/>
        </w:trPr>
        <w:tc>
          <w:tcPr>
            <w:tcW w:w="4590" w:type="dxa"/>
            <w:shd w:val="clear" w:color="auto" w:fill="auto"/>
            <w:noWrap/>
            <w:vAlign w:val="bottom"/>
          </w:tcPr>
          <w:p w14:paraId="1BFF0C09" w14:textId="77777777" w:rsidR="006A2B1E" w:rsidRPr="00A66C9F" w:rsidRDefault="006A2B1E" w:rsidP="00107D5D">
            <w:pPr>
              <w:tabs>
                <w:tab w:val="left" w:pos="288"/>
              </w:tabs>
              <w:suppressAutoHyphens/>
              <w:spacing w:before="40" w:after="40" w:line="210" w:lineRule="exact"/>
              <w:ind w:left="288" w:right="144" w:hanging="288"/>
              <w:rPr>
                <w:sz w:val="17"/>
                <w:lang w:val="fr-FR"/>
              </w:rPr>
            </w:pPr>
            <w:r w:rsidRPr="00A66C9F">
              <w:rPr>
                <w:sz w:val="17"/>
                <w:lang w:val="fr-FR"/>
              </w:rPr>
              <w:tab/>
              <w:t>Versements de départ au titre de la liquidation des droits (y compris les prestations intégralement converties en capital)</w:t>
            </w:r>
          </w:p>
        </w:tc>
        <w:tc>
          <w:tcPr>
            <w:tcW w:w="720" w:type="dxa"/>
            <w:shd w:val="clear" w:color="auto" w:fill="auto"/>
            <w:noWrap/>
            <w:vAlign w:val="bottom"/>
          </w:tcPr>
          <w:p w14:paraId="227D6B12"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 w:val="17"/>
                <w:lang w:val="fr-FR"/>
              </w:rPr>
            </w:pPr>
          </w:p>
        </w:tc>
        <w:tc>
          <w:tcPr>
            <w:tcW w:w="1642" w:type="dxa"/>
            <w:shd w:val="clear" w:color="auto" w:fill="auto"/>
            <w:noWrap/>
            <w:vAlign w:val="bottom"/>
          </w:tcPr>
          <w:p w14:paraId="4081550D"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194 582 </w:t>
            </w:r>
          </w:p>
        </w:tc>
        <w:tc>
          <w:tcPr>
            <w:tcW w:w="1643" w:type="dxa"/>
            <w:shd w:val="clear" w:color="auto" w:fill="auto"/>
            <w:noWrap/>
            <w:vAlign w:val="bottom"/>
          </w:tcPr>
          <w:p w14:paraId="3CA8A073"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181 671</w:t>
            </w:r>
          </w:p>
        </w:tc>
      </w:tr>
      <w:tr w:rsidR="006A2B1E" w:rsidRPr="00A66C9F" w14:paraId="6DF1A05A" w14:textId="77777777" w:rsidTr="00107D5D">
        <w:trPr>
          <w:cantSplit/>
        </w:trPr>
        <w:tc>
          <w:tcPr>
            <w:tcW w:w="4590" w:type="dxa"/>
            <w:shd w:val="clear" w:color="auto" w:fill="auto"/>
            <w:noWrap/>
            <w:vAlign w:val="bottom"/>
          </w:tcPr>
          <w:p w14:paraId="6AB5C011" w14:textId="77777777" w:rsidR="006A2B1E" w:rsidRPr="00A66C9F" w:rsidRDefault="006A2B1E" w:rsidP="00107D5D">
            <w:pPr>
              <w:tabs>
                <w:tab w:val="left" w:pos="288"/>
              </w:tabs>
              <w:suppressAutoHyphens/>
              <w:spacing w:before="40" w:after="40" w:line="210" w:lineRule="exact"/>
              <w:ind w:right="144"/>
              <w:rPr>
                <w:sz w:val="17"/>
                <w:lang w:val="fr-FR"/>
              </w:rPr>
            </w:pPr>
            <w:r w:rsidRPr="00A66C9F">
              <w:rPr>
                <w:sz w:val="17"/>
                <w:lang w:val="fr-FR"/>
              </w:rPr>
              <w:tab/>
              <w:t>Pensions de retraite</w:t>
            </w:r>
          </w:p>
        </w:tc>
        <w:tc>
          <w:tcPr>
            <w:tcW w:w="720" w:type="dxa"/>
            <w:shd w:val="clear" w:color="auto" w:fill="auto"/>
            <w:noWrap/>
            <w:vAlign w:val="bottom"/>
          </w:tcPr>
          <w:p w14:paraId="59964BED"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 w:val="17"/>
                <w:lang w:val="fr-FR"/>
              </w:rPr>
            </w:pPr>
          </w:p>
        </w:tc>
        <w:tc>
          <w:tcPr>
            <w:tcW w:w="1642" w:type="dxa"/>
            <w:shd w:val="clear" w:color="auto" w:fill="auto"/>
            <w:noWrap/>
            <w:vAlign w:val="bottom"/>
          </w:tcPr>
          <w:p w14:paraId="75EBB7AF"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2 511 119 </w:t>
            </w:r>
          </w:p>
        </w:tc>
        <w:tc>
          <w:tcPr>
            <w:tcW w:w="1643" w:type="dxa"/>
            <w:shd w:val="clear" w:color="auto" w:fill="auto"/>
            <w:noWrap/>
            <w:vAlign w:val="bottom"/>
          </w:tcPr>
          <w:p w14:paraId="6EF2A6B0"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2 530 498</w:t>
            </w:r>
          </w:p>
        </w:tc>
      </w:tr>
      <w:tr w:rsidR="006A2B1E" w:rsidRPr="00A66C9F" w14:paraId="22E76CDD" w14:textId="77777777" w:rsidTr="00107D5D">
        <w:trPr>
          <w:cantSplit/>
        </w:trPr>
        <w:tc>
          <w:tcPr>
            <w:tcW w:w="4590" w:type="dxa"/>
            <w:tcBorders>
              <w:bottom w:val="single" w:sz="4" w:space="0" w:color="auto"/>
            </w:tcBorders>
            <w:shd w:val="clear" w:color="auto" w:fill="auto"/>
            <w:noWrap/>
            <w:vAlign w:val="bottom"/>
          </w:tcPr>
          <w:p w14:paraId="69A1849E" w14:textId="77777777" w:rsidR="006A2B1E" w:rsidRPr="00A66C9F" w:rsidRDefault="006A2B1E" w:rsidP="00107D5D">
            <w:pPr>
              <w:tabs>
                <w:tab w:val="left" w:pos="288"/>
              </w:tabs>
              <w:suppressAutoHyphens/>
              <w:spacing w:before="40" w:after="81" w:line="210" w:lineRule="exact"/>
              <w:ind w:right="144"/>
              <w:rPr>
                <w:sz w:val="17"/>
                <w:lang w:val="fr-FR"/>
              </w:rPr>
            </w:pPr>
            <w:r w:rsidRPr="00A66C9F">
              <w:rPr>
                <w:sz w:val="17"/>
                <w:lang w:val="fr-FR"/>
              </w:rPr>
              <w:tab/>
              <w:t>Autres prestations/ajustements</w:t>
            </w:r>
          </w:p>
        </w:tc>
        <w:tc>
          <w:tcPr>
            <w:tcW w:w="720" w:type="dxa"/>
            <w:tcBorders>
              <w:bottom w:val="single" w:sz="4" w:space="0" w:color="auto"/>
            </w:tcBorders>
            <w:shd w:val="clear" w:color="auto" w:fill="auto"/>
            <w:noWrap/>
            <w:vAlign w:val="bottom"/>
          </w:tcPr>
          <w:p w14:paraId="74699F33"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3"/>
              <w:jc w:val="left"/>
              <w:rPr>
                <w:sz w:val="17"/>
                <w:lang w:val="fr-FR"/>
              </w:rPr>
            </w:pPr>
          </w:p>
        </w:tc>
        <w:tc>
          <w:tcPr>
            <w:tcW w:w="1642" w:type="dxa"/>
            <w:tcBorders>
              <w:bottom w:val="single" w:sz="4" w:space="0" w:color="auto"/>
            </w:tcBorders>
            <w:shd w:val="clear" w:color="auto" w:fill="auto"/>
            <w:noWrap/>
            <w:vAlign w:val="bottom"/>
          </w:tcPr>
          <w:p w14:paraId="130D66C2" w14:textId="77777777" w:rsidR="006A2B1E" w:rsidRPr="00A66C9F" w:rsidRDefault="006A2B1E"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(5 736)</w:t>
            </w:r>
          </w:p>
        </w:tc>
        <w:tc>
          <w:tcPr>
            <w:tcW w:w="1643" w:type="dxa"/>
            <w:tcBorders>
              <w:bottom w:val="single" w:sz="4" w:space="0" w:color="auto"/>
            </w:tcBorders>
            <w:shd w:val="clear" w:color="auto" w:fill="auto"/>
            <w:noWrap/>
            <w:vAlign w:val="bottom"/>
          </w:tcPr>
          <w:p w14:paraId="042BE471" w14:textId="77777777" w:rsidR="006A2B1E" w:rsidRPr="00A66C9F" w:rsidRDefault="006A2B1E"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(42 609)</w:t>
            </w:r>
          </w:p>
        </w:tc>
      </w:tr>
      <w:tr w:rsidR="006A2B1E" w:rsidRPr="00A66C9F" w14:paraId="03EA1D0F" w14:textId="77777777" w:rsidTr="00107D5D">
        <w:trPr>
          <w:cantSplit/>
        </w:trPr>
        <w:tc>
          <w:tcPr>
            <w:tcW w:w="4590" w:type="dxa"/>
            <w:tcBorders>
              <w:top w:val="single" w:sz="4" w:space="0" w:color="auto"/>
              <w:bottom w:val="single" w:sz="4" w:space="0" w:color="auto"/>
            </w:tcBorders>
            <w:shd w:val="clear" w:color="auto" w:fill="auto"/>
            <w:noWrap/>
            <w:vAlign w:val="bottom"/>
          </w:tcPr>
          <w:p w14:paraId="23481B66" w14:textId="77777777" w:rsidR="006A2B1E" w:rsidRPr="00A66C9F" w:rsidRDefault="006A2B1E" w:rsidP="00107D5D">
            <w:pPr>
              <w:tabs>
                <w:tab w:val="left" w:pos="288"/>
                <w:tab w:val="left" w:pos="576"/>
                <w:tab w:val="left" w:pos="864"/>
                <w:tab w:val="left" w:pos="1152"/>
              </w:tabs>
              <w:suppressAutoHyphens/>
              <w:spacing w:before="81" w:after="81" w:line="210" w:lineRule="exact"/>
              <w:ind w:left="302" w:right="40" w:hanging="302"/>
              <w:rPr>
                <w:b/>
                <w:sz w:val="17"/>
                <w:lang w:val="fr-FR"/>
              </w:rPr>
            </w:pPr>
          </w:p>
        </w:tc>
        <w:tc>
          <w:tcPr>
            <w:tcW w:w="720" w:type="dxa"/>
            <w:tcBorders>
              <w:top w:val="single" w:sz="4" w:space="0" w:color="auto"/>
              <w:bottom w:val="single" w:sz="4" w:space="0" w:color="auto"/>
            </w:tcBorders>
            <w:shd w:val="clear" w:color="auto" w:fill="auto"/>
            <w:noWrap/>
            <w:vAlign w:val="bottom"/>
          </w:tcPr>
          <w:p w14:paraId="204FEBFA"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3"/>
              <w:jc w:val="left"/>
              <w:rPr>
                <w:b/>
                <w:sz w:val="17"/>
                <w:lang w:val="fr-FR"/>
              </w:rPr>
            </w:pPr>
          </w:p>
        </w:tc>
        <w:tc>
          <w:tcPr>
            <w:tcW w:w="1642" w:type="dxa"/>
            <w:tcBorders>
              <w:top w:val="single" w:sz="4" w:space="0" w:color="auto"/>
              <w:bottom w:val="single" w:sz="4" w:space="0" w:color="auto"/>
            </w:tcBorders>
            <w:shd w:val="clear" w:color="auto" w:fill="auto"/>
            <w:noWrap/>
            <w:vAlign w:val="bottom"/>
          </w:tcPr>
          <w:p w14:paraId="351C9A15" w14:textId="77777777" w:rsidR="006A2B1E" w:rsidRPr="00A66C9F" w:rsidRDefault="006A2B1E"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2 699 965 </w:t>
            </w:r>
          </w:p>
        </w:tc>
        <w:tc>
          <w:tcPr>
            <w:tcW w:w="1643" w:type="dxa"/>
            <w:tcBorders>
              <w:top w:val="single" w:sz="4" w:space="0" w:color="auto"/>
              <w:bottom w:val="single" w:sz="4" w:space="0" w:color="auto"/>
            </w:tcBorders>
            <w:shd w:val="clear" w:color="auto" w:fill="auto"/>
            <w:noWrap/>
            <w:vAlign w:val="bottom"/>
          </w:tcPr>
          <w:p w14:paraId="254FDD50" w14:textId="77777777" w:rsidR="006A2B1E" w:rsidRPr="00A66C9F" w:rsidRDefault="006A2B1E"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2 669 560</w:t>
            </w:r>
          </w:p>
        </w:tc>
      </w:tr>
      <w:tr w:rsidR="006A2B1E" w:rsidRPr="00A66C9F" w14:paraId="035D337F" w14:textId="77777777" w:rsidTr="00107D5D">
        <w:trPr>
          <w:cantSplit/>
        </w:trPr>
        <w:tc>
          <w:tcPr>
            <w:tcW w:w="4590" w:type="dxa"/>
            <w:tcBorders>
              <w:top w:val="single" w:sz="4" w:space="0" w:color="auto"/>
            </w:tcBorders>
            <w:shd w:val="clear" w:color="auto" w:fill="auto"/>
            <w:noWrap/>
            <w:vAlign w:val="bottom"/>
          </w:tcPr>
          <w:p w14:paraId="47697781" w14:textId="77777777" w:rsidR="006A2B1E" w:rsidRPr="00A66C9F" w:rsidRDefault="006A2B1E" w:rsidP="00107D5D">
            <w:pPr>
              <w:tabs>
                <w:tab w:val="left" w:pos="288"/>
                <w:tab w:val="left" w:pos="576"/>
                <w:tab w:val="left" w:pos="864"/>
                <w:tab w:val="left" w:pos="1152"/>
              </w:tabs>
              <w:suppressAutoHyphens/>
              <w:spacing w:before="81" w:after="40" w:line="210" w:lineRule="exact"/>
              <w:ind w:left="144" w:right="40" w:hanging="144"/>
              <w:rPr>
                <w:b/>
                <w:bCs/>
                <w:sz w:val="17"/>
                <w:lang w:val="fr-FR"/>
              </w:rPr>
            </w:pPr>
            <w:r w:rsidRPr="00A66C9F">
              <w:rPr>
                <w:b/>
                <w:bCs/>
                <w:sz w:val="17"/>
                <w:lang w:val="fr-FR"/>
              </w:rPr>
              <w:t>Dépenses d’administration</w:t>
            </w:r>
          </w:p>
        </w:tc>
        <w:tc>
          <w:tcPr>
            <w:tcW w:w="720" w:type="dxa"/>
            <w:tcBorders>
              <w:top w:val="single" w:sz="4" w:space="0" w:color="auto"/>
            </w:tcBorders>
            <w:shd w:val="clear" w:color="auto" w:fill="auto"/>
            <w:noWrap/>
            <w:vAlign w:val="bottom"/>
          </w:tcPr>
          <w:p w14:paraId="341A6C67"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3"/>
              <w:jc w:val="left"/>
              <w:rPr>
                <w:sz w:val="17"/>
                <w:lang w:val="fr-FR"/>
              </w:rPr>
            </w:pPr>
            <w:r w:rsidRPr="00A66C9F">
              <w:rPr>
                <w:sz w:val="17"/>
                <w:lang w:val="fr-FR"/>
              </w:rPr>
              <w:t>16</w:t>
            </w:r>
          </w:p>
        </w:tc>
        <w:tc>
          <w:tcPr>
            <w:tcW w:w="1642" w:type="dxa"/>
            <w:tcBorders>
              <w:top w:val="single" w:sz="4" w:space="0" w:color="auto"/>
            </w:tcBorders>
            <w:shd w:val="clear" w:color="auto" w:fill="auto"/>
            <w:noWrap/>
            <w:vAlign w:val="bottom"/>
          </w:tcPr>
          <w:p w14:paraId="74BD6B67" w14:textId="77777777" w:rsidR="006A2B1E" w:rsidRPr="00A66C9F" w:rsidRDefault="006A2B1E" w:rsidP="00107D5D">
            <w:pPr>
              <w:tabs>
                <w:tab w:val="left" w:pos="288"/>
                <w:tab w:val="left" w:pos="576"/>
                <w:tab w:val="left" w:pos="864"/>
                <w:tab w:val="left" w:pos="1152"/>
              </w:tabs>
              <w:suppressAutoHyphens/>
              <w:spacing w:before="81" w:after="40" w:line="210" w:lineRule="exact"/>
              <w:ind w:right="43"/>
              <w:jc w:val="right"/>
              <w:rPr>
                <w:sz w:val="17"/>
                <w:lang w:val="fr-FR"/>
              </w:rPr>
            </w:pPr>
          </w:p>
        </w:tc>
        <w:tc>
          <w:tcPr>
            <w:tcW w:w="1643" w:type="dxa"/>
            <w:tcBorders>
              <w:top w:val="single" w:sz="4" w:space="0" w:color="auto"/>
            </w:tcBorders>
            <w:shd w:val="clear" w:color="auto" w:fill="auto"/>
            <w:noWrap/>
            <w:vAlign w:val="bottom"/>
          </w:tcPr>
          <w:p w14:paraId="21CE5345" w14:textId="77777777" w:rsidR="006A2B1E" w:rsidRPr="00A66C9F" w:rsidRDefault="006A2B1E" w:rsidP="00107D5D">
            <w:pPr>
              <w:tabs>
                <w:tab w:val="left" w:pos="288"/>
                <w:tab w:val="left" w:pos="576"/>
                <w:tab w:val="left" w:pos="864"/>
                <w:tab w:val="left" w:pos="1152"/>
              </w:tabs>
              <w:suppressAutoHyphens/>
              <w:spacing w:before="81" w:after="40" w:line="210" w:lineRule="exact"/>
              <w:ind w:right="43"/>
              <w:jc w:val="right"/>
              <w:rPr>
                <w:sz w:val="17"/>
                <w:lang w:val="fr-FR"/>
              </w:rPr>
            </w:pPr>
          </w:p>
        </w:tc>
      </w:tr>
      <w:tr w:rsidR="006A2B1E" w:rsidRPr="00A66C9F" w14:paraId="3CE1B242" w14:textId="77777777" w:rsidTr="00107D5D">
        <w:trPr>
          <w:cantSplit/>
        </w:trPr>
        <w:tc>
          <w:tcPr>
            <w:tcW w:w="4590" w:type="dxa"/>
            <w:shd w:val="clear" w:color="auto" w:fill="auto"/>
            <w:noWrap/>
            <w:vAlign w:val="bottom"/>
          </w:tcPr>
          <w:p w14:paraId="298D2FCF" w14:textId="77777777" w:rsidR="006A2B1E" w:rsidRPr="00A66C9F" w:rsidRDefault="006A2B1E" w:rsidP="00107D5D">
            <w:pPr>
              <w:tabs>
                <w:tab w:val="left" w:pos="288"/>
              </w:tabs>
              <w:suppressAutoHyphens/>
              <w:spacing w:before="40" w:after="40" w:line="210" w:lineRule="exact"/>
              <w:ind w:right="144"/>
              <w:rPr>
                <w:sz w:val="17"/>
                <w:lang w:val="fr-FR"/>
              </w:rPr>
            </w:pPr>
            <w:r w:rsidRPr="00A66C9F">
              <w:rPr>
                <w:sz w:val="17"/>
                <w:lang w:val="fr-FR"/>
              </w:rPr>
              <w:tab/>
              <w:t>Secrétariat de la Caisse</w:t>
            </w:r>
          </w:p>
        </w:tc>
        <w:tc>
          <w:tcPr>
            <w:tcW w:w="720" w:type="dxa"/>
            <w:shd w:val="clear" w:color="auto" w:fill="auto"/>
            <w:noWrap/>
            <w:vAlign w:val="bottom"/>
          </w:tcPr>
          <w:p w14:paraId="286FD32B"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 w:val="17"/>
                <w:lang w:val="fr-FR"/>
              </w:rPr>
            </w:pPr>
          </w:p>
        </w:tc>
        <w:tc>
          <w:tcPr>
            <w:tcW w:w="1642" w:type="dxa"/>
            <w:shd w:val="clear" w:color="auto" w:fill="auto"/>
            <w:noWrap/>
            <w:vAlign w:val="bottom"/>
          </w:tcPr>
          <w:p w14:paraId="6504F096"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49 428 </w:t>
            </w:r>
          </w:p>
        </w:tc>
        <w:tc>
          <w:tcPr>
            <w:tcW w:w="1643" w:type="dxa"/>
            <w:shd w:val="clear" w:color="auto" w:fill="auto"/>
            <w:noWrap/>
            <w:vAlign w:val="bottom"/>
          </w:tcPr>
          <w:p w14:paraId="098E8DC7"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36 222</w:t>
            </w:r>
          </w:p>
        </w:tc>
      </w:tr>
      <w:tr w:rsidR="006A2B1E" w:rsidRPr="00A66C9F" w14:paraId="76A29801" w14:textId="77777777" w:rsidTr="00107D5D">
        <w:trPr>
          <w:cantSplit/>
        </w:trPr>
        <w:tc>
          <w:tcPr>
            <w:tcW w:w="4590" w:type="dxa"/>
            <w:shd w:val="clear" w:color="auto" w:fill="auto"/>
            <w:noWrap/>
            <w:vAlign w:val="bottom"/>
          </w:tcPr>
          <w:p w14:paraId="398052D6" w14:textId="77777777" w:rsidR="006A2B1E" w:rsidRPr="00A66C9F" w:rsidRDefault="006A2B1E" w:rsidP="00107D5D">
            <w:pPr>
              <w:tabs>
                <w:tab w:val="left" w:pos="288"/>
              </w:tabs>
              <w:suppressAutoHyphens/>
              <w:spacing w:before="40" w:after="40" w:line="210" w:lineRule="exact"/>
              <w:ind w:right="144"/>
              <w:rPr>
                <w:sz w:val="17"/>
                <w:lang w:val="fr-FR"/>
              </w:rPr>
            </w:pPr>
            <w:r w:rsidRPr="00A66C9F">
              <w:rPr>
                <w:sz w:val="17"/>
                <w:lang w:val="fr-FR"/>
              </w:rPr>
              <w:tab/>
              <w:t>Bureau de la gestion des investissements</w:t>
            </w:r>
          </w:p>
        </w:tc>
        <w:tc>
          <w:tcPr>
            <w:tcW w:w="720" w:type="dxa"/>
            <w:shd w:val="clear" w:color="auto" w:fill="auto"/>
            <w:noWrap/>
            <w:vAlign w:val="bottom"/>
          </w:tcPr>
          <w:p w14:paraId="0AF6B2D0"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 w:val="17"/>
                <w:lang w:val="fr-FR"/>
              </w:rPr>
            </w:pPr>
          </w:p>
        </w:tc>
        <w:tc>
          <w:tcPr>
            <w:tcW w:w="1642" w:type="dxa"/>
            <w:shd w:val="clear" w:color="auto" w:fill="auto"/>
            <w:noWrap/>
            <w:vAlign w:val="bottom"/>
          </w:tcPr>
          <w:p w14:paraId="35368B96"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40 028 </w:t>
            </w:r>
          </w:p>
        </w:tc>
        <w:tc>
          <w:tcPr>
            <w:tcW w:w="1643" w:type="dxa"/>
            <w:shd w:val="clear" w:color="auto" w:fill="auto"/>
            <w:noWrap/>
            <w:vAlign w:val="bottom"/>
          </w:tcPr>
          <w:p w14:paraId="0895D1E9"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32 212</w:t>
            </w:r>
          </w:p>
        </w:tc>
      </w:tr>
      <w:tr w:rsidR="006A2B1E" w:rsidRPr="00A66C9F" w14:paraId="2966D8D6" w14:textId="77777777" w:rsidTr="00107D5D">
        <w:trPr>
          <w:cantSplit/>
        </w:trPr>
        <w:tc>
          <w:tcPr>
            <w:tcW w:w="4590" w:type="dxa"/>
            <w:shd w:val="clear" w:color="auto" w:fill="auto"/>
            <w:noWrap/>
            <w:vAlign w:val="bottom"/>
          </w:tcPr>
          <w:p w14:paraId="56AE5FB0" w14:textId="77777777" w:rsidR="006A2B1E" w:rsidRPr="00A66C9F" w:rsidRDefault="006A2B1E" w:rsidP="00107D5D">
            <w:pPr>
              <w:tabs>
                <w:tab w:val="left" w:pos="288"/>
              </w:tabs>
              <w:suppressAutoHyphens/>
              <w:spacing w:before="40" w:after="40" w:line="210" w:lineRule="exact"/>
              <w:ind w:right="144"/>
              <w:rPr>
                <w:sz w:val="17"/>
                <w:lang w:val="fr-FR"/>
              </w:rPr>
            </w:pPr>
            <w:r w:rsidRPr="00A66C9F">
              <w:rPr>
                <w:sz w:val="17"/>
                <w:lang w:val="fr-FR"/>
              </w:rPr>
              <w:tab/>
              <w:t xml:space="preserve">Audit </w:t>
            </w:r>
          </w:p>
        </w:tc>
        <w:tc>
          <w:tcPr>
            <w:tcW w:w="720" w:type="dxa"/>
            <w:shd w:val="clear" w:color="auto" w:fill="auto"/>
            <w:noWrap/>
            <w:vAlign w:val="bottom"/>
          </w:tcPr>
          <w:p w14:paraId="7A99D08E"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sz w:val="17"/>
                <w:lang w:val="fr-FR"/>
              </w:rPr>
            </w:pPr>
          </w:p>
        </w:tc>
        <w:tc>
          <w:tcPr>
            <w:tcW w:w="1642" w:type="dxa"/>
            <w:shd w:val="clear" w:color="auto" w:fill="auto"/>
            <w:noWrap/>
            <w:vAlign w:val="bottom"/>
          </w:tcPr>
          <w:p w14:paraId="79E2CDD2"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1 631 </w:t>
            </w:r>
          </w:p>
        </w:tc>
        <w:tc>
          <w:tcPr>
            <w:tcW w:w="1643" w:type="dxa"/>
            <w:shd w:val="clear" w:color="auto" w:fill="auto"/>
            <w:noWrap/>
            <w:vAlign w:val="bottom"/>
          </w:tcPr>
          <w:p w14:paraId="0CFEE369"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1 235</w:t>
            </w:r>
          </w:p>
        </w:tc>
      </w:tr>
      <w:tr w:rsidR="006A2B1E" w:rsidRPr="00A66C9F" w14:paraId="588E236B" w14:textId="77777777" w:rsidTr="00107D5D">
        <w:trPr>
          <w:cantSplit/>
        </w:trPr>
        <w:tc>
          <w:tcPr>
            <w:tcW w:w="4590" w:type="dxa"/>
            <w:tcBorders>
              <w:bottom w:val="single" w:sz="4" w:space="0" w:color="auto"/>
            </w:tcBorders>
            <w:shd w:val="clear" w:color="auto" w:fill="auto"/>
            <w:noWrap/>
            <w:vAlign w:val="bottom"/>
          </w:tcPr>
          <w:p w14:paraId="69994B3A" w14:textId="77777777" w:rsidR="006A2B1E" w:rsidRPr="00A66C9F" w:rsidRDefault="006A2B1E" w:rsidP="00107D5D">
            <w:pPr>
              <w:tabs>
                <w:tab w:val="left" w:pos="288"/>
              </w:tabs>
              <w:suppressAutoHyphens/>
              <w:spacing w:before="40" w:after="81" w:line="210" w:lineRule="exact"/>
              <w:ind w:right="144"/>
              <w:rPr>
                <w:sz w:val="17"/>
                <w:lang w:val="fr-FR"/>
              </w:rPr>
            </w:pPr>
            <w:r w:rsidRPr="00A66C9F">
              <w:rPr>
                <w:sz w:val="17"/>
                <w:lang w:val="fr-FR"/>
              </w:rPr>
              <w:tab/>
              <w:t xml:space="preserve">Comité mixte </w:t>
            </w:r>
          </w:p>
        </w:tc>
        <w:tc>
          <w:tcPr>
            <w:tcW w:w="720" w:type="dxa"/>
            <w:tcBorders>
              <w:bottom w:val="single" w:sz="4" w:space="0" w:color="auto"/>
            </w:tcBorders>
            <w:shd w:val="clear" w:color="auto" w:fill="auto"/>
            <w:noWrap/>
            <w:vAlign w:val="bottom"/>
          </w:tcPr>
          <w:p w14:paraId="38E7E6D5"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3"/>
              <w:jc w:val="left"/>
              <w:rPr>
                <w:sz w:val="17"/>
                <w:lang w:val="fr-FR"/>
              </w:rPr>
            </w:pPr>
          </w:p>
        </w:tc>
        <w:tc>
          <w:tcPr>
            <w:tcW w:w="1642" w:type="dxa"/>
            <w:tcBorders>
              <w:bottom w:val="single" w:sz="4" w:space="0" w:color="auto"/>
            </w:tcBorders>
            <w:shd w:val="clear" w:color="auto" w:fill="auto"/>
            <w:noWrap/>
            <w:vAlign w:val="bottom"/>
          </w:tcPr>
          <w:p w14:paraId="338F4F66" w14:textId="77777777" w:rsidR="006A2B1E" w:rsidRPr="00A66C9F" w:rsidRDefault="006A2B1E"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678 </w:t>
            </w:r>
          </w:p>
        </w:tc>
        <w:tc>
          <w:tcPr>
            <w:tcW w:w="1643" w:type="dxa"/>
            <w:tcBorders>
              <w:bottom w:val="single" w:sz="4" w:space="0" w:color="auto"/>
            </w:tcBorders>
            <w:shd w:val="clear" w:color="auto" w:fill="auto"/>
            <w:noWrap/>
            <w:vAlign w:val="bottom"/>
          </w:tcPr>
          <w:p w14:paraId="1BE5C39D" w14:textId="77777777" w:rsidR="006A2B1E" w:rsidRPr="00A66C9F" w:rsidRDefault="006A2B1E"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450</w:t>
            </w:r>
          </w:p>
        </w:tc>
      </w:tr>
      <w:tr w:rsidR="006A2B1E" w:rsidRPr="00A66C9F" w14:paraId="6F40D5EB" w14:textId="77777777" w:rsidTr="00107D5D">
        <w:trPr>
          <w:cantSplit/>
        </w:trPr>
        <w:tc>
          <w:tcPr>
            <w:tcW w:w="4590" w:type="dxa"/>
            <w:tcBorders>
              <w:top w:val="single" w:sz="4" w:space="0" w:color="auto"/>
              <w:bottom w:val="single" w:sz="4" w:space="0" w:color="auto"/>
            </w:tcBorders>
            <w:shd w:val="clear" w:color="auto" w:fill="auto"/>
            <w:noWrap/>
            <w:vAlign w:val="bottom"/>
          </w:tcPr>
          <w:p w14:paraId="5FF1A15A" w14:textId="77777777" w:rsidR="006A2B1E" w:rsidRPr="00A66C9F" w:rsidRDefault="006A2B1E" w:rsidP="00107D5D">
            <w:pPr>
              <w:tabs>
                <w:tab w:val="left" w:pos="288"/>
                <w:tab w:val="left" w:pos="576"/>
                <w:tab w:val="left" w:pos="864"/>
                <w:tab w:val="left" w:pos="1152"/>
              </w:tabs>
              <w:suppressAutoHyphens/>
              <w:spacing w:before="81" w:after="81" w:line="210" w:lineRule="exact"/>
              <w:ind w:left="302" w:right="40" w:hanging="302"/>
              <w:rPr>
                <w:b/>
                <w:sz w:val="17"/>
                <w:lang w:val="fr-FR"/>
              </w:rPr>
            </w:pPr>
          </w:p>
        </w:tc>
        <w:tc>
          <w:tcPr>
            <w:tcW w:w="720" w:type="dxa"/>
            <w:tcBorders>
              <w:top w:val="single" w:sz="4" w:space="0" w:color="auto"/>
              <w:bottom w:val="single" w:sz="4" w:space="0" w:color="auto"/>
            </w:tcBorders>
            <w:shd w:val="clear" w:color="auto" w:fill="auto"/>
            <w:noWrap/>
            <w:vAlign w:val="bottom"/>
          </w:tcPr>
          <w:p w14:paraId="53C7DF99"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3"/>
              <w:jc w:val="left"/>
              <w:rPr>
                <w:b/>
                <w:sz w:val="17"/>
                <w:lang w:val="fr-FR"/>
              </w:rPr>
            </w:pPr>
          </w:p>
        </w:tc>
        <w:tc>
          <w:tcPr>
            <w:tcW w:w="1642" w:type="dxa"/>
            <w:tcBorders>
              <w:top w:val="single" w:sz="4" w:space="0" w:color="auto"/>
              <w:bottom w:val="single" w:sz="4" w:space="0" w:color="auto"/>
            </w:tcBorders>
            <w:shd w:val="clear" w:color="auto" w:fill="auto"/>
            <w:noWrap/>
            <w:vAlign w:val="bottom"/>
          </w:tcPr>
          <w:p w14:paraId="35D9CB9F" w14:textId="77777777" w:rsidR="006A2B1E" w:rsidRPr="00A66C9F" w:rsidRDefault="006A2B1E"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91 765</w:t>
            </w:r>
          </w:p>
        </w:tc>
        <w:tc>
          <w:tcPr>
            <w:tcW w:w="1643" w:type="dxa"/>
            <w:tcBorders>
              <w:top w:val="single" w:sz="4" w:space="0" w:color="auto"/>
              <w:bottom w:val="single" w:sz="4" w:space="0" w:color="auto"/>
            </w:tcBorders>
            <w:shd w:val="clear" w:color="auto" w:fill="auto"/>
            <w:noWrap/>
            <w:vAlign w:val="bottom"/>
          </w:tcPr>
          <w:p w14:paraId="7F6560D5" w14:textId="77777777" w:rsidR="006A2B1E" w:rsidRPr="00A66C9F" w:rsidRDefault="006A2B1E"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70 119</w:t>
            </w:r>
          </w:p>
        </w:tc>
      </w:tr>
      <w:tr w:rsidR="006A2B1E" w:rsidRPr="00A66C9F" w14:paraId="372D129C" w14:textId="77777777" w:rsidTr="00107D5D">
        <w:trPr>
          <w:cantSplit/>
        </w:trPr>
        <w:tc>
          <w:tcPr>
            <w:tcW w:w="4590" w:type="dxa"/>
            <w:tcBorders>
              <w:top w:val="single" w:sz="4" w:space="0" w:color="auto"/>
              <w:bottom w:val="single" w:sz="4" w:space="0" w:color="auto"/>
            </w:tcBorders>
            <w:shd w:val="clear" w:color="auto" w:fill="auto"/>
            <w:noWrap/>
            <w:vAlign w:val="bottom"/>
          </w:tcPr>
          <w:p w14:paraId="255B9308" w14:textId="77777777" w:rsidR="006A2B1E" w:rsidRPr="00A66C9F" w:rsidRDefault="006A2B1E" w:rsidP="00107D5D">
            <w:pPr>
              <w:tabs>
                <w:tab w:val="left" w:pos="288"/>
                <w:tab w:val="left" w:pos="576"/>
                <w:tab w:val="left" w:pos="864"/>
                <w:tab w:val="left" w:pos="1152"/>
              </w:tabs>
              <w:suppressAutoHyphens/>
              <w:spacing w:before="81" w:after="81" w:line="210" w:lineRule="exact"/>
              <w:ind w:left="144" w:right="40" w:hanging="144"/>
              <w:rPr>
                <w:b/>
                <w:bCs/>
                <w:sz w:val="17"/>
                <w:lang w:val="fr-FR"/>
              </w:rPr>
            </w:pPr>
            <w:r w:rsidRPr="00A66C9F">
              <w:rPr>
                <w:b/>
                <w:bCs/>
                <w:sz w:val="17"/>
                <w:lang w:val="fr-FR"/>
              </w:rPr>
              <w:t>Charges diverses</w:t>
            </w:r>
          </w:p>
        </w:tc>
        <w:tc>
          <w:tcPr>
            <w:tcW w:w="720" w:type="dxa"/>
            <w:tcBorders>
              <w:top w:val="single" w:sz="4" w:space="0" w:color="auto"/>
              <w:bottom w:val="single" w:sz="4" w:space="0" w:color="auto"/>
            </w:tcBorders>
            <w:shd w:val="clear" w:color="auto" w:fill="auto"/>
            <w:noWrap/>
            <w:vAlign w:val="bottom"/>
          </w:tcPr>
          <w:p w14:paraId="45245AB8"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3"/>
              <w:jc w:val="left"/>
              <w:rPr>
                <w:sz w:val="17"/>
                <w:lang w:val="fr-FR"/>
              </w:rPr>
            </w:pPr>
            <w:r w:rsidRPr="00A66C9F">
              <w:rPr>
                <w:sz w:val="17"/>
                <w:lang w:val="fr-FR"/>
              </w:rPr>
              <w:t>17</w:t>
            </w:r>
          </w:p>
        </w:tc>
        <w:tc>
          <w:tcPr>
            <w:tcW w:w="1642" w:type="dxa"/>
            <w:tcBorders>
              <w:top w:val="single" w:sz="4" w:space="0" w:color="auto"/>
              <w:bottom w:val="single" w:sz="4" w:space="0" w:color="auto"/>
            </w:tcBorders>
            <w:shd w:val="clear" w:color="auto" w:fill="auto"/>
            <w:noWrap/>
            <w:vAlign w:val="bottom"/>
          </w:tcPr>
          <w:p w14:paraId="1EB92341" w14:textId="77777777" w:rsidR="006A2B1E" w:rsidRPr="00A66C9F" w:rsidRDefault="006A2B1E" w:rsidP="00107D5D">
            <w:pPr>
              <w:tabs>
                <w:tab w:val="left" w:pos="288"/>
                <w:tab w:val="left" w:pos="576"/>
                <w:tab w:val="left" w:pos="864"/>
                <w:tab w:val="left" w:pos="1152"/>
              </w:tabs>
              <w:suppressAutoHyphens/>
              <w:spacing w:before="81" w:after="81" w:line="210" w:lineRule="exact"/>
              <w:ind w:right="43"/>
              <w:jc w:val="right"/>
              <w:rPr>
                <w:sz w:val="17"/>
                <w:lang w:val="fr-FR"/>
              </w:rPr>
            </w:pPr>
            <w:r w:rsidRPr="00A66C9F">
              <w:rPr>
                <w:sz w:val="17"/>
                <w:lang w:val="fr-FR"/>
              </w:rPr>
              <w:t xml:space="preserve"> 952</w:t>
            </w:r>
          </w:p>
        </w:tc>
        <w:tc>
          <w:tcPr>
            <w:tcW w:w="1643" w:type="dxa"/>
            <w:tcBorders>
              <w:top w:val="single" w:sz="4" w:space="0" w:color="auto"/>
              <w:bottom w:val="single" w:sz="4" w:space="0" w:color="auto"/>
            </w:tcBorders>
            <w:shd w:val="clear" w:color="auto" w:fill="auto"/>
            <w:noWrap/>
            <w:vAlign w:val="bottom"/>
          </w:tcPr>
          <w:p w14:paraId="3F8A495C" w14:textId="77777777" w:rsidR="006A2B1E" w:rsidRPr="00A66C9F" w:rsidRDefault="006A2B1E" w:rsidP="00107D5D">
            <w:pPr>
              <w:tabs>
                <w:tab w:val="left" w:pos="288"/>
                <w:tab w:val="left" w:pos="576"/>
                <w:tab w:val="left" w:pos="864"/>
                <w:tab w:val="left" w:pos="1152"/>
              </w:tabs>
              <w:suppressAutoHyphens/>
              <w:spacing w:before="81" w:after="81" w:line="210" w:lineRule="exact"/>
              <w:ind w:right="43"/>
              <w:jc w:val="right"/>
              <w:rPr>
                <w:sz w:val="17"/>
                <w:lang w:val="fr-FR"/>
              </w:rPr>
            </w:pPr>
            <w:r w:rsidRPr="00A66C9F">
              <w:rPr>
                <w:sz w:val="17"/>
                <w:lang w:val="fr-FR"/>
              </w:rPr>
              <w:t>819</w:t>
            </w:r>
          </w:p>
        </w:tc>
      </w:tr>
      <w:tr w:rsidR="006A2B1E" w:rsidRPr="00A66C9F" w14:paraId="40D3E712" w14:textId="77777777" w:rsidTr="00107D5D">
        <w:trPr>
          <w:cantSplit/>
        </w:trPr>
        <w:tc>
          <w:tcPr>
            <w:tcW w:w="4590" w:type="dxa"/>
            <w:tcBorders>
              <w:top w:val="single" w:sz="4" w:space="0" w:color="auto"/>
              <w:bottom w:val="single" w:sz="12" w:space="0" w:color="auto"/>
            </w:tcBorders>
            <w:shd w:val="clear" w:color="auto" w:fill="auto"/>
            <w:noWrap/>
            <w:vAlign w:val="bottom"/>
          </w:tcPr>
          <w:p w14:paraId="572FA963" w14:textId="77777777" w:rsidR="006A2B1E" w:rsidRPr="00A66C9F" w:rsidRDefault="006A2B1E" w:rsidP="00107D5D">
            <w:pPr>
              <w:tabs>
                <w:tab w:val="left" w:pos="288"/>
                <w:tab w:val="left" w:pos="576"/>
                <w:tab w:val="left" w:pos="864"/>
                <w:tab w:val="left" w:pos="1152"/>
              </w:tabs>
              <w:suppressAutoHyphens/>
              <w:spacing w:before="81" w:after="81" w:line="210" w:lineRule="exact"/>
              <w:ind w:left="302" w:right="40" w:hanging="302"/>
              <w:rPr>
                <w:b/>
                <w:sz w:val="17"/>
                <w:lang w:val="fr-FR"/>
              </w:rPr>
            </w:pPr>
            <w:r w:rsidRPr="00A66C9F">
              <w:rPr>
                <w:b/>
                <w:sz w:val="17"/>
                <w:lang w:val="fr-FR"/>
              </w:rPr>
              <w:tab/>
              <w:t>Augmentation/(diminution) de l’actif net disponible pour le versement des prestations</w:t>
            </w:r>
          </w:p>
        </w:tc>
        <w:tc>
          <w:tcPr>
            <w:tcW w:w="720" w:type="dxa"/>
            <w:tcBorders>
              <w:top w:val="single" w:sz="4" w:space="0" w:color="auto"/>
              <w:bottom w:val="single" w:sz="12" w:space="0" w:color="auto"/>
            </w:tcBorders>
            <w:shd w:val="clear" w:color="auto" w:fill="auto"/>
            <w:noWrap/>
            <w:vAlign w:val="bottom"/>
          </w:tcPr>
          <w:p w14:paraId="5A821614"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3"/>
              <w:jc w:val="left"/>
              <w:rPr>
                <w:b/>
                <w:sz w:val="17"/>
                <w:lang w:val="fr-FR"/>
              </w:rPr>
            </w:pPr>
          </w:p>
        </w:tc>
        <w:tc>
          <w:tcPr>
            <w:tcW w:w="1642" w:type="dxa"/>
            <w:tcBorders>
              <w:top w:val="single" w:sz="4" w:space="0" w:color="auto"/>
              <w:bottom w:val="single" w:sz="12" w:space="0" w:color="auto"/>
            </w:tcBorders>
            <w:shd w:val="clear" w:color="auto" w:fill="auto"/>
            <w:noWrap/>
            <w:vAlign w:val="bottom"/>
          </w:tcPr>
          <w:p w14:paraId="4B95D24F" w14:textId="77777777" w:rsidR="006A2B1E" w:rsidRPr="00A66C9F" w:rsidRDefault="006A2B1E"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11 258 431</w:t>
            </w:r>
          </w:p>
        </w:tc>
        <w:tc>
          <w:tcPr>
            <w:tcW w:w="1643" w:type="dxa"/>
            <w:tcBorders>
              <w:top w:val="single" w:sz="4" w:space="0" w:color="auto"/>
              <w:bottom w:val="single" w:sz="12" w:space="0" w:color="auto"/>
            </w:tcBorders>
            <w:shd w:val="clear" w:color="auto" w:fill="auto"/>
            <w:noWrap/>
            <w:vAlign w:val="bottom"/>
          </w:tcPr>
          <w:p w14:paraId="4DB200C2" w14:textId="77777777" w:rsidR="006A2B1E" w:rsidRPr="00A66C9F" w:rsidRDefault="006A2B1E"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(3 589 861)</w:t>
            </w:r>
          </w:p>
        </w:tc>
      </w:tr>
    </w:tbl>
    <w:p w14:paraId="1C547A27" w14:textId="77777777" w:rsidR="006A2B1E" w:rsidRPr="00A66C9F" w:rsidRDefault="006A2B1E" w:rsidP="006A2B1E">
      <w:pPr>
        <w:pStyle w:val="SingleTxt"/>
        <w:spacing w:after="0" w:line="120" w:lineRule="exact"/>
        <w:rPr>
          <w:sz w:val="10"/>
          <w:lang w:val="fr-FR"/>
        </w:rPr>
      </w:pPr>
    </w:p>
    <w:p w14:paraId="6FDEF11F" w14:textId="77777777" w:rsidR="006A2B1E" w:rsidRPr="00A66C9F" w:rsidRDefault="006A2B1E" w:rsidP="006A2B1E">
      <w:pPr>
        <w:pStyle w:val="FootnoteText"/>
        <w:tabs>
          <w:tab w:val="right" w:pos="1476"/>
          <w:tab w:val="left" w:pos="1548"/>
          <w:tab w:val="right" w:pos="1836"/>
          <w:tab w:val="left" w:pos="1908"/>
        </w:tabs>
        <w:ind w:left="1548" w:right="1267" w:hanging="288"/>
        <w:rPr>
          <w:lang w:val="fr-FR"/>
        </w:rPr>
      </w:pPr>
      <w:r w:rsidRPr="00A66C9F">
        <w:rPr>
          <w:lang w:val="fr-FR"/>
        </w:rPr>
        <w:tab/>
        <w:t>Les notes explicatives font partie intégrante des présents états financiers.</w:t>
      </w:r>
    </w:p>
    <w:p w14:paraId="56D532FD" w14:textId="77777777" w:rsidR="006A2B1E" w:rsidRPr="00A66C9F" w:rsidRDefault="006A2B1E" w:rsidP="006A2B1E">
      <w:pPr>
        <w:pStyle w:val="SingleTxt"/>
        <w:rPr>
          <w:lang w:val="fr-FR"/>
        </w:rPr>
      </w:pPr>
    </w:p>
    <w:p w14:paraId="4C11F025" w14:textId="77777777" w:rsidR="006A2B1E" w:rsidRPr="00A66C9F" w:rsidRDefault="006A2B1E" w:rsidP="006A2B1E">
      <w:pPr>
        <w:spacing w:after="200" w:line="276" w:lineRule="auto"/>
        <w:rPr>
          <w:lang w:val="fr-FR"/>
        </w:rPr>
      </w:pPr>
      <w:r w:rsidRPr="00A66C9F">
        <w:rPr>
          <w:lang w:val="fr-FR"/>
        </w:rPr>
        <w:br w:type="page"/>
      </w:r>
    </w:p>
    <w:p w14:paraId="6736AC48" w14:textId="77777777" w:rsidR="006A2B1E" w:rsidRPr="00A66C9F" w:rsidRDefault="006A2B1E" w:rsidP="006A2B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lastRenderedPageBreak/>
        <w:tab/>
      </w:r>
      <w:r w:rsidRPr="00A66C9F">
        <w:rPr>
          <w:lang w:val="fr-FR"/>
        </w:rPr>
        <w:tab/>
        <w:t>Caisse commune des pensions du personnel des Nations Unies</w:t>
      </w:r>
    </w:p>
    <w:p w14:paraId="377C3520" w14:textId="77777777" w:rsidR="006A2B1E" w:rsidRPr="00A66C9F" w:rsidRDefault="006A2B1E" w:rsidP="006A2B1E">
      <w:pPr>
        <w:spacing w:line="120" w:lineRule="exact"/>
        <w:rPr>
          <w:sz w:val="10"/>
          <w:lang w:val="fr-FR"/>
        </w:rPr>
      </w:pPr>
    </w:p>
    <w:p w14:paraId="330EE6D7" w14:textId="77777777" w:rsidR="006A2B1E" w:rsidRPr="00A66C9F" w:rsidRDefault="006A2B1E" w:rsidP="006A2B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8" w:name="_Toc38529163"/>
      <w:r w:rsidRPr="00A66C9F">
        <w:rPr>
          <w:lang w:val="fr-FR"/>
        </w:rPr>
        <w:tab/>
      </w:r>
      <w:r w:rsidRPr="00A66C9F">
        <w:rPr>
          <w:lang w:val="fr-FR"/>
        </w:rPr>
        <w:tab/>
        <w:t>III. État des flux de trésorerie</w:t>
      </w:r>
      <w:bookmarkEnd w:id="18"/>
    </w:p>
    <w:p w14:paraId="5DBA9441" w14:textId="77777777" w:rsidR="006A2B1E" w:rsidRPr="00A66C9F" w:rsidRDefault="006A2B1E" w:rsidP="006A2B1E">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lang w:val="fr-FR"/>
        </w:rPr>
        <w:tab/>
      </w:r>
      <w:r w:rsidRPr="00A66C9F">
        <w:rPr>
          <w:lang w:val="fr-FR"/>
        </w:rPr>
        <w:tab/>
      </w:r>
      <w:r w:rsidRPr="00A66C9F">
        <w:rPr>
          <w:sz w:val="14"/>
          <w:szCs w:val="14"/>
          <w:lang w:val="fr-FR"/>
        </w:rPr>
        <w:t>(En milliers de dollars des États-Unis)</w:t>
      </w:r>
    </w:p>
    <w:p w14:paraId="59D66CC2" w14:textId="77777777" w:rsidR="006A2B1E" w:rsidRPr="00A66C9F" w:rsidRDefault="006A2B1E" w:rsidP="006A2B1E">
      <w:pPr>
        <w:spacing w:line="120" w:lineRule="exact"/>
        <w:rPr>
          <w:sz w:val="10"/>
          <w:lang w:val="fr-FR"/>
        </w:rPr>
      </w:pPr>
    </w:p>
    <w:p w14:paraId="121744F1" w14:textId="77777777" w:rsidR="006A2B1E" w:rsidRPr="00A66C9F" w:rsidRDefault="006A2B1E" w:rsidP="006A2B1E">
      <w:pPr>
        <w:spacing w:line="120" w:lineRule="exact"/>
        <w:rPr>
          <w:sz w:val="10"/>
          <w:lang w:val="fr-FR"/>
        </w:rPr>
      </w:pPr>
    </w:p>
    <w:tbl>
      <w:tblPr>
        <w:tblW w:w="8582" w:type="dxa"/>
        <w:tblInd w:w="1267" w:type="dxa"/>
        <w:tblLayout w:type="fixed"/>
        <w:tblCellMar>
          <w:left w:w="0" w:type="dxa"/>
          <w:right w:w="0" w:type="dxa"/>
        </w:tblCellMar>
        <w:tblLook w:val="04A0" w:firstRow="1" w:lastRow="0" w:firstColumn="1" w:lastColumn="0" w:noHBand="0" w:noVBand="1"/>
      </w:tblPr>
      <w:tblGrid>
        <w:gridCol w:w="4790"/>
        <w:gridCol w:w="909"/>
        <w:gridCol w:w="1441"/>
        <w:gridCol w:w="1442"/>
      </w:tblGrid>
      <w:tr w:rsidR="006A2B1E" w:rsidRPr="00A66C9F" w14:paraId="1F0D9A41" w14:textId="77777777" w:rsidTr="00107D5D">
        <w:trPr>
          <w:cantSplit/>
          <w:tblHeader/>
        </w:trPr>
        <w:tc>
          <w:tcPr>
            <w:tcW w:w="4790" w:type="dxa"/>
            <w:tcBorders>
              <w:top w:val="single" w:sz="4" w:space="0" w:color="auto"/>
              <w:bottom w:val="single" w:sz="12" w:space="0" w:color="auto"/>
            </w:tcBorders>
            <w:shd w:val="clear" w:color="auto" w:fill="auto"/>
            <w:noWrap/>
            <w:vAlign w:val="bottom"/>
            <w:hideMark/>
          </w:tcPr>
          <w:p w14:paraId="21BC8BB3" w14:textId="77777777" w:rsidR="006A2B1E" w:rsidRPr="00A66C9F" w:rsidRDefault="006A2B1E" w:rsidP="00107D5D">
            <w:pPr>
              <w:spacing w:line="240" w:lineRule="auto"/>
              <w:ind w:right="-198"/>
              <w:jc w:val="both"/>
              <w:rPr>
                <w:rFonts w:eastAsia="Times New Roman"/>
                <w:color w:val="000000"/>
                <w:spacing w:val="0"/>
                <w:w w:val="100"/>
                <w:kern w:val="0"/>
                <w:sz w:val="17"/>
                <w:szCs w:val="17"/>
                <w:lang w:val="fr-FR"/>
              </w:rPr>
            </w:pPr>
          </w:p>
        </w:tc>
        <w:tc>
          <w:tcPr>
            <w:tcW w:w="909" w:type="dxa"/>
            <w:tcBorders>
              <w:top w:val="single" w:sz="4" w:space="0" w:color="auto"/>
              <w:bottom w:val="single" w:sz="12" w:space="0" w:color="auto"/>
            </w:tcBorders>
            <w:shd w:val="clear" w:color="auto" w:fill="auto"/>
            <w:noWrap/>
            <w:vAlign w:val="bottom"/>
          </w:tcPr>
          <w:p w14:paraId="594803B4" w14:textId="77777777" w:rsidR="006A2B1E" w:rsidRPr="00A66C9F" w:rsidRDefault="006A2B1E" w:rsidP="00107D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b/>
                <w:sz w:val="17"/>
                <w:lang w:val="fr-FR"/>
              </w:rPr>
            </w:pPr>
            <w:r w:rsidRPr="00A66C9F">
              <w:rPr>
                <w:i/>
                <w:sz w:val="14"/>
                <w:szCs w:val="20"/>
                <w:lang w:val="fr-FR"/>
              </w:rPr>
              <w:t>Notes</w:t>
            </w:r>
          </w:p>
        </w:tc>
        <w:tc>
          <w:tcPr>
            <w:tcW w:w="1441" w:type="dxa"/>
            <w:tcBorders>
              <w:top w:val="single" w:sz="4" w:space="0" w:color="auto"/>
              <w:bottom w:val="single" w:sz="12" w:space="0" w:color="auto"/>
            </w:tcBorders>
            <w:shd w:val="clear" w:color="auto" w:fill="auto"/>
            <w:noWrap/>
            <w:vAlign w:val="bottom"/>
          </w:tcPr>
          <w:p w14:paraId="3AC2FAA4" w14:textId="77777777" w:rsidR="006A2B1E" w:rsidRPr="00A66C9F" w:rsidRDefault="006A2B1E" w:rsidP="00107D5D">
            <w:pPr>
              <w:suppressAutoHyphens/>
              <w:spacing w:before="81" w:after="81" w:line="160" w:lineRule="exact"/>
              <w:ind w:right="43"/>
              <w:jc w:val="right"/>
              <w:rPr>
                <w:i/>
                <w:sz w:val="14"/>
                <w:lang w:val="fr-FR"/>
              </w:rPr>
            </w:pPr>
            <w:r w:rsidRPr="00A66C9F">
              <w:rPr>
                <w:i/>
                <w:sz w:val="14"/>
                <w:lang w:val="fr-FR"/>
              </w:rPr>
              <w:t xml:space="preserve"> 2019</w:t>
            </w:r>
          </w:p>
        </w:tc>
        <w:tc>
          <w:tcPr>
            <w:tcW w:w="1442" w:type="dxa"/>
            <w:tcBorders>
              <w:top w:val="single" w:sz="4" w:space="0" w:color="auto"/>
              <w:bottom w:val="single" w:sz="12" w:space="0" w:color="auto"/>
            </w:tcBorders>
            <w:shd w:val="clear" w:color="auto" w:fill="auto"/>
            <w:noWrap/>
            <w:vAlign w:val="bottom"/>
            <w:hideMark/>
          </w:tcPr>
          <w:p w14:paraId="65162EC8" w14:textId="77777777" w:rsidR="006A2B1E" w:rsidRPr="00A66C9F" w:rsidRDefault="006A2B1E" w:rsidP="00107D5D">
            <w:pPr>
              <w:suppressAutoHyphens/>
              <w:spacing w:before="81" w:after="81" w:line="160" w:lineRule="exact"/>
              <w:ind w:right="43"/>
              <w:jc w:val="right"/>
              <w:rPr>
                <w:i/>
                <w:sz w:val="14"/>
                <w:lang w:val="fr-FR"/>
              </w:rPr>
            </w:pPr>
            <w:r w:rsidRPr="00A66C9F">
              <w:rPr>
                <w:i/>
                <w:sz w:val="14"/>
                <w:lang w:val="fr-FR"/>
              </w:rPr>
              <w:t>2018</w:t>
            </w:r>
          </w:p>
        </w:tc>
      </w:tr>
      <w:tr w:rsidR="006A2B1E" w:rsidRPr="00A66C9F" w14:paraId="191E8768" w14:textId="77777777" w:rsidTr="00107D5D">
        <w:trPr>
          <w:cantSplit/>
          <w:trHeight w:hRule="exact" w:val="115"/>
          <w:tblHeader/>
        </w:trPr>
        <w:tc>
          <w:tcPr>
            <w:tcW w:w="4790" w:type="dxa"/>
            <w:tcBorders>
              <w:top w:val="single" w:sz="12" w:space="0" w:color="auto"/>
            </w:tcBorders>
            <w:shd w:val="clear" w:color="auto" w:fill="auto"/>
            <w:noWrap/>
            <w:vAlign w:val="bottom"/>
          </w:tcPr>
          <w:p w14:paraId="67E38328" w14:textId="77777777" w:rsidR="006A2B1E" w:rsidRPr="00A66C9F" w:rsidRDefault="006A2B1E" w:rsidP="00107D5D">
            <w:pPr>
              <w:spacing w:line="240" w:lineRule="auto"/>
              <w:ind w:right="-198"/>
              <w:jc w:val="both"/>
              <w:rPr>
                <w:rFonts w:eastAsia="Times New Roman"/>
                <w:color w:val="000000"/>
                <w:spacing w:val="0"/>
                <w:w w:val="100"/>
                <w:kern w:val="0"/>
                <w:sz w:val="17"/>
                <w:szCs w:val="17"/>
                <w:lang w:val="fr-FR"/>
              </w:rPr>
            </w:pPr>
          </w:p>
        </w:tc>
        <w:tc>
          <w:tcPr>
            <w:tcW w:w="909" w:type="dxa"/>
            <w:tcBorders>
              <w:top w:val="single" w:sz="12" w:space="0" w:color="auto"/>
            </w:tcBorders>
            <w:shd w:val="clear" w:color="auto" w:fill="auto"/>
            <w:noWrap/>
            <w:vAlign w:val="bottom"/>
          </w:tcPr>
          <w:p w14:paraId="1E2B83AE" w14:textId="77777777" w:rsidR="006A2B1E" w:rsidRPr="00A66C9F" w:rsidRDefault="006A2B1E" w:rsidP="00107D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szCs w:val="20"/>
                <w:lang w:val="fr-FR"/>
              </w:rPr>
            </w:pPr>
          </w:p>
        </w:tc>
        <w:tc>
          <w:tcPr>
            <w:tcW w:w="1441" w:type="dxa"/>
            <w:tcBorders>
              <w:top w:val="single" w:sz="12" w:space="0" w:color="auto"/>
            </w:tcBorders>
            <w:shd w:val="clear" w:color="auto" w:fill="auto"/>
            <w:noWrap/>
            <w:vAlign w:val="bottom"/>
          </w:tcPr>
          <w:p w14:paraId="06675E24" w14:textId="77777777" w:rsidR="006A2B1E" w:rsidRPr="00A66C9F" w:rsidRDefault="006A2B1E" w:rsidP="00107D5D">
            <w:pPr>
              <w:suppressAutoHyphens/>
              <w:spacing w:before="81" w:after="81" w:line="160" w:lineRule="exact"/>
              <w:ind w:right="43"/>
              <w:jc w:val="right"/>
              <w:rPr>
                <w:i/>
                <w:sz w:val="14"/>
                <w:lang w:val="fr-FR"/>
              </w:rPr>
            </w:pPr>
          </w:p>
        </w:tc>
        <w:tc>
          <w:tcPr>
            <w:tcW w:w="1442" w:type="dxa"/>
            <w:tcBorders>
              <w:top w:val="single" w:sz="12" w:space="0" w:color="auto"/>
            </w:tcBorders>
            <w:shd w:val="clear" w:color="auto" w:fill="auto"/>
            <w:noWrap/>
            <w:vAlign w:val="bottom"/>
          </w:tcPr>
          <w:p w14:paraId="469339D5" w14:textId="77777777" w:rsidR="006A2B1E" w:rsidRPr="00A66C9F" w:rsidRDefault="006A2B1E" w:rsidP="00107D5D">
            <w:pPr>
              <w:suppressAutoHyphens/>
              <w:spacing w:before="81" w:after="81" w:line="160" w:lineRule="exact"/>
              <w:ind w:right="43"/>
              <w:jc w:val="right"/>
              <w:rPr>
                <w:i/>
                <w:sz w:val="14"/>
                <w:lang w:val="fr-FR"/>
              </w:rPr>
            </w:pPr>
          </w:p>
        </w:tc>
      </w:tr>
      <w:tr w:rsidR="006A2B1E" w:rsidRPr="00A66C9F" w14:paraId="10B23A63" w14:textId="77777777" w:rsidTr="00107D5D">
        <w:trPr>
          <w:cantSplit/>
        </w:trPr>
        <w:tc>
          <w:tcPr>
            <w:tcW w:w="4790" w:type="dxa"/>
            <w:shd w:val="clear" w:color="auto" w:fill="auto"/>
            <w:noWrap/>
            <w:hideMark/>
          </w:tcPr>
          <w:p w14:paraId="433D7141" w14:textId="77777777" w:rsidR="006A2B1E" w:rsidRPr="00A66C9F" w:rsidRDefault="006A2B1E" w:rsidP="00107D5D">
            <w:pPr>
              <w:spacing w:before="40" w:after="40" w:line="210" w:lineRule="exact"/>
              <w:ind w:right="43"/>
              <w:rPr>
                <w:rFonts w:asciiTheme="majorBidi" w:eastAsia="Times New Roman" w:hAnsiTheme="majorBidi" w:cstheme="majorBidi"/>
                <w:b/>
                <w:bCs/>
                <w:color w:val="000000"/>
                <w:spacing w:val="0"/>
                <w:w w:val="100"/>
                <w:kern w:val="0"/>
                <w:sz w:val="17"/>
                <w:szCs w:val="17"/>
                <w:lang w:val="fr-FR"/>
              </w:rPr>
            </w:pPr>
            <w:r w:rsidRPr="00A66C9F">
              <w:rPr>
                <w:rFonts w:asciiTheme="majorBidi" w:eastAsia="Times New Roman" w:hAnsiTheme="majorBidi" w:cstheme="majorBidi"/>
                <w:b/>
                <w:bCs/>
                <w:color w:val="000000"/>
                <w:spacing w:val="0"/>
                <w:w w:val="100"/>
                <w:kern w:val="0"/>
                <w:sz w:val="17"/>
                <w:szCs w:val="17"/>
                <w:lang w:val="fr-FR"/>
              </w:rPr>
              <w:t>Flux de trésorerie provenant des activités d’investissement</w:t>
            </w:r>
          </w:p>
        </w:tc>
        <w:tc>
          <w:tcPr>
            <w:tcW w:w="909" w:type="dxa"/>
            <w:shd w:val="clear" w:color="auto" w:fill="auto"/>
            <w:noWrap/>
            <w:vAlign w:val="bottom"/>
            <w:hideMark/>
          </w:tcPr>
          <w:p w14:paraId="272EA79A"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rFonts w:asciiTheme="majorBidi" w:hAnsiTheme="majorBidi" w:cstheme="majorBidi"/>
                <w:b/>
                <w:sz w:val="17"/>
                <w:szCs w:val="17"/>
                <w:lang w:val="fr-FR"/>
              </w:rPr>
            </w:pPr>
          </w:p>
        </w:tc>
        <w:tc>
          <w:tcPr>
            <w:tcW w:w="1441" w:type="dxa"/>
            <w:shd w:val="clear" w:color="auto" w:fill="auto"/>
            <w:noWrap/>
            <w:vAlign w:val="bottom"/>
          </w:tcPr>
          <w:p w14:paraId="43E08262"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rFonts w:asciiTheme="majorBidi" w:hAnsiTheme="majorBidi" w:cstheme="majorBidi"/>
                <w:sz w:val="17"/>
                <w:szCs w:val="17"/>
                <w:lang w:val="fr-FR"/>
              </w:rPr>
            </w:pPr>
          </w:p>
        </w:tc>
        <w:tc>
          <w:tcPr>
            <w:tcW w:w="1442" w:type="dxa"/>
            <w:shd w:val="clear" w:color="auto" w:fill="auto"/>
            <w:noWrap/>
            <w:vAlign w:val="bottom"/>
          </w:tcPr>
          <w:p w14:paraId="16F6AF5D"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rFonts w:asciiTheme="majorBidi" w:hAnsiTheme="majorBidi" w:cstheme="majorBidi"/>
                <w:sz w:val="17"/>
                <w:szCs w:val="17"/>
                <w:lang w:val="fr-FR"/>
              </w:rPr>
            </w:pPr>
          </w:p>
        </w:tc>
      </w:tr>
      <w:tr w:rsidR="006A2B1E" w:rsidRPr="00A66C9F" w14:paraId="24B6A4D5" w14:textId="77777777" w:rsidTr="00107D5D">
        <w:trPr>
          <w:cantSplit/>
        </w:trPr>
        <w:tc>
          <w:tcPr>
            <w:tcW w:w="4790" w:type="dxa"/>
            <w:shd w:val="clear" w:color="auto" w:fill="auto"/>
            <w:noWrap/>
            <w:hideMark/>
          </w:tcPr>
          <w:p w14:paraId="207692E7"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rPr>
                <w:rFonts w:asciiTheme="majorBidi" w:eastAsia="Times New Roman" w:hAnsiTheme="majorBidi" w:cstheme="majorBidi"/>
                <w:color w:val="000000"/>
                <w:spacing w:val="0"/>
                <w:w w:val="100"/>
                <w:kern w:val="0"/>
                <w:sz w:val="17"/>
                <w:szCs w:val="17"/>
                <w:lang w:val="fr-FR"/>
              </w:rPr>
            </w:pPr>
            <w:r w:rsidRPr="00A66C9F">
              <w:rPr>
                <w:rFonts w:asciiTheme="majorBidi" w:eastAsia="Times New Roman" w:hAnsiTheme="majorBidi" w:cstheme="majorBidi"/>
                <w:color w:val="000000"/>
                <w:spacing w:val="0"/>
                <w:w w:val="100"/>
                <w:kern w:val="0"/>
                <w:sz w:val="17"/>
                <w:szCs w:val="17"/>
                <w:lang w:val="fr-FR"/>
              </w:rPr>
              <w:tab/>
              <w:t>Achats d’investissements</w:t>
            </w:r>
          </w:p>
        </w:tc>
        <w:tc>
          <w:tcPr>
            <w:tcW w:w="909" w:type="dxa"/>
            <w:shd w:val="clear" w:color="auto" w:fill="auto"/>
            <w:noWrap/>
            <w:vAlign w:val="bottom"/>
          </w:tcPr>
          <w:p w14:paraId="7FEE5E76"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rFonts w:asciiTheme="majorBidi" w:hAnsiTheme="majorBidi" w:cstheme="majorBidi"/>
                <w:b/>
                <w:sz w:val="17"/>
                <w:szCs w:val="17"/>
                <w:lang w:val="fr-FR"/>
              </w:rPr>
            </w:pPr>
          </w:p>
        </w:tc>
        <w:tc>
          <w:tcPr>
            <w:tcW w:w="1441" w:type="dxa"/>
            <w:shd w:val="clear" w:color="auto" w:fill="auto"/>
            <w:noWrap/>
            <w:vAlign w:val="bottom"/>
          </w:tcPr>
          <w:p w14:paraId="76AADE0F"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rFonts w:asciiTheme="majorBidi" w:hAnsiTheme="majorBidi" w:cstheme="majorBidi"/>
                <w:sz w:val="17"/>
                <w:szCs w:val="17"/>
                <w:lang w:val="fr-FR"/>
              </w:rPr>
            </w:pPr>
            <w:r w:rsidRPr="00A66C9F">
              <w:rPr>
                <w:rFonts w:asciiTheme="majorBidi" w:hAnsiTheme="majorBidi" w:cstheme="majorBidi"/>
                <w:sz w:val="17"/>
                <w:szCs w:val="17"/>
                <w:lang w:val="fr-FR"/>
              </w:rPr>
              <w:t>(48 917 774)</w:t>
            </w:r>
          </w:p>
        </w:tc>
        <w:tc>
          <w:tcPr>
            <w:tcW w:w="1442" w:type="dxa"/>
            <w:shd w:val="clear" w:color="auto" w:fill="auto"/>
            <w:noWrap/>
            <w:vAlign w:val="bottom"/>
          </w:tcPr>
          <w:p w14:paraId="1415D5C5"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rFonts w:asciiTheme="majorBidi" w:hAnsiTheme="majorBidi" w:cstheme="majorBidi"/>
                <w:sz w:val="17"/>
                <w:szCs w:val="17"/>
                <w:lang w:val="fr-FR"/>
              </w:rPr>
            </w:pPr>
            <w:r w:rsidRPr="00A66C9F">
              <w:rPr>
                <w:rFonts w:asciiTheme="majorBidi" w:hAnsiTheme="majorBidi" w:cstheme="majorBidi"/>
                <w:sz w:val="17"/>
                <w:szCs w:val="17"/>
                <w:lang w:val="fr-FR"/>
              </w:rPr>
              <w:t>(25 154 053)</w:t>
            </w:r>
          </w:p>
        </w:tc>
      </w:tr>
      <w:tr w:rsidR="006A2B1E" w:rsidRPr="00A66C9F" w14:paraId="2B8847B8" w14:textId="77777777" w:rsidTr="00107D5D">
        <w:trPr>
          <w:cantSplit/>
        </w:trPr>
        <w:tc>
          <w:tcPr>
            <w:tcW w:w="4790" w:type="dxa"/>
            <w:shd w:val="clear" w:color="auto" w:fill="auto"/>
            <w:noWrap/>
            <w:hideMark/>
          </w:tcPr>
          <w:p w14:paraId="0DDE570C" w14:textId="77777777" w:rsidR="006A2B1E" w:rsidRPr="00A66C9F" w:rsidRDefault="006A2B1E" w:rsidP="00107D5D">
            <w:pPr>
              <w:tabs>
                <w:tab w:val="left" w:pos="288"/>
                <w:tab w:val="left" w:pos="576"/>
                <w:tab w:val="left" w:pos="864"/>
                <w:tab w:val="left" w:pos="1152"/>
              </w:tabs>
              <w:suppressAutoHyphens/>
              <w:spacing w:before="40" w:after="40" w:line="210" w:lineRule="exact"/>
              <w:ind w:left="288" w:right="43" w:hanging="288"/>
              <w:rPr>
                <w:rFonts w:asciiTheme="majorBidi" w:hAnsiTheme="majorBidi" w:cstheme="majorBidi"/>
                <w:sz w:val="17"/>
                <w:szCs w:val="17"/>
                <w:lang w:val="fr-FR"/>
              </w:rPr>
            </w:pPr>
            <w:r w:rsidRPr="00A66C9F">
              <w:rPr>
                <w:rFonts w:asciiTheme="majorBidi" w:hAnsiTheme="majorBidi" w:cstheme="majorBidi"/>
                <w:sz w:val="17"/>
                <w:szCs w:val="17"/>
                <w:lang w:val="fr-FR"/>
              </w:rPr>
              <w:tab/>
              <w:t>Produits provenant de la vente de placements et de remboursements anticipés au gré de l’émetteur</w:t>
            </w:r>
          </w:p>
        </w:tc>
        <w:tc>
          <w:tcPr>
            <w:tcW w:w="909" w:type="dxa"/>
            <w:shd w:val="clear" w:color="auto" w:fill="auto"/>
            <w:noWrap/>
            <w:vAlign w:val="bottom"/>
          </w:tcPr>
          <w:p w14:paraId="25BE2EC5"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rFonts w:asciiTheme="majorBidi" w:hAnsiTheme="majorBidi" w:cstheme="majorBidi"/>
                <w:b/>
                <w:sz w:val="17"/>
                <w:szCs w:val="17"/>
                <w:lang w:val="fr-FR"/>
              </w:rPr>
            </w:pPr>
          </w:p>
        </w:tc>
        <w:tc>
          <w:tcPr>
            <w:tcW w:w="1441" w:type="dxa"/>
            <w:shd w:val="clear" w:color="auto" w:fill="auto"/>
            <w:noWrap/>
            <w:vAlign w:val="bottom"/>
          </w:tcPr>
          <w:p w14:paraId="0C14F304"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rFonts w:asciiTheme="majorBidi" w:hAnsiTheme="majorBidi" w:cstheme="majorBidi"/>
                <w:sz w:val="17"/>
                <w:szCs w:val="17"/>
                <w:lang w:val="fr-FR"/>
              </w:rPr>
            </w:pPr>
            <w:r w:rsidRPr="00A66C9F">
              <w:rPr>
                <w:rFonts w:asciiTheme="majorBidi" w:hAnsiTheme="majorBidi" w:cstheme="majorBidi"/>
                <w:sz w:val="17"/>
                <w:szCs w:val="17"/>
                <w:lang w:val="fr-FR"/>
              </w:rPr>
              <w:t xml:space="preserve"> 47 553 775 </w:t>
            </w:r>
          </w:p>
        </w:tc>
        <w:tc>
          <w:tcPr>
            <w:tcW w:w="1442" w:type="dxa"/>
            <w:shd w:val="clear" w:color="auto" w:fill="auto"/>
            <w:noWrap/>
            <w:vAlign w:val="bottom"/>
          </w:tcPr>
          <w:p w14:paraId="1ABBA3D1"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rFonts w:asciiTheme="majorBidi" w:hAnsiTheme="majorBidi" w:cstheme="majorBidi"/>
                <w:sz w:val="17"/>
                <w:szCs w:val="17"/>
                <w:lang w:val="fr-FR"/>
              </w:rPr>
            </w:pPr>
            <w:r w:rsidRPr="00A66C9F">
              <w:rPr>
                <w:rFonts w:asciiTheme="majorBidi" w:hAnsiTheme="majorBidi" w:cstheme="majorBidi"/>
                <w:sz w:val="17"/>
                <w:szCs w:val="17"/>
                <w:lang w:val="fr-FR"/>
              </w:rPr>
              <w:t>23 932 026</w:t>
            </w:r>
          </w:p>
        </w:tc>
      </w:tr>
      <w:tr w:rsidR="006A2B1E" w:rsidRPr="00A66C9F" w14:paraId="202AFB3C" w14:textId="77777777" w:rsidTr="00107D5D">
        <w:trPr>
          <w:cantSplit/>
        </w:trPr>
        <w:tc>
          <w:tcPr>
            <w:tcW w:w="4790" w:type="dxa"/>
            <w:shd w:val="clear" w:color="auto" w:fill="auto"/>
            <w:noWrap/>
            <w:hideMark/>
          </w:tcPr>
          <w:p w14:paraId="26341990" w14:textId="77777777" w:rsidR="006A2B1E" w:rsidRPr="00A66C9F" w:rsidRDefault="006A2B1E" w:rsidP="00107D5D">
            <w:pPr>
              <w:tabs>
                <w:tab w:val="left" w:pos="288"/>
                <w:tab w:val="left" w:pos="576"/>
                <w:tab w:val="left" w:pos="864"/>
                <w:tab w:val="left" w:pos="1152"/>
              </w:tabs>
              <w:suppressAutoHyphens/>
              <w:spacing w:before="40" w:after="40" w:line="210" w:lineRule="exact"/>
              <w:ind w:left="288" w:right="43" w:hanging="288"/>
              <w:rPr>
                <w:rFonts w:asciiTheme="majorBidi" w:hAnsiTheme="majorBidi" w:cstheme="majorBidi"/>
                <w:sz w:val="17"/>
                <w:szCs w:val="17"/>
                <w:lang w:val="fr-FR"/>
              </w:rPr>
            </w:pPr>
            <w:r w:rsidRPr="00A66C9F">
              <w:rPr>
                <w:rFonts w:asciiTheme="majorBidi" w:hAnsiTheme="majorBidi" w:cstheme="majorBidi"/>
                <w:sz w:val="17"/>
                <w:szCs w:val="17"/>
                <w:lang w:val="fr-FR"/>
              </w:rPr>
              <w:tab/>
              <w:t>Dividendes des titres de capital (hors impôt retenu à la source)</w:t>
            </w:r>
          </w:p>
        </w:tc>
        <w:tc>
          <w:tcPr>
            <w:tcW w:w="909" w:type="dxa"/>
            <w:shd w:val="clear" w:color="auto" w:fill="auto"/>
            <w:noWrap/>
            <w:vAlign w:val="bottom"/>
          </w:tcPr>
          <w:p w14:paraId="37C57A3C"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rFonts w:asciiTheme="majorBidi" w:hAnsiTheme="majorBidi" w:cstheme="majorBidi"/>
                <w:b/>
                <w:sz w:val="17"/>
                <w:szCs w:val="17"/>
                <w:lang w:val="fr-FR"/>
              </w:rPr>
            </w:pPr>
          </w:p>
        </w:tc>
        <w:tc>
          <w:tcPr>
            <w:tcW w:w="1441" w:type="dxa"/>
            <w:shd w:val="clear" w:color="auto" w:fill="auto"/>
            <w:noWrap/>
            <w:vAlign w:val="bottom"/>
          </w:tcPr>
          <w:p w14:paraId="2DEF303B"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rFonts w:asciiTheme="majorBidi" w:hAnsiTheme="majorBidi" w:cstheme="majorBidi"/>
                <w:sz w:val="17"/>
                <w:szCs w:val="17"/>
                <w:lang w:val="fr-FR"/>
              </w:rPr>
            </w:pPr>
            <w:r w:rsidRPr="00A66C9F">
              <w:rPr>
                <w:rFonts w:asciiTheme="majorBidi" w:hAnsiTheme="majorBidi" w:cstheme="majorBidi"/>
                <w:sz w:val="17"/>
                <w:szCs w:val="17"/>
                <w:lang w:val="fr-FR"/>
              </w:rPr>
              <w:t xml:space="preserve"> 878 922 </w:t>
            </w:r>
          </w:p>
        </w:tc>
        <w:tc>
          <w:tcPr>
            <w:tcW w:w="1442" w:type="dxa"/>
            <w:shd w:val="clear" w:color="auto" w:fill="auto"/>
            <w:noWrap/>
            <w:vAlign w:val="bottom"/>
          </w:tcPr>
          <w:p w14:paraId="4C1A1881"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rFonts w:asciiTheme="majorBidi" w:hAnsiTheme="majorBidi" w:cstheme="majorBidi"/>
                <w:sz w:val="17"/>
                <w:szCs w:val="17"/>
                <w:lang w:val="fr-FR"/>
              </w:rPr>
            </w:pPr>
            <w:r w:rsidRPr="00A66C9F">
              <w:rPr>
                <w:rFonts w:asciiTheme="majorBidi" w:hAnsiTheme="majorBidi" w:cstheme="majorBidi"/>
                <w:sz w:val="17"/>
                <w:szCs w:val="17"/>
                <w:lang w:val="fr-FR"/>
              </w:rPr>
              <w:t>876 424</w:t>
            </w:r>
          </w:p>
        </w:tc>
      </w:tr>
      <w:tr w:rsidR="006A2B1E" w:rsidRPr="00A66C9F" w14:paraId="265115C1" w14:textId="77777777" w:rsidTr="00107D5D">
        <w:trPr>
          <w:cantSplit/>
        </w:trPr>
        <w:tc>
          <w:tcPr>
            <w:tcW w:w="4790" w:type="dxa"/>
            <w:shd w:val="clear" w:color="auto" w:fill="auto"/>
            <w:noWrap/>
            <w:hideMark/>
          </w:tcPr>
          <w:p w14:paraId="2BF4F5A1" w14:textId="77777777" w:rsidR="006A2B1E" w:rsidRPr="00A66C9F" w:rsidRDefault="006A2B1E" w:rsidP="00107D5D">
            <w:pPr>
              <w:tabs>
                <w:tab w:val="left" w:pos="288"/>
                <w:tab w:val="left" w:pos="576"/>
                <w:tab w:val="left" w:pos="864"/>
                <w:tab w:val="left" w:pos="1152"/>
              </w:tabs>
              <w:suppressAutoHyphens/>
              <w:spacing w:before="40" w:after="40" w:line="210" w:lineRule="exact"/>
              <w:ind w:left="288" w:right="43" w:hanging="288"/>
              <w:rPr>
                <w:rFonts w:asciiTheme="majorBidi" w:hAnsiTheme="majorBidi" w:cstheme="majorBidi"/>
                <w:sz w:val="17"/>
                <w:szCs w:val="17"/>
                <w:lang w:val="fr-FR"/>
              </w:rPr>
            </w:pPr>
            <w:r w:rsidRPr="00A66C9F">
              <w:rPr>
                <w:rFonts w:asciiTheme="majorBidi" w:hAnsiTheme="majorBidi" w:cstheme="majorBidi"/>
                <w:sz w:val="17"/>
                <w:szCs w:val="17"/>
                <w:lang w:val="fr-FR"/>
              </w:rPr>
              <w:tab/>
              <w:t>Intérêts des investissements dans des valeurs à revenu fixe</w:t>
            </w:r>
          </w:p>
        </w:tc>
        <w:tc>
          <w:tcPr>
            <w:tcW w:w="909" w:type="dxa"/>
            <w:shd w:val="clear" w:color="auto" w:fill="auto"/>
            <w:noWrap/>
            <w:vAlign w:val="bottom"/>
          </w:tcPr>
          <w:p w14:paraId="6F7FEA3E"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rFonts w:asciiTheme="majorBidi" w:hAnsiTheme="majorBidi" w:cstheme="majorBidi"/>
                <w:b/>
                <w:sz w:val="17"/>
                <w:szCs w:val="17"/>
                <w:lang w:val="fr-FR"/>
              </w:rPr>
            </w:pPr>
          </w:p>
        </w:tc>
        <w:tc>
          <w:tcPr>
            <w:tcW w:w="1441" w:type="dxa"/>
            <w:shd w:val="clear" w:color="auto" w:fill="auto"/>
            <w:noWrap/>
            <w:vAlign w:val="bottom"/>
          </w:tcPr>
          <w:p w14:paraId="194A34AD"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rFonts w:asciiTheme="majorBidi" w:hAnsiTheme="majorBidi" w:cstheme="majorBidi"/>
                <w:sz w:val="17"/>
                <w:szCs w:val="17"/>
                <w:lang w:val="fr-FR"/>
              </w:rPr>
            </w:pPr>
            <w:r w:rsidRPr="00A66C9F">
              <w:rPr>
                <w:rFonts w:asciiTheme="majorBidi" w:hAnsiTheme="majorBidi" w:cstheme="majorBidi"/>
                <w:sz w:val="17"/>
                <w:szCs w:val="17"/>
                <w:lang w:val="fr-FR"/>
              </w:rPr>
              <w:t xml:space="preserve"> 525 863 </w:t>
            </w:r>
          </w:p>
        </w:tc>
        <w:tc>
          <w:tcPr>
            <w:tcW w:w="1442" w:type="dxa"/>
            <w:shd w:val="clear" w:color="auto" w:fill="auto"/>
            <w:noWrap/>
            <w:vAlign w:val="bottom"/>
          </w:tcPr>
          <w:p w14:paraId="4ED396E8"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rFonts w:asciiTheme="majorBidi" w:hAnsiTheme="majorBidi" w:cstheme="majorBidi"/>
                <w:sz w:val="17"/>
                <w:szCs w:val="17"/>
                <w:lang w:val="fr-FR"/>
              </w:rPr>
            </w:pPr>
            <w:r w:rsidRPr="00A66C9F">
              <w:rPr>
                <w:rFonts w:asciiTheme="majorBidi" w:hAnsiTheme="majorBidi" w:cstheme="majorBidi"/>
                <w:sz w:val="17"/>
                <w:szCs w:val="17"/>
                <w:lang w:val="fr-FR"/>
              </w:rPr>
              <w:t>377 678</w:t>
            </w:r>
          </w:p>
        </w:tc>
      </w:tr>
      <w:tr w:rsidR="006A2B1E" w:rsidRPr="00A66C9F" w14:paraId="59378ACE" w14:textId="77777777" w:rsidTr="00107D5D">
        <w:trPr>
          <w:cantSplit/>
        </w:trPr>
        <w:tc>
          <w:tcPr>
            <w:tcW w:w="4790" w:type="dxa"/>
            <w:shd w:val="clear" w:color="auto" w:fill="auto"/>
            <w:noWrap/>
            <w:hideMark/>
          </w:tcPr>
          <w:p w14:paraId="0FBC4DEE" w14:textId="77777777" w:rsidR="006A2B1E" w:rsidRPr="00A66C9F" w:rsidRDefault="006A2B1E" w:rsidP="00107D5D">
            <w:pPr>
              <w:tabs>
                <w:tab w:val="left" w:pos="288"/>
                <w:tab w:val="left" w:pos="576"/>
                <w:tab w:val="left" w:pos="864"/>
                <w:tab w:val="left" w:pos="1152"/>
              </w:tabs>
              <w:suppressAutoHyphens/>
              <w:spacing w:before="40" w:after="40" w:line="210" w:lineRule="exact"/>
              <w:ind w:left="288" w:right="43" w:hanging="288"/>
              <w:rPr>
                <w:rFonts w:asciiTheme="majorBidi" w:hAnsiTheme="majorBidi" w:cstheme="majorBidi"/>
                <w:sz w:val="17"/>
                <w:szCs w:val="17"/>
                <w:lang w:val="fr-FR"/>
              </w:rPr>
            </w:pPr>
            <w:r w:rsidRPr="00A66C9F">
              <w:rPr>
                <w:rFonts w:asciiTheme="majorBidi" w:hAnsiTheme="majorBidi" w:cstheme="majorBidi"/>
                <w:sz w:val="17"/>
                <w:szCs w:val="17"/>
                <w:lang w:val="fr-FR"/>
              </w:rPr>
              <w:tab/>
              <w:t>Recettes provenant de fonds communs de placement immobilier (hors impôt retenu à la source)</w:t>
            </w:r>
          </w:p>
        </w:tc>
        <w:tc>
          <w:tcPr>
            <w:tcW w:w="909" w:type="dxa"/>
            <w:shd w:val="clear" w:color="auto" w:fill="auto"/>
            <w:noWrap/>
            <w:vAlign w:val="bottom"/>
          </w:tcPr>
          <w:p w14:paraId="46065B82"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rFonts w:asciiTheme="majorBidi" w:hAnsiTheme="majorBidi" w:cstheme="majorBidi"/>
                <w:b/>
                <w:sz w:val="17"/>
                <w:szCs w:val="17"/>
                <w:lang w:val="fr-FR"/>
              </w:rPr>
            </w:pPr>
          </w:p>
        </w:tc>
        <w:tc>
          <w:tcPr>
            <w:tcW w:w="1441" w:type="dxa"/>
            <w:shd w:val="clear" w:color="auto" w:fill="auto"/>
            <w:noWrap/>
            <w:vAlign w:val="bottom"/>
          </w:tcPr>
          <w:p w14:paraId="7CF15EF8"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rFonts w:asciiTheme="majorBidi" w:hAnsiTheme="majorBidi" w:cstheme="majorBidi"/>
                <w:sz w:val="17"/>
                <w:szCs w:val="17"/>
                <w:lang w:val="fr-FR"/>
              </w:rPr>
            </w:pPr>
            <w:r w:rsidRPr="00A66C9F">
              <w:rPr>
                <w:rFonts w:asciiTheme="majorBidi" w:hAnsiTheme="majorBidi" w:cstheme="majorBidi"/>
                <w:sz w:val="17"/>
                <w:szCs w:val="17"/>
                <w:lang w:val="fr-FR"/>
              </w:rPr>
              <w:t xml:space="preserve"> 75 641 </w:t>
            </w:r>
          </w:p>
        </w:tc>
        <w:tc>
          <w:tcPr>
            <w:tcW w:w="1442" w:type="dxa"/>
            <w:shd w:val="clear" w:color="auto" w:fill="auto"/>
            <w:noWrap/>
            <w:vAlign w:val="bottom"/>
          </w:tcPr>
          <w:p w14:paraId="52D53AA4"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rFonts w:asciiTheme="majorBidi" w:hAnsiTheme="majorBidi" w:cstheme="majorBidi"/>
                <w:sz w:val="17"/>
                <w:szCs w:val="17"/>
                <w:lang w:val="fr-FR"/>
              </w:rPr>
            </w:pPr>
            <w:r w:rsidRPr="00A66C9F">
              <w:rPr>
                <w:rFonts w:asciiTheme="majorBidi" w:hAnsiTheme="majorBidi" w:cstheme="majorBidi"/>
                <w:sz w:val="17"/>
                <w:szCs w:val="17"/>
                <w:lang w:val="fr-FR"/>
              </w:rPr>
              <w:t>55 483</w:t>
            </w:r>
          </w:p>
        </w:tc>
      </w:tr>
      <w:tr w:rsidR="006A2B1E" w:rsidRPr="00A66C9F" w14:paraId="79C138EA" w14:textId="77777777" w:rsidTr="00107D5D">
        <w:trPr>
          <w:cantSplit/>
        </w:trPr>
        <w:tc>
          <w:tcPr>
            <w:tcW w:w="4790" w:type="dxa"/>
            <w:shd w:val="clear" w:color="auto" w:fill="auto"/>
            <w:noWrap/>
            <w:hideMark/>
          </w:tcPr>
          <w:p w14:paraId="42D4E9E3" w14:textId="77777777" w:rsidR="006A2B1E" w:rsidRPr="00A66C9F" w:rsidRDefault="006A2B1E" w:rsidP="00107D5D">
            <w:pPr>
              <w:tabs>
                <w:tab w:val="left" w:pos="288"/>
                <w:tab w:val="left" w:pos="576"/>
                <w:tab w:val="left" w:pos="864"/>
                <w:tab w:val="left" w:pos="1152"/>
              </w:tabs>
              <w:suppressAutoHyphens/>
              <w:spacing w:before="40" w:after="40" w:line="210" w:lineRule="exact"/>
              <w:ind w:left="288" w:right="43" w:hanging="288"/>
              <w:rPr>
                <w:rFonts w:asciiTheme="majorBidi" w:hAnsiTheme="majorBidi" w:cstheme="majorBidi"/>
                <w:sz w:val="17"/>
                <w:szCs w:val="17"/>
                <w:lang w:val="fr-FR"/>
              </w:rPr>
            </w:pPr>
            <w:r w:rsidRPr="00A66C9F">
              <w:rPr>
                <w:rFonts w:asciiTheme="majorBidi" w:hAnsiTheme="majorBidi" w:cstheme="majorBidi"/>
                <w:sz w:val="17"/>
                <w:szCs w:val="17"/>
                <w:lang w:val="fr-FR"/>
              </w:rPr>
              <w:tab/>
              <w:t xml:space="preserve">Produits divers/(charges diverses) lié(e)s aux investissements (montant net) </w:t>
            </w:r>
          </w:p>
        </w:tc>
        <w:tc>
          <w:tcPr>
            <w:tcW w:w="909" w:type="dxa"/>
            <w:shd w:val="clear" w:color="auto" w:fill="auto"/>
            <w:noWrap/>
            <w:vAlign w:val="bottom"/>
          </w:tcPr>
          <w:p w14:paraId="7D1D7643"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rFonts w:asciiTheme="majorBidi" w:hAnsiTheme="majorBidi" w:cstheme="majorBidi"/>
                <w:b/>
                <w:sz w:val="17"/>
                <w:szCs w:val="17"/>
                <w:lang w:val="fr-FR"/>
              </w:rPr>
            </w:pPr>
          </w:p>
        </w:tc>
        <w:tc>
          <w:tcPr>
            <w:tcW w:w="1441" w:type="dxa"/>
            <w:shd w:val="clear" w:color="auto" w:fill="auto"/>
            <w:noWrap/>
            <w:vAlign w:val="bottom"/>
          </w:tcPr>
          <w:p w14:paraId="6E4EEF82"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rFonts w:asciiTheme="majorBidi" w:hAnsiTheme="majorBidi" w:cstheme="majorBidi"/>
                <w:sz w:val="17"/>
                <w:szCs w:val="17"/>
                <w:lang w:val="fr-FR"/>
              </w:rPr>
            </w:pPr>
            <w:r w:rsidRPr="00A66C9F">
              <w:rPr>
                <w:rFonts w:asciiTheme="majorBidi" w:hAnsiTheme="majorBidi" w:cstheme="majorBidi"/>
                <w:sz w:val="17"/>
                <w:szCs w:val="17"/>
                <w:lang w:val="fr-FR"/>
              </w:rPr>
              <w:t xml:space="preserve"> (1 348)</w:t>
            </w:r>
          </w:p>
        </w:tc>
        <w:tc>
          <w:tcPr>
            <w:tcW w:w="1442" w:type="dxa"/>
            <w:shd w:val="clear" w:color="auto" w:fill="auto"/>
            <w:noWrap/>
            <w:vAlign w:val="bottom"/>
          </w:tcPr>
          <w:p w14:paraId="65474224"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rFonts w:asciiTheme="majorBidi" w:hAnsiTheme="majorBidi" w:cstheme="majorBidi"/>
                <w:sz w:val="17"/>
                <w:szCs w:val="17"/>
                <w:lang w:val="fr-FR"/>
              </w:rPr>
            </w:pPr>
            <w:r w:rsidRPr="00A66C9F">
              <w:rPr>
                <w:rFonts w:asciiTheme="majorBidi" w:hAnsiTheme="majorBidi" w:cstheme="majorBidi"/>
                <w:sz w:val="17"/>
                <w:szCs w:val="17"/>
                <w:lang w:val="fr-FR"/>
              </w:rPr>
              <w:t>510</w:t>
            </w:r>
          </w:p>
        </w:tc>
      </w:tr>
      <w:tr w:rsidR="006A2B1E" w:rsidRPr="00A66C9F" w14:paraId="5C5CDAF8" w14:textId="77777777" w:rsidTr="00107D5D">
        <w:trPr>
          <w:cantSplit/>
        </w:trPr>
        <w:tc>
          <w:tcPr>
            <w:tcW w:w="4790" w:type="dxa"/>
            <w:shd w:val="clear" w:color="auto" w:fill="auto"/>
            <w:noWrap/>
            <w:hideMark/>
          </w:tcPr>
          <w:p w14:paraId="04B1610C" w14:textId="77777777" w:rsidR="006A2B1E" w:rsidRPr="00A66C9F" w:rsidRDefault="006A2B1E" w:rsidP="00107D5D">
            <w:pPr>
              <w:tabs>
                <w:tab w:val="left" w:pos="288"/>
                <w:tab w:val="left" w:pos="576"/>
                <w:tab w:val="left" w:pos="864"/>
                <w:tab w:val="left" w:pos="1152"/>
              </w:tabs>
              <w:suppressAutoHyphens/>
              <w:spacing w:before="40" w:after="40" w:line="210" w:lineRule="exact"/>
              <w:ind w:left="288" w:right="43" w:hanging="288"/>
              <w:rPr>
                <w:rFonts w:asciiTheme="majorBidi" w:hAnsiTheme="majorBidi" w:cstheme="majorBidi"/>
                <w:sz w:val="17"/>
                <w:szCs w:val="17"/>
                <w:lang w:val="fr-FR"/>
              </w:rPr>
            </w:pPr>
            <w:r w:rsidRPr="00A66C9F">
              <w:rPr>
                <w:rFonts w:asciiTheme="majorBidi" w:hAnsiTheme="majorBidi" w:cstheme="majorBidi"/>
                <w:sz w:val="17"/>
                <w:szCs w:val="17"/>
                <w:lang w:val="fr-FR"/>
              </w:rPr>
              <w:tab/>
              <w:t>Coûts de transaction, frais de gestion et charges diverses</w:t>
            </w:r>
          </w:p>
        </w:tc>
        <w:tc>
          <w:tcPr>
            <w:tcW w:w="909" w:type="dxa"/>
            <w:shd w:val="clear" w:color="auto" w:fill="auto"/>
            <w:noWrap/>
            <w:vAlign w:val="bottom"/>
          </w:tcPr>
          <w:p w14:paraId="23E4BC8A"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rFonts w:asciiTheme="majorBidi" w:hAnsiTheme="majorBidi" w:cstheme="majorBidi"/>
                <w:b/>
                <w:sz w:val="17"/>
                <w:szCs w:val="17"/>
                <w:lang w:val="fr-FR"/>
              </w:rPr>
            </w:pPr>
          </w:p>
        </w:tc>
        <w:tc>
          <w:tcPr>
            <w:tcW w:w="1441" w:type="dxa"/>
            <w:shd w:val="clear" w:color="auto" w:fill="auto"/>
            <w:noWrap/>
            <w:vAlign w:val="bottom"/>
          </w:tcPr>
          <w:p w14:paraId="1921AFEF"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rFonts w:asciiTheme="majorBidi" w:hAnsiTheme="majorBidi" w:cstheme="majorBidi"/>
                <w:sz w:val="17"/>
                <w:szCs w:val="17"/>
                <w:lang w:val="fr-FR"/>
              </w:rPr>
            </w:pPr>
            <w:r w:rsidRPr="00A66C9F">
              <w:rPr>
                <w:rFonts w:asciiTheme="majorBidi" w:hAnsiTheme="majorBidi" w:cstheme="majorBidi"/>
                <w:sz w:val="17"/>
                <w:szCs w:val="17"/>
                <w:lang w:val="fr-FR"/>
              </w:rPr>
              <w:t xml:space="preserve"> (159 551)</w:t>
            </w:r>
          </w:p>
        </w:tc>
        <w:tc>
          <w:tcPr>
            <w:tcW w:w="1442" w:type="dxa"/>
            <w:shd w:val="clear" w:color="auto" w:fill="auto"/>
            <w:noWrap/>
            <w:vAlign w:val="bottom"/>
          </w:tcPr>
          <w:p w14:paraId="3C672756"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rFonts w:asciiTheme="majorBidi" w:hAnsiTheme="majorBidi" w:cstheme="majorBidi"/>
                <w:sz w:val="17"/>
                <w:szCs w:val="17"/>
                <w:lang w:val="fr-FR"/>
              </w:rPr>
            </w:pPr>
            <w:r w:rsidRPr="00A66C9F">
              <w:rPr>
                <w:rFonts w:asciiTheme="majorBidi" w:hAnsiTheme="majorBidi" w:cstheme="majorBidi"/>
                <w:sz w:val="17"/>
                <w:szCs w:val="17"/>
                <w:lang w:val="fr-FR"/>
              </w:rPr>
              <w:t>(144 649)</w:t>
            </w:r>
          </w:p>
        </w:tc>
      </w:tr>
      <w:tr w:rsidR="006A2B1E" w:rsidRPr="00A66C9F" w14:paraId="0BB9539B" w14:textId="77777777" w:rsidTr="00107D5D">
        <w:trPr>
          <w:cantSplit/>
        </w:trPr>
        <w:tc>
          <w:tcPr>
            <w:tcW w:w="4790" w:type="dxa"/>
            <w:tcBorders>
              <w:bottom w:val="single" w:sz="4" w:space="0" w:color="auto"/>
            </w:tcBorders>
            <w:shd w:val="clear" w:color="auto" w:fill="auto"/>
            <w:noWrap/>
            <w:hideMark/>
          </w:tcPr>
          <w:p w14:paraId="714935EE" w14:textId="77777777" w:rsidR="006A2B1E" w:rsidRPr="00A66C9F" w:rsidRDefault="006A2B1E" w:rsidP="00107D5D">
            <w:pPr>
              <w:tabs>
                <w:tab w:val="left" w:pos="288"/>
                <w:tab w:val="left" w:pos="576"/>
                <w:tab w:val="left" w:pos="864"/>
                <w:tab w:val="left" w:pos="1152"/>
              </w:tabs>
              <w:suppressAutoHyphens/>
              <w:spacing w:before="40" w:after="81" w:line="210" w:lineRule="exact"/>
              <w:ind w:left="288" w:right="43" w:hanging="288"/>
              <w:rPr>
                <w:rFonts w:asciiTheme="majorBidi" w:hAnsiTheme="majorBidi" w:cstheme="majorBidi"/>
                <w:sz w:val="17"/>
                <w:szCs w:val="17"/>
                <w:lang w:val="fr-FR"/>
              </w:rPr>
            </w:pPr>
            <w:r w:rsidRPr="00A66C9F">
              <w:rPr>
                <w:rFonts w:asciiTheme="majorBidi" w:hAnsiTheme="majorBidi" w:cstheme="majorBidi"/>
                <w:sz w:val="17"/>
                <w:szCs w:val="17"/>
                <w:lang w:val="fr-FR"/>
              </w:rPr>
              <w:tab/>
              <w:t>Remboursement de l’impôt retenu à la source</w:t>
            </w:r>
          </w:p>
        </w:tc>
        <w:tc>
          <w:tcPr>
            <w:tcW w:w="909" w:type="dxa"/>
            <w:tcBorders>
              <w:bottom w:val="single" w:sz="4" w:space="0" w:color="auto"/>
            </w:tcBorders>
            <w:shd w:val="clear" w:color="auto" w:fill="auto"/>
            <w:noWrap/>
            <w:vAlign w:val="bottom"/>
          </w:tcPr>
          <w:p w14:paraId="20A6E380"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3"/>
              <w:jc w:val="left"/>
              <w:rPr>
                <w:rFonts w:asciiTheme="majorBidi" w:hAnsiTheme="majorBidi" w:cstheme="majorBidi"/>
                <w:b/>
                <w:sz w:val="17"/>
                <w:szCs w:val="17"/>
                <w:lang w:val="fr-FR"/>
              </w:rPr>
            </w:pPr>
          </w:p>
        </w:tc>
        <w:tc>
          <w:tcPr>
            <w:tcW w:w="1441" w:type="dxa"/>
            <w:tcBorders>
              <w:bottom w:val="single" w:sz="4" w:space="0" w:color="auto"/>
            </w:tcBorders>
            <w:shd w:val="clear" w:color="auto" w:fill="auto"/>
            <w:noWrap/>
            <w:vAlign w:val="bottom"/>
          </w:tcPr>
          <w:p w14:paraId="3D7258AD" w14:textId="77777777" w:rsidR="006A2B1E" w:rsidRPr="00A66C9F" w:rsidRDefault="006A2B1E" w:rsidP="00107D5D">
            <w:pPr>
              <w:tabs>
                <w:tab w:val="left" w:pos="288"/>
                <w:tab w:val="left" w:pos="576"/>
                <w:tab w:val="left" w:pos="864"/>
                <w:tab w:val="left" w:pos="1152"/>
              </w:tabs>
              <w:suppressAutoHyphens/>
              <w:spacing w:before="40" w:after="81" w:line="210" w:lineRule="exact"/>
              <w:ind w:right="43"/>
              <w:jc w:val="right"/>
              <w:rPr>
                <w:rFonts w:asciiTheme="majorBidi" w:hAnsiTheme="majorBidi" w:cstheme="majorBidi"/>
                <w:sz w:val="17"/>
                <w:szCs w:val="17"/>
                <w:lang w:val="fr-FR"/>
              </w:rPr>
            </w:pPr>
            <w:r w:rsidRPr="00A66C9F">
              <w:rPr>
                <w:rFonts w:asciiTheme="majorBidi" w:hAnsiTheme="majorBidi" w:cstheme="majorBidi"/>
                <w:sz w:val="17"/>
                <w:szCs w:val="17"/>
                <w:lang w:val="fr-FR"/>
              </w:rPr>
              <w:t xml:space="preserve"> 11 582 </w:t>
            </w:r>
          </w:p>
        </w:tc>
        <w:tc>
          <w:tcPr>
            <w:tcW w:w="1442" w:type="dxa"/>
            <w:tcBorders>
              <w:bottom w:val="single" w:sz="4" w:space="0" w:color="auto"/>
            </w:tcBorders>
            <w:shd w:val="clear" w:color="auto" w:fill="auto"/>
            <w:noWrap/>
            <w:vAlign w:val="bottom"/>
          </w:tcPr>
          <w:p w14:paraId="66C0C102" w14:textId="77777777" w:rsidR="006A2B1E" w:rsidRPr="00A66C9F" w:rsidRDefault="006A2B1E" w:rsidP="00107D5D">
            <w:pPr>
              <w:tabs>
                <w:tab w:val="left" w:pos="288"/>
                <w:tab w:val="left" w:pos="576"/>
                <w:tab w:val="left" w:pos="864"/>
                <w:tab w:val="left" w:pos="1152"/>
              </w:tabs>
              <w:suppressAutoHyphens/>
              <w:spacing w:before="40" w:after="81" w:line="210" w:lineRule="exact"/>
              <w:ind w:right="43"/>
              <w:jc w:val="right"/>
              <w:rPr>
                <w:rFonts w:asciiTheme="majorBidi" w:hAnsiTheme="majorBidi" w:cstheme="majorBidi"/>
                <w:sz w:val="17"/>
                <w:szCs w:val="17"/>
                <w:lang w:val="fr-FR"/>
              </w:rPr>
            </w:pPr>
            <w:r w:rsidRPr="00A66C9F">
              <w:rPr>
                <w:rFonts w:asciiTheme="majorBidi" w:hAnsiTheme="majorBidi" w:cstheme="majorBidi"/>
                <w:sz w:val="17"/>
                <w:szCs w:val="17"/>
                <w:lang w:val="fr-FR"/>
              </w:rPr>
              <w:t>31 732</w:t>
            </w:r>
          </w:p>
        </w:tc>
      </w:tr>
      <w:tr w:rsidR="006A2B1E" w:rsidRPr="00A66C9F" w14:paraId="0887EC3A" w14:textId="77777777" w:rsidTr="00107D5D">
        <w:trPr>
          <w:cantSplit/>
        </w:trPr>
        <w:tc>
          <w:tcPr>
            <w:tcW w:w="4790" w:type="dxa"/>
            <w:tcBorders>
              <w:top w:val="single" w:sz="4" w:space="0" w:color="auto"/>
              <w:bottom w:val="single" w:sz="4" w:space="0" w:color="auto"/>
            </w:tcBorders>
            <w:shd w:val="clear" w:color="auto" w:fill="auto"/>
            <w:noWrap/>
            <w:hideMark/>
          </w:tcPr>
          <w:p w14:paraId="5FC907AC" w14:textId="77777777" w:rsidR="006A2B1E" w:rsidRPr="00A66C9F" w:rsidRDefault="006A2B1E" w:rsidP="00107D5D">
            <w:pPr>
              <w:tabs>
                <w:tab w:val="left" w:pos="288"/>
                <w:tab w:val="left" w:pos="576"/>
                <w:tab w:val="left" w:pos="864"/>
                <w:tab w:val="left" w:pos="1152"/>
              </w:tabs>
              <w:suppressAutoHyphens/>
              <w:spacing w:before="81" w:after="81" w:line="210" w:lineRule="exact"/>
              <w:ind w:left="288" w:right="43" w:hanging="288"/>
              <w:rPr>
                <w:rFonts w:asciiTheme="majorBidi" w:eastAsia="Times New Roman" w:hAnsiTheme="majorBidi" w:cstheme="majorBidi"/>
                <w:b/>
                <w:bCs/>
                <w:color w:val="000000"/>
                <w:spacing w:val="0"/>
                <w:w w:val="100"/>
                <w:kern w:val="0"/>
                <w:sz w:val="17"/>
                <w:szCs w:val="17"/>
                <w:lang w:val="fr-FR"/>
              </w:rPr>
            </w:pPr>
            <w:r w:rsidRPr="00A66C9F">
              <w:rPr>
                <w:rFonts w:asciiTheme="majorBidi" w:eastAsia="Times New Roman" w:hAnsiTheme="majorBidi" w:cstheme="majorBidi"/>
                <w:b/>
                <w:bCs/>
                <w:color w:val="000000"/>
                <w:spacing w:val="0"/>
                <w:w w:val="100"/>
                <w:kern w:val="0"/>
                <w:sz w:val="17"/>
                <w:szCs w:val="17"/>
                <w:lang w:val="fr-FR"/>
              </w:rPr>
              <w:tab/>
              <w:t>Flux nets de trésorerie utilisés pour les activités d’investissement</w:t>
            </w:r>
          </w:p>
        </w:tc>
        <w:tc>
          <w:tcPr>
            <w:tcW w:w="909" w:type="dxa"/>
            <w:tcBorders>
              <w:top w:val="single" w:sz="4" w:space="0" w:color="auto"/>
              <w:bottom w:val="single" w:sz="4" w:space="0" w:color="auto"/>
            </w:tcBorders>
            <w:shd w:val="clear" w:color="auto" w:fill="auto"/>
            <w:noWrap/>
            <w:vAlign w:val="bottom"/>
          </w:tcPr>
          <w:p w14:paraId="3E382B53"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3"/>
              <w:jc w:val="left"/>
              <w:rPr>
                <w:rFonts w:asciiTheme="majorBidi" w:hAnsiTheme="majorBidi" w:cstheme="majorBidi"/>
                <w:b/>
                <w:sz w:val="17"/>
                <w:szCs w:val="17"/>
                <w:lang w:val="fr-FR"/>
              </w:rPr>
            </w:pPr>
          </w:p>
        </w:tc>
        <w:tc>
          <w:tcPr>
            <w:tcW w:w="1441" w:type="dxa"/>
            <w:tcBorders>
              <w:top w:val="single" w:sz="4" w:space="0" w:color="auto"/>
              <w:bottom w:val="single" w:sz="4" w:space="0" w:color="auto"/>
            </w:tcBorders>
            <w:shd w:val="clear" w:color="auto" w:fill="auto"/>
            <w:noWrap/>
            <w:vAlign w:val="bottom"/>
          </w:tcPr>
          <w:p w14:paraId="0BE2E0D4" w14:textId="77777777" w:rsidR="006A2B1E" w:rsidRPr="00A66C9F" w:rsidRDefault="006A2B1E" w:rsidP="00107D5D">
            <w:pPr>
              <w:tabs>
                <w:tab w:val="left" w:pos="288"/>
                <w:tab w:val="left" w:pos="576"/>
                <w:tab w:val="left" w:pos="864"/>
                <w:tab w:val="left" w:pos="1152"/>
              </w:tabs>
              <w:suppressAutoHyphens/>
              <w:spacing w:before="81" w:after="81" w:line="210" w:lineRule="exact"/>
              <w:ind w:right="43"/>
              <w:jc w:val="right"/>
              <w:rPr>
                <w:rFonts w:asciiTheme="majorBidi" w:hAnsiTheme="majorBidi" w:cstheme="majorBidi"/>
                <w:b/>
                <w:bCs/>
                <w:sz w:val="17"/>
                <w:szCs w:val="17"/>
                <w:lang w:val="fr-FR"/>
              </w:rPr>
            </w:pPr>
            <w:r w:rsidRPr="00A66C9F">
              <w:rPr>
                <w:rFonts w:asciiTheme="majorBidi" w:hAnsiTheme="majorBidi" w:cstheme="majorBidi"/>
                <w:b/>
                <w:bCs/>
                <w:sz w:val="17"/>
                <w:szCs w:val="17"/>
                <w:lang w:val="fr-FR"/>
              </w:rPr>
              <w:t>(32 890)</w:t>
            </w:r>
          </w:p>
        </w:tc>
        <w:tc>
          <w:tcPr>
            <w:tcW w:w="1442" w:type="dxa"/>
            <w:tcBorders>
              <w:top w:val="single" w:sz="4" w:space="0" w:color="auto"/>
              <w:bottom w:val="single" w:sz="4" w:space="0" w:color="auto"/>
            </w:tcBorders>
            <w:shd w:val="clear" w:color="auto" w:fill="auto"/>
            <w:noWrap/>
            <w:vAlign w:val="bottom"/>
          </w:tcPr>
          <w:p w14:paraId="19D7D80B" w14:textId="77777777" w:rsidR="006A2B1E" w:rsidRPr="00A66C9F" w:rsidRDefault="006A2B1E" w:rsidP="00107D5D">
            <w:pPr>
              <w:tabs>
                <w:tab w:val="left" w:pos="288"/>
                <w:tab w:val="left" w:pos="576"/>
                <w:tab w:val="left" w:pos="864"/>
                <w:tab w:val="left" w:pos="1152"/>
              </w:tabs>
              <w:suppressAutoHyphens/>
              <w:spacing w:before="81" w:after="81" w:line="210" w:lineRule="exact"/>
              <w:ind w:right="43"/>
              <w:jc w:val="right"/>
              <w:rPr>
                <w:rFonts w:asciiTheme="majorBidi" w:hAnsiTheme="majorBidi" w:cstheme="majorBidi"/>
                <w:b/>
                <w:bCs/>
                <w:sz w:val="17"/>
                <w:szCs w:val="17"/>
                <w:lang w:val="fr-FR"/>
              </w:rPr>
            </w:pPr>
            <w:r w:rsidRPr="00A66C9F">
              <w:rPr>
                <w:rFonts w:asciiTheme="majorBidi" w:hAnsiTheme="majorBidi" w:cstheme="majorBidi"/>
                <w:b/>
                <w:bCs/>
                <w:sz w:val="17"/>
                <w:szCs w:val="17"/>
                <w:lang w:val="fr-FR"/>
              </w:rPr>
              <w:t>(24 849)</w:t>
            </w:r>
          </w:p>
        </w:tc>
      </w:tr>
      <w:tr w:rsidR="006A2B1E" w:rsidRPr="00A66C9F" w14:paraId="10C70BA0" w14:textId="77777777" w:rsidTr="00107D5D">
        <w:trPr>
          <w:cantSplit/>
        </w:trPr>
        <w:tc>
          <w:tcPr>
            <w:tcW w:w="4790" w:type="dxa"/>
            <w:tcBorders>
              <w:top w:val="single" w:sz="4" w:space="0" w:color="auto"/>
            </w:tcBorders>
            <w:shd w:val="clear" w:color="auto" w:fill="auto"/>
            <w:noWrap/>
          </w:tcPr>
          <w:p w14:paraId="617E1275" w14:textId="77777777" w:rsidR="006A2B1E" w:rsidRPr="00A66C9F" w:rsidRDefault="006A2B1E" w:rsidP="00107D5D">
            <w:pPr>
              <w:tabs>
                <w:tab w:val="left" w:pos="288"/>
                <w:tab w:val="left" w:pos="576"/>
                <w:tab w:val="left" w:pos="864"/>
                <w:tab w:val="left" w:pos="1152"/>
              </w:tabs>
              <w:suppressAutoHyphens/>
              <w:spacing w:before="81" w:after="40" w:line="210" w:lineRule="exact"/>
              <w:ind w:right="43"/>
              <w:rPr>
                <w:rFonts w:asciiTheme="majorBidi" w:eastAsia="Times New Roman" w:hAnsiTheme="majorBidi" w:cstheme="majorBidi"/>
                <w:b/>
                <w:bCs/>
                <w:color w:val="000000"/>
                <w:spacing w:val="0"/>
                <w:w w:val="100"/>
                <w:kern w:val="0"/>
                <w:sz w:val="17"/>
                <w:szCs w:val="17"/>
                <w:lang w:val="fr-FR"/>
              </w:rPr>
            </w:pPr>
            <w:r w:rsidRPr="00A66C9F">
              <w:rPr>
                <w:rFonts w:asciiTheme="majorBidi" w:eastAsia="Times New Roman" w:hAnsiTheme="majorBidi" w:cstheme="majorBidi"/>
                <w:b/>
                <w:bCs/>
                <w:color w:val="000000"/>
                <w:spacing w:val="0"/>
                <w:w w:val="100"/>
                <w:kern w:val="0"/>
                <w:sz w:val="17"/>
                <w:szCs w:val="17"/>
                <w:lang w:val="fr-FR"/>
              </w:rPr>
              <w:t>Flux de trésorerie provenant du fonctionnement</w:t>
            </w:r>
          </w:p>
        </w:tc>
        <w:tc>
          <w:tcPr>
            <w:tcW w:w="909" w:type="dxa"/>
            <w:tcBorders>
              <w:top w:val="single" w:sz="4" w:space="0" w:color="auto"/>
            </w:tcBorders>
            <w:shd w:val="clear" w:color="auto" w:fill="auto"/>
            <w:noWrap/>
            <w:vAlign w:val="bottom"/>
          </w:tcPr>
          <w:p w14:paraId="3C9704D8"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3"/>
              <w:jc w:val="left"/>
              <w:rPr>
                <w:rFonts w:asciiTheme="majorBidi" w:hAnsiTheme="majorBidi" w:cstheme="majorBidi"/>
                <w:b/>
                <w:sz w:val="17"/>
                <w:szCs w:val="17"/>
                <w:lang w:val="fr-FR"/>
              </w:rPr>
            </w:pPr>
          </w:p>
        </w:tc>
        <w:tc>
          <w:tcPr>
            <w:tcW w:w="1441" w:type="dxa"/>
            <w:tcBorders>
              <w:top w:val="single" w:sz="4" w:space="0" w:color="auto"/>
            </w:tcBorders>
            <w:shd w:val="clear" w:color="auto" w:fill="auto"/>
            <w:noWrap/>
            <w:vAlign w:val="bottom"/>
          </w:tcPr>
          <w:p w14:paraId="08A1B35B" w14:textId="77777777" w:rsidR="006A2B1E" w:rsidRPr="00A66C9F" w:rsidRDefault="006A2B1E" w:rsidP="00107D5D">
            <w:pPr>
              <w:tabs>
                <w:tab w:val="left" w:pos="288"/>
                <w:tab w:val="left" w:pos="576"/>
                <w:tab w:val="left" w:pos="864"/>
                <w:tab w:val="left" w:pos="1152"/>
              </w:tabs>
              <w:suppressAutoHyphens/>
              <w:spacing w:before="81" w:after="40" w:line="210" w:lineRule="exact"/>
              <w:ind w:right="43"/>
              <w:jc w:val="right"/>
              <w:rPr>
                <w:rFonts w:asciiTheme="majorBidi" w:hAnsiTheme="majorBidi" w:cstheme="majorBidi"/>
                <w:sz w:val="17"/>
                <w:szCs w:val="17"/>
                <w:lang w:val="fr-FR"/>
              </w:rPr>
            </w:pPr>
          </w:p>
        </w:tc>
        <w:tc>
          <w:tcPr>
            <w:tcW w:w="1442" w:type="dxa"/>
            <w:tcBorders>
              <w:top w:val="single" w:sz="4" w:space="0" w:color="auto"/>
            </w:tcBorders>
            <w:shd w:val="clear" w:color="auto" w:fill="auto"/>
            <w:noWrap/>
            <w:vAlign w:val="bottom"/>
          </w:tcPr>
          <w:p w14:paraId="3E6A5837" w14:textId="77777777" w:rsidR="006A2B1E" w:rsidRPr="00A66C9F" w:rsidRDefault="006A2B1E" w:rsidP="00107D5D">
            <w:pPr>
              <w:tabs>
                <w:tab w:val="left" w:pos="288"/>
                <w:tab w:val="left" w:pos="576"/>
                <w:tab w:val="left" w:pos="864"/>
                <w:tab w:val="left" w:pos="1152"/>
              </w:tabs>
              <w:suppressAutoHyphens/>
              <w:spacing w:before="81" w:after="40" w:line="210" w:lineRule="exact"/>
              <w:ind w:right="43"/>
              <w:jc w:val="right"/>
              <w:rPr>
                <w:rFonts w:asciiTheme="majorBidi" w:hAnsiTheme="majorBidi" w:cstheme="majorBidi"/>
                <w:sz w:val="17"/>
                <w:szCs w:val="17"/>
                <w:lang w:val="fr-FR"/>
              </w:rPr>
            </w:pPr>
          </w:p>
        </w:tc>
      </w:tr>
      <w:tr w:rsidR="006A2B1E" w:rsidRPr="00A66C9F" w14:paraId="51A12FA8" w14:textId="77777777" w:rsidTr="00107D5D">
        <w:trPr>
          <w:cantSplit/>
        </w:trPr>
        <w:tc>
          <w:tcPr>
            <w:tcW w:w="4790" w:type="dxa"/>
            <w:shd w:val="clear" w:color="auto" w:fill="auto"/>
            <w:noWrap/>
            <w:hideMark/>
          </w:tcPr>
          <w:p w14:paraId="3F15C434"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rPr>
                <w:rFonts w:asciiTheme="majorBidi" w:hAnsiTheme="majorBidi" w:cstheme="majorBidi"/>
                <w:sz w:val="17"/>
                <w:szCs w:val="17"/>
                <w:lang w:val="fr-FR"/>
              </w:rPr>
            </w:pPr>
            <w:r w:rsidRPr="00A66C9F">
              <w:rPr>
                <w:rFonts w:asciiTheme="majorBidi" w:hAnsiTheme="majorBidi" w:cstheme="majorBidi"/>
                <w:sz w:val="17"/>
                <w:szCs w:val="17"/>
                <w:lang w:val="fr-FR"/>
              </w:rPr>
              <w:tab/>
              <w:t>Cotisations des organisations affiliées et des participants</w:t>
            </w:r>
          </w:p>
        </w:tc>
        <w:tc>
          <w:tcPr>
            <w:tcW w:w="909" w:type="dxa"/>
            <w:shd w:val="clear" w:color="auto" w:fill="auto"/>
            <w:noWrap/>
            <w:vAlign w:val="bottom"/>
          </w:tcPr>
          <w:p w14:paraId="4114D8E1"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rFonts w:asciiTheme="majorBidi" w:hAnsiTheme="majorBidi" w:cstheme="majorBidi"/>
                <w:b/>
                <w:sz w:val="17"/>
                <w:szCs w:val="17"/>
                <w:lang w:val="fr-FR"/>
              </w:rPr>
            </w:pPr>
          </w:p>
        </w:tc>
        <w:tc>
          <w:tcPr>
            <w:tcW w:w="1441" w:type="dxa"/>
            <w:shd w:val="clear" w:color="auto" w:fill="auto"/>
            <w:noWrap/>
            <w:vAlign w:val="bottom"/>
          </w:tcPr>
          <w:p w14:paraId="57D10F58"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rFonts w:asciiTheme="majorBidi" w:hAnsiTheme="majorBidi" w:cstheme="majorBidi"/>
                <w:sz w:val="17"/>
                <w:szCs w:val="17"/>
                <w:lang w:val="fr-FR"/>
              </w:rPr>
            </w:pPr>
            <w:r w:rsidRPr="00A66C9F">
              <w:rPr>
                <w:rFonts w:asciiTheme="majorBidi" w:hAnsiTheme="majorBidi" w:cstheme="majorBidi"/>
                <w:sz w:val="17"/>
                <w:szCs w:val="17"/>
                <w:lang w:val="fr-FR"/>
              </w:rPr>
              <w:t xml:space="preserve"> 2 656 821 </w:t>
            </w:r>
          </w:p>
        </w:tc>
        <w:tc>
          <w:tcPr>
            <w:tcW w:w="1442" w:type="dxa"/>
            <w:shd w:val="clear" w:color="auto" w:fill="auto"/>
            <w:noWrap/>
            <w:vAlign w:val="bottom"/>
          </w:tcPr>
          <w:p w14:paraId="0A469A7C"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rFonts w:asciiTheme="majorBidi" w:hAnsiTheme="majorBidi" w:cstheme="majorBidi"/>
                <w:sz w:val="17"/>
                <w:szCs w:val="17"/>
                <w:lang w:val="fr-FR"/>
              </w:rPr>
            </w:pPr>
            <w:r w:rsidRPr="00A66C9F">
              <w:rPr>
                <w:rFonts w:asciiTheme="majorBidi" w:hAnsiTheme="majorBidi" w:cstheme="majorBidi"/>
                <w:sz w:val="17"/>
                <w:szCs w:val="17"/>
                <w:lang w:val="fr-FR"/>
              </w:rPr>
              <w:t>2 405 906</w:t>
            </w:r>
          </w:p>
        </w:tc>
      </w:tr>
      <w:tr w:rsidR="006A2B1E" w:rsidRPr="00A66C9F" w14:paraId="21C1A5A1" w14:textId="77777777" w:rsidTr="00107D5D">
        <w:trPr>
          <w:cantSplit/>
        </w:trPr>
        <w:tc>
          <w:tcPr>
            <w:tcW w:w="4790" w:type="dxa"/>
            <w:shd w:val="clear" w:color="auto" w:fill="auto"/>
            <w:noWrap/>
            <w:hideMark/>
          </w:tcPr>
          <w:p w14:paraId="2FAE2B1B"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rPr>
                <w:rFonts w:asciiTheme="majorBidi" w:hAnsiTheme="majorBidi" w:cstheme="majorBidi"/>
                <w:sz w:val="17"/>
                <w:szCs w:val="17"/>
                <w:lang w:val="fr-FR"/>
              </w:rPr>
            </w:pPr>
            <w:r w:rsidRPr="00A66C9F">
              <w:rPr>
                <w:rFonts w:asciiTheme="majorBidi" w:hAnsiTheme="majorBidi" w:cstheme="majorBidi"/>
                <w:sz w:val="17"/>
                <w:szCs w:val="17"/>
                <w:lang w:val="fr-FR"/>
              </w:rPr>
              <w:tab/>
              <w:t>Paiement des prestations</w:t>
            </w:r>
          </w:p>
        </w:tc>
        <w:tc>
          <w:tcPr>
            <w:tcW w:w="909" w:type="dxa"/>
            <w:shd w:val="clear" w:color="auto" w:fill="auto"/>
            <w:noWrap/>
            <w:vAlign w:val="bottom"/>
          </w:tcPr>
          <w:p w14:paraId="47B873F0"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rFonts w:asciiTheme="majorBidi" w:hAnsiTheme="majorBidi" w:cstheme="majorBidi"/>
                <w:b/>
                <w:sz w:val="17"/>
                <w:szCs w:val="17"/>
                <w:lang w:val="fr-FR"/>
              </w:rPr>
            </w:pPr>
          </w:p>
        </w:tc>
        <w:tc>
          <w:tcPr>
            <w:tcW w:w="1441" w:type="dxa"/>
            <w:shd w:val="clear" w:color="auto" w:fill="auto"/>
            <w:noWrap/>
            <w:vAlign w:val="bottom"/>
          </w:tcPr>
          <w:p w14:paraId="0A44A2D2"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rFonts w:asciiTheme="majorBidi" w:hAnsiTheme="majorBidi" w:cstheme="majorBidi"/>
                <w:sz w:val="17"/>
                <w:szCs w:val="17"/>
                <w:lang w:val="fr-FR"/>
              </w:rPr>
            </w:pPr>
            <w:r w:rsidRPr="00A66C9F">
              <w:rPr>
                <w:rFonts w:asciiTheme="majorBidi" w:hAnsiTheme="majorBidi" w:cstheme="majorBidi"/>
                <w:sz w:val="17"/>
                <w:szCs w:val="17"/>
                <w:lang w:val="fr-FR"/>
              </w:rPr>
              <w:t xml:space="preserve"> (2 693 636)</w:t>
            </w:r>
          </w:p>
        </w:tc>
        <w:tc>
          <w:tcPr>
            <w:tcW w:w="1442" w:type="dxa"/>
            <w:shd w:val="clear" w:color="auto" w:fill="auto"/>
            <w:noWrap/>
            <w:vAlign w:val="bottom"/>
          </w:tcPr>
          <w:p w14:paraId="06270399"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rFonts w:asciiTheme="majorBidi" w:hAnsiTheme="majorBidi" w:cstheme="majorBidi"/>
                <w:sz w:val="17"/>
                <w:szCs w:val="17"/>
                <w:lang w:val="fr-FR"/>
              </w:rPr>
            </w:pPr>
            <w:r w:rsidRPr="00A66C9F">
              <w:rPr>
                <w:rFonts w:asciiTheme="majorBidi" w:hAnsiTheme="majorBidi" w:cstheme="majorBidi"/>
                <w:sz w:val="17"/>
                <w:szCs w:val="17"/>
                <w:lang w:val="fr-FR"/>
              </w:rPr>
              <w:t>(2 710 412)</w:t>
            </w:r>
          </w:p>
        </w:tc>
      </w:tr>
      <w:tr w:rsidR="006A2B1E" w:rsidRPr="00A66C9F" w14:paraId="37CC2AE9" w14:textId="77777777" w:rsidTr="00107D5D">
        <w:trPr>
          <w:cantSplit/>
        </w:trPr>
        <w:tc>
          <w:tcPr>
            <w:tcW w:w="4790" w:type="dxa"/>
            <w:shd w:val="clear" w:color="auto" w:fill="auto"/>
            <w:noWrap/>
            <w:hideMark/>
          </w:tcPr>
          <w:p w14:paraId="1CFBC8F0"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rPr>
                <w:rFonts w:asciiTheme="majorBidi" w:hAnsiTheme="majorBidi" w:cstheme="majorBidi"/>
                <w:sz w:val="17"/>
                <w:szCs w:val="17"/>
                <w:lang w:val="fr-FR"/>
              </w:rPr>
            </w:pPr>
            <w:r w:rsidRPr="00A66C9F">
              <w:rPr>
                <w:rFonts w:asciiTheme="majorBidi" w:hAnsiTheme="majorBidi" w:cstheme="majorBidi"/>
                <w:sz w:val="17"/>
                <w:szCs w:val="17"/>
                <w:lang w:val="fr-FR"/>
              </w:rPr>
              <w:tab/>
              <w:t>Transfert net depuis/à d’autres régimes de pensions</w:t>
            </w:r>
          </w:p>
        </w:tc>
        <w:tc>
          <w:tcPr>
            <w:tcW w:w="909" w:type="dxa"/>
            <w:shd w:val="clear" w:color="auto" w:fill="auto"/>
            <w:noWrap/>
            <w:vAlign w:val="bottom"/>
          </w:tcPr>
          <w:p w14:paraId="0258628D"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rFonts w:asciiTheme="majorBidi" w:hAnsiTheme="majorBidi" w:cstheme="majorBidi"/>
                <w:b/>
                <w:sz w:val="17"/>
                <w:szCs w:val="17"/>
                <w:lang w:val="fr-FR"/>
              </w:rPr>
            </w:pPr>
          </w:p>
        </w:tc>
        <w:tc>
          <w:tcPr>
            <w:tcW w:w="1441" w:type="dxa"/>
            <w:shd w:val="clear" w:color="auto" w:fill="auto"/>
            <w:noWrap/>
            <w:vAlign w:val="bottom"/>
          </w:tcPr>
          <w:p w14:paraId="13C97A04"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rFonts w:asciiTheme="majorBidi" w:hAnsiTheme="majorBidi" w:cstheme="majorBidi"/>
                <w:sz w:val="17"/>
                <w:szCs w:val="17"/>
                <w:lang w:val="fr-FR"/>
              </w:rPr>
            </w:pPr>
            <w:r w:rsidRPr="00A66C9F">
              <w:rPr>
                <w:rFonts w:asciiTheme="majorBidi" w:hAnsiTheme="majorBidi" w:cstheme="majorBidi"/>
                <w:sz w:val="17"/>
                <w:szCs w:val="17"/>
                <w:lang w:val="fr-FR"/>
              </w:rPr>
              <w:t xml:space="preserve"> 21 780 </w:t>
            </w:r>
          </w:p>
        </w:tc>
        <w:tc>
          <w:tcPr>
            <w:tcW w:w="1442" w:type="dxa"/>
            <w:shd w:val="clear" w:color="auto" w:fill="auto"/>
            <w:noWrap/>
            <w:vAlign w:val="bottom"/>
          </w:tcPr>
          <w:p w14:paraId="335AA72D"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rFonts w:asciiTheme="majorBidi" w:hAnsiTheme="majorBidi" w:cstheme="majorBidi"/>
                <w:sz w:val="17"/>
                <w:szCs w:val="17"/>
                <w:lang w:val="fr-FR"/>
              </w:rPr>
            </w:pPr>
            <w:r w:rsidRPr="00A66C9F">
              <w:rPr>
                <w:rFonts w:asciiTheme="majorBidi" w:hAnsiTheme="majorBidi" w:cstheme="majorBidi"/>
                <w:sz w:val="17"/>
                <w:szCs w:val="17"/>
                <w:lang w:val="fr-FR"/>
              </w:rPr>
              <w:t>(475)</w:t>
            </w:r>
          </w:p>
        </w:tc>
      </w:tr>
      <w:tr w:rsidR="006A2B1E" w:rsidRPr="00A66C9F" w14:paraId="4000BAD5" w14:textId="77777777" w:rsidTr="00107D5D">
        <w:trPr>
          <w:cantSplit/>
        </w:trPr>
        <w:tc>
          <w:tcPr>
            <w:tcW w:w="4790" w:type="dxa"/>
            <w:shd w:val="clear" w:color="auto" w:fill="auto"/>
            <w:noWrap/>
            <w:hideMark/>
          </w:tcPr>
          <w:p w14:paraId="2E970403"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rPr>
                <w:rFonts w:asciiTheme="majorBidi" w:hAnsiTheme="majorBidi" w:cstheme="majorBidi"/>
                <w:sz w:val="17"/>
                <w:szCs w:val="17"/>
                <w:lang w:val="fr-FR"/>
              </w:rPr>
            </w:pPr>
            <w:r w:rsidRPr="00A66C9F">
              <w:rPr>
                <w:rFonts w:asciiTheme="majorBidi" w:hAnsiTheme="majorBidi" w:cstheme="majorBidi"/>
                <w:sz w:val="17"/>
                <w:szCs w:val="17"/>
                <w:lang w:val="fr-FR"/>
              </w:rPr>
              <w:tab/>
              <w:t>Dépenses d’administration</w:t>
            </w:r>
          </w:p>
        </w:tc>
        <w:tc>
          <w:tcPr>
            <w:tcW w:w="909" w:type="dxa"/>
            <w:shd w:val="clear" w:color="auto" w:fill="auto"/>
            <w:noWrap/>
            <w:vAlign w:val="bottom"/>
          </w:tcPr>
          <w:p w14:paraId="7281B8FC"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rFonts w:asciiTheme="majorBidi" w:hAnsiTheme="majorBidi" w:cstheme="majorBidi"/>
                <w:b/>
                <w:sz w:val="17"/>
                <w:szCs w:val="17"/>
                <w:lang w:val="fr-FR"/>
              </w:rPr>
            </w:pPr>
          </w:p>
        </w:tc>
        <w:tc>
          <w:tcPr>
            <w:tcW w:w="1441" w:type="dxa"/>
            <w:shd w:val="clear" w:color="auto" w:fill="auto"/>
            <w:noWrap/>
            <w:vAlign w:val="bottom"/>
          </w:tcPr>
          <w:p w14:paraId="75A289D7"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rFonts w:asciiTheme="majorBidi" w:hAnsiTheme="majorBidi" w:cstheme="majorBidi"/>
                <w:sz w:val="17"/>
                <w:szCs w:val="17"/>
                <w:lang w:val="fr-FR"/>
              </w:rPr>
            </w:pPr>
            <w:r w:rsidRPr="00A66C9F">
              <w:rPr>
                <w:rFonts w:asciiTheme="majorBidi" w:hAnsiTheme="majorBidi" w:cstheme="majorBidi"/>
                <w:sz w:val="17"/>
                <w:szCs w:val="17"/>
                <w:lang w:val="fr-FR"/>
              </w:rPr>
              <w:t xml:space="preserve"> (80 574)</w:t>
            </w:r>
          </w:p>
        </w:tc>
        <w:tc>
          <w:tcPr>
            <w:tcW w:w="1442" w:type="dxa"/>
            <w:shd w:val="clear" w:color="auto" w:fill="auto"/>
            <w:noWrap/>
            <w:vAlign w:val="bottom"/>
          </w:tcPr>
          <w:p w14:paraId="778EE554"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rFonts w:asciiTheme="majorBidi" w:hAnsiTheme="majorBidi" w:cstheme="majorBidi"/>
                <w:sz w:val="17"/>
                <w:szCs w:val="17"/>
                <w:lang w:val="fr-FR"/>
              </w:rPr>
            </w:pPr>
            <w:r w:rsidRPr="00A66C9F">
              <w:rPr>
                <w:rFonts w:asciiTheme="majorBidi" w:hAnsiTheme="majorBidi" w:cstheme="majorBidi"/>
                <w:sz w:val="17"/>
                <w:szCs w:val="17"/>
                <w:lang w:val="fr-FR"/>
              </w:rPr>
              <w:t>(77 953)</w:t>
            </w:r>
          </w:p>
        </w:tc>
      </w:tr>
      <w:tr w:rsidR="006A2B1E" w:rsidRPr="00A66C9F" w14:paraId="6648B197" w14:textId="77777777" w:rsidTr="00107D5D">
        <w:trPr>
          <w:cantSplit/>
        </w:trPr>
        <w:tc>
          <w:tcPr>
            <w:tcW w:w="4790" w:type="dxa"/>
            <w:tcBorders>
              <w:bottom w:val="single" w:sz="4" w:space="0" w:color="auto"/>
            </w:tcBorders>
            <w:shd w:val="clear" w:color="auto" w:fill="auto"/>
            <w:noWrap/>
            <w:hideMark/>
          </w:tcPr>
          <w:p w14:paraId="770C45D5" w14:textId="77777777" w:rsidR="006A2B1E" w:rsidRPr="00A66C9F" w:rsidRDefault="006A2B1E" w:rsidP="00107D5D">
            <w:pPr>
              <w:tabs>
                <w:tab w:val="left" w:pos="288"/>
                <w:tab w:val="left" w:pos="576"/>
                <w:tab w:val="left" w:pos="864"/>
                <w:tab w:val="left" w:pos="1152"/>
              </w:tabs>
              <w:suppressAutoHyphens/>
              <w:spacing w:before="40" w:after="81" w:line="210" w:lineRule="exact"/>
              <w:ind w:right="43"/>
              <w:rPr>
                <w:rFonts w:asciiTheme="majorBidi" w:hAnsiTheme="majorBidi" w:cstheme="majorBidi"/>
                <w:sz w:val="17"/>
                <w:szCs w:val="17"/>
                <w:lang w:val="fr-FR"/>
              </w:rPr>
            </w:pPr>
            <w:r w:rsidRPr="00A66C9F">
              <w:rPr>
                <w:rFonts w:asciiTheme="majorBidi" w:hAnsiTheme="majorBidi" w:cstheme="majorBidi"/>
                <w:sz w:val="17"/>
                <w:szCs w:val="17"/>
                <w:lang w:val="fr-FR"/>
              </w:rPr>
              <w:tab/>
              <w:t>Paiements divers (montants nets)</w:t>
            </w:r>
          </w:p>
        </w:tc>
        <w:tc>
          <w:tcPr>
            <w:tcW w:w="909" w:type="dxa"/>
            <w:tcBorders>
              <w:bottom w:val="single" w:sz="4" w:space="0" w:color="auto"/>
            </w:tcBorders>
            <w:shd w:val="clear" w:color="auto" w:fill="auto"/>
            <w:noWrap/>
            <w:vAlign w:val="bottom"/>
          </w:tcPr>
          <w:p w14:paraId="2CDFEF05"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3"/>
              <w:jc w:val="left"/>
              <w:rPr>
                <w:rFonts w:asciiTheme="majorBidi" w:hAnsiTheme="majorBidi" w:cstheme="majorBidi"/>
                <w:b/>
                <w:sz w:val="17"/>
                <w:szCs w:val="17"/>
                <w:lang w:val="fr-FR"/>
              </w:rPr>
            </w:pPr>
          </w:p>
        </w:tc>
        <w:tc>
          <w:tcPr>
            <w:tcW w:w="1441" w:type="dxa"/>
            <w:tcBorders>
              <w:bottom w:val="single" w:sz="4" w:space="0" w:color="auto"/>
            </w:tcBorders>
            <w:shd w:val="clear" w:color="auto" w:fill="auto"/>
            <w:noWrap/>
            <w:vAlign w:val="bottom"/>
          </w:tcPr>
          <w:p w14:paraId="25E1695C" w14:textId="77777777" w:rsidR="006A2B1E" w:rsidRPr="00A66C9F" w:rsidRDefault="006A2B1E" w:rsidP="00107D5D">
            <w:pPr>
              <w:tabs>
                <w:tab w:val="left" w:pos="288"/>
                <w:tab w:val="left" w:pos="576"/>
                <w:tab w:val="left" w:pos="864"/>
                <w:tab w:val="left" w:pos="1152"/>
              </w:tabs>
              <w:suppressAutoHyphens/>
              <w:spacing w:before="40" w:after="81" w:line="210" w:lineRule="exact"/>
              <w:ind w:right="43"/>
              <w:jc w:val="right"/>
              <w:rPr>
                <w:rFonts w:asciiTheme="majorBidi" w:hAnsiTheme="majorBidi" w:cstheme="majorBidi"/>
                <w:sz w:val="17"/>
                <w:szCs w:val="17"/>
                <w:lang w:val="fr-FR"/>
              </w:rPr>
            </w:pPr>
            <w:r w:rsidRPr="00A66C9F">
              <w:rPr>
                <w:rFonts w:asciiTheme="majorBidi" w:hAnsiTheme="majorBidi" w:cstheme="majorBidi"/>
                <w:sz w:val="17"/>
                <w:szCs w:val="17"/>
                <w:lang w:val="fr-FR"/>
              </w:rPr>
              <w:t xml:space="preserve"> (950)</w:t>
            </w:r>
          </w:p>
        </w:tc>
        <w:tc>
          <w:tcPr>
            <w:tcW w:w="1442" w:type="dxa"/>
            <w:tcBorders>
              <w:bottom w:val="single" w:sz="4" w:space="0" w:color="auto"/>
            </w:tcBorders>
            <w:shd w:val="clear" w:color="auto" w:fill="auto"/>
            <w:noWrap/>
            <w:vAlign w:val="bottom"/>
          </w:tcPr>
          <w:p w14:paraId="5393C064" w14:textId="77777777" w:rsidR="006A2B1E" w:rsidRPr="00A66C9F" w:rsidRDefault="006A2B1E" w:rsidP="00107D5D">
            <w:pPr>
              <w:tabs>
                <w:tab w:val="left" w:pos="288"/>
                <w:tab w:val="left" w:pos="576"/>
                <w:tab w:val="left" w:pos="864"/>
                <w:tab w:val="left" w:pos="1152"/>
              </w:tabs>
              <w:suppressAutoHyphens/>
              <w:spacing w:before="40" w:after="81" w:line="210" w:lineRule="exact"/>
              <w:ind w:right="43"/>
              <w:jc w:val="right"/>
              <w:rPr>
                <w:rFonts w:asciiTheme="majorBidi" w:hAnsiTheme="majorBidi" w:cstheme="majorBidi"/>
                <w:sz w:val="17"/>
                <w:szCs w:val="17"/>
                <w:lang w:val="fr-FR"/>
              </w:rPr>
            </w:pPr>
            <w:r w:rsidRPr="00A66C9F">
              <w:rPr>
                <w:rFonts w:asciiTheme="majorBidi" w:hAnsiTheme="majorBidi" w:cstheme="majorBidi"/>
                <w:sz w:val="17"/>
                <w:szCs w:val="17"/>
                <w:lang w:val="fr-FR"/>
              </w:rPr>
              <w:t>(696)</w:t>
            </w:r>
          </w:p>
        </w:tc>
      </w:tr>
      <w:tr w:rsidR="006A2B1E" w:rsidRPr="00A66C9F" w14:paraId="5B443692" w14:textId="77777777" w:rsidTr="00107D5D">
        <w:trPr>
          <w:cantSplit/>
        </w:trPr>
        <w:tc>
          <w:tcPr>
            <w:tcW w:w="4790" w:type="dxa"/>
            <w:tcBorders>
              <w:top w:val="single" w:sz="4" w:space="0" w:color="auto"/>
              <w:bottom w:val="single" w:sz="4" w:space="0" w:color="auto"/>
            </w:tcBorders>
            <w:shd w:val="clear" w:color="auto" w:fill="auto"/>
            <w:noWrap/>
            <w:hideMark/>
          </w:tcPr>
          <w:p w14:paraId="0DD1D1F7" w14:textId="77777777" w:rsidR="006A2B1E" w:rsidRPr="00A66C9F" w:rsidRDefault="006A2B1E" w:rsidP="00107D5D">
            <w:pPr>
              <w:tabs>
                <w:tab w:val="left" w:pos="288"/>
                <w:tab w:val="left" w:pos="576"/>
                <w:tab w:val="left" w:pos="864"/>
                <w:tab w:val="left" w:pos="1152"/>
              </w:tabs>
              <w:suppressAutoHyphens/>
              <w:spacing w:before="81" w:after="81" w:line="210" w:lineRule="exact"/>
              <w:ind w:right="43"/>
              <w:rPr>
                <w:rFonts w:asciiTheme="majorBidi" w:eastAsia="Times New Roman" w:hAnsiTheme="majorBidi" w:cstheme="majorBidi"/>
                <w:b/>
                <w:bCs/>
                <w:color w:val="000000"/>
                <w:spacing w:val="0"/>
                <w:w w:val="100"/>
                <w:kern w:val="0"/>
                <w:sz w:val="17"/>
                <w:szCs w:val="17"/>
                <w:lang w:val="fr-FR"/>
              </w:rPr>
            </w:pPr>
            <w:r w:rsidRPr="00A66C9F">
              <w:rPr>
                <w:rFonts w:asciiTheme="majorBidi" w:eastAsia="Times New Roman" w:hAnsiTheme="majorBidi" w:cstheme="majorBidi"/>
                <w:b/>
                <w:bCs/>
                <w:color w:val="000000"/>
                <w:spacing w:val="0"/>
                <w:w w:val="100"/>
                <w:kern w:val="0"/>
                <w:sz w:val="17"/>
                <w:szCs w:val="17"/>
                <w:lang w:val="fr-FR"/>
              </w:rPr>
              <w:tab/>
              <w:t>Flux nets de trésorerie utilisés pour le fonctionnement</w:t>
            </w:r>
          </w:p>
        </w:tc>
        <w:tc>
          <w:tcPr>
            <w:tcW w:w="909" w:type="dxa"/>
            <w:tcBorders>
              <w:top w:val="single" w:sz="4" w:space="0" w:color="auto"/>
              <w:bottom w:val="single" w:sz="4" w:space="0" w:color="auto"/>
            </w:tcBorders>
            <w:shd w:val="clear" w:color="auto" w:fill="auto"/>
            <w:noWrap/>
            <w:vAlign w:val="bottom"/>
          </w:tcPr>
          <w:p w14:paraId="4570979E"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3"/>
              <w:jc w:val="left"/>
              <w:rPr>
                <w:rFonts w:asciiTheme="majorBidi" w:hAnsiTheme="majorBidi" w:cstheme="majorBidi"/>
                <w:b/>
                <w:sz w:val="17"/>
                <w:szCs w:val="17"/>
                <w:lang w:val="fr-FR"/>
              </w:rPr>
            </w:pPr>
          </w:p>
        </w:tc>
        <w:tc>
          <w:tcPr>
            <w:tcW w:w="1441" w:type="dxa"/>
            <w:tcBorders>
              <w:top w:val="single" w:sz="4" w:space="0" w:color="auto"/>
              <w:bottom w:val="single" w:sz="4" w:space="0" w:color="auto"/>
            </w:tcBorders>
            <w:shd w:val="clear" w:color="auto" w:fill="auto"/>
            <w:noWrap/>
            <w:vAlign w:val="bottom"/>
          </w:tcPr>
          <w:p w14:paraId="0B756CA8" w14:textId="77777777" w:rsidR="006A2B1E" w:rsidRPr="00A66C9F" w:rsidRDefault="006A2B1E" w:rsidP="00107D5D">
            <w:pPr>
              <w:tabs>
                <w:tab w:val="left" w:pos="288"/>
                <w:tab w:val="left" w:pos="576"/>
                <w:tab w:val="left" w:pos="864"/>
                <w:tab w:val="left" w:pos="1152"/>
              </w:tabs>
              <w:suppressAutoHyphens/>
              <w:spacing w:before="81" w:after="81" w:line="210" w:lineRule="exact"/>
              <w:ind w:right="43"/>
              <w:jc w:val="right"/>
              <w:rPr>
                <w:rFonts w:asciiTheme="majorBidi" w:hAnsiTheme="majorBidi" w:cstheme="majorBidi"/>
                <w:b/>
                <w:sz w:val="17"/>
                <w:szCs w:val="17"/>
                <w:lang w:val="fr-FR"/>
              </w:rPr>
            </w:pPr>
            <w:r w:rsidRPr="00A66C9F">
              <w:rPr>
                <w:rFonts w:asciiTheme="majorBidi" w:hAnsiTheme="majorBidi" w:cstheme="majorBidi"/>
                <w:b/>
                <w:sz w:val="17"/>
                <w:szCs w:val="17"/>
                <w:lang w:val="fr-FR"/>
              </w:rPr>
              <w:t xml:space="preserve"> (96 559)</w:t>
            </w:r>
          </w:p>
        </w:tc>
        <w:tc>
          <w:tcPr>
            <w:tcW w:w="1442" w:type="dxa"/>
            <w:tcBorders>
              <w:top w:val="single" w:sz="4" w:space="0" w:color="auto"/>
              <w:bottom w:val="single" w:sz="4" w:space="0" w:color="auto"/>
            </w:tcBorders>
            <w:shd w:val="clear" w:color="auto" w:fill="auto"/>
            <w:noWrap/>
            <w:vAlign w:val="bottom"/>
          </w:tcPr>
          <w:p w14:paraId="32D61DDB" w14:textId="77777777" w:rsidR="006A2B1E" w:rsidRPr="00A66C9F" w:rsidRDefault="006A2B1E" w:rsidP="00107D5D">
            <w:pPr>
              <w:tabs>
                <w:tab w:val="left" w:pos="288"/>
                <w:tab w:val="left" w:pos="576"/>
                <w:tab w:val="left" w:pos="864"/>
                <w:tab w:val="left" w:pos="1152"/>
              </w:tabs>
              <w:suppressAutoHyphens/>
              <w:spacing w:before="81" w:after="81" w:line="210" w:lineRule="exact"/>
              <w:ind w:right="43"/>
              <w:jc w:val="right"/>
              <w:rPr>
                <w:rFonts w:asciiTheme="majorBidi" w:hAnsiTheme="majorBidi" w:cstheme="majorBidi"/>
                <w:b/>
                <w:sz w:val="17"/>
                <w:szCs w:val="17"/>
                <w:lang w:val="fr-FR"/>
              </w:rPr>
            </w:pPr>
            <w:r w:rsidRPr="00A66C9F">
              <w:rPr>
                <w:rFonts w:asciiTheme="majorBidi" w:hAnsiTheme="majorBidi" w:cstheme="majorBidi"/>
                <w:b/>
                <w:sz w:val="17"/>
                <w:szCs w:val="17"/>
                <w:lang w:val="fr-FR"/>
              </w:rPr>
              <w:t>(383 630)</w:t>
            </w:r>
          </w:p>
        </w:tc>
      </w:tr>
      <w:tr w:rsidR="006A2B1E" w:rsidRPr="00A66C9F" w14:paraId="28E7D398" w14:textId="77777777" w:rsidTr="00107D5D">
        <w:trPr>
          <w:cantSplit/>
        </w:trPr>
        <w:tc>
          <w:tcPr>
            <w:tcW w:w="4790" w:type="dxa"/>
            <w:tcBorders>
              <w:top w:val="single" w:sz="4" w:space="0" w:color="auto"/>
            </w:tcBorders>
            <w:shd w:val="clear" w:color="auto" w:fill="auto"/>
            <w:noWrap/>
            <w:hideMark/>
          </w:tcPr>
          <w:p w14:paraId="62EE5AF9" w14:textId="77777777" w:rsidR="006A2B1E" w:rsidRPr="00A66C9F" w:rsidRDefault="006A2B1E" w:rsidP="00107D5D">
            <w:pPr>
              <w:tabs>
                <w:tab w:val="left" w:pos="288"/>
                <w:tab w:val="left" w:pos="576"/>
                <w:tab w:val="left" w:pos="864"/>
                <w:tab w:val="left" w:pos="1152"/>
              </w:tabs>
              <w:suppressAutoHyphens/>
              <w:spacing w:before="81" w:after="40" w:line="210" w:lineRule="exact"/>
              <w:ind w:right="43"/>
              <w:rPr>
                <w:rFonts w:asciiTheme="majorBidi" w:eastAsia="Times New Roman" w:hAnsiTheme="majorBidi" w:cstheme="majorBidi"/>
                <w:b/>
                <w:bCs/>
                <w:color w:val="000000"/>
                <w:spacing w:val="0"/>
                <w:w w:val="100"/>
                <w:kern w:val="0"/>
                <w:sz w:val="17"/>
                <w:szCs w:val="17"/>
                <w:lang w:val="fr-FR"/>
              </w:rPr>
            </w:pPr>
            <w:r w:rsidRPr="00A66C9F">
              <w:rPr>
                <w:rFonts w:asciiTheme="majorBidi" w:eastAsia="Times New Roman" w:hAnsiTheme="majorBidi" w:cstheme="majorBidi"/>
                <w:b/>
                <w:bCs/>
                <w:color w:val="000000"/>
                <w:spacing w:val="0"/>
                <w:w w:val="100"/>
                <w:kern w:val="0"/>
                <w:sz w:val="17"/>
                <w:szCs w:val="17"/>
                <w:lang w:val="fr-FR"/>
              </w:rPr>
              <w:t>Diminution nette de la trésorerie et des équivalents de trésorerie</w:t>
            </w:r>
          </w:p>
        </w:tc>
        <w:tc>
          <w:tcPr>
            <w:tcW w:w="909" w:type="dxa"/>
            <w:tcBorders>
              <w:top w:val="single" w:sz="4" w:space="0" w:color="auto"/>
            </w:tcBorders>
            <w:shd w:val="clear" w:color="auto" w:fill="auto"/>
            <w:noWrap/>
            <w:vAlign w:val="bottom"/>
          </w:tcPr>
          <w:p w14:paraId="6D24FDC9"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3"/>
              <w:jc w:val="left"/>
              <w:rPr>
                <w:rFonts w:asciiTheme="majorBidi" w:hAnsiTheme="majorBidi" w:cstheme="majorBidi"/>
                <w:b/>
                <w:sz w:val="17"/>
                <w:szCs w:val="17"/>
                <w:lang w:val="fr-FR"/>
              </w:rPr>
            </w:pPr>
          </w:p>
        </w:tc>
        <w:tc>
          <w:tcPr>
            <w:tcW w:w="1441" w:type="dxa"/>
            <w:tcBorders>
              <w:top w:val="single" w:sz="4" w:space="0" w:color="auto"/>
            </w:tcBorders>
            <w:shd w:val="clear" w:color="auto" w:fill="auto"/>
            <w:noWrap/>
            <w:vAlign w:val="bottom"/>
          </w:tcPr>
          <w:p w14:paraId="3F290779" w14:textId="77777777" w:rsidR="006A2B1E" w:rsidRPr="00A66C9F" w:rsidRDefault="006A2B1E" w:rsidP="00107D5D">
            <w:pPr>
              <w:tabs>
                <w:tab w:val="left" w:pos="288"/>
                <w:tab w:val="left" w:pos="576"/>
                <w:tab w:val="left" w:pos="864"/>
                <w:tab w:val="left" w:pos="1152"/>
              </w:tabs>
              <w:suppressAutoHyphens/>
              <w:spacing w:before="81" w:after="40" w:line="210" w:lineRule="exact"/>
              <w:ind w:right="43"/>
              <w:jc w:val="right"/>
              <w:rPr>
                <w:rFonts w:asciiTheme="majorBidi" w:hAnsiTheme="majorBidi" w:cstheme="majorBidi"/>
                <w:sz w:val="17"/>
                <w:szCs w:val="17"/>
                <w:lang w:val="fr-FR"/>
              </w:rPr>
            </w:pPr>
            <w:r w:rsidRPr="00A66C9F">
              <w:rPr>
                <w:rFonts w:asciiTheme="majorBidi" w:hAnsiTheme="majorBidi" w:cstheme="majorBidi"/>
                <w:sz w:val="17"/>
                <w:szCs w:val="17"/>
                <w:lang w:val="fr-FR"/>
              </w:rPr>
              <w:t>(129 449)</w:t>
            </w:r>
          </w:p>
        </w:tc>
        <w:tc>
          <w:tcPr>
            <w:tcW w:w="1442" w:type="dxa"/>
            <w:tcBorders>
              <w:top w:val="single" w:sz="4" w:space="0" w:color="auto"/>
            </w:tcBorders>
            <w:shd w:val="clear" w:color="auto" w:fill="auto"/>
            <w:noWrap/>
            <w:vAlign w:val="bottom"/>
          </w:tcPr>
          <w:p w14:paraId="241085C0" w14:textId="77777777" w:rsidR="006A2B1E" w:rsidRPr="00A66C9F" w:rsidRDefault="006A2B1E" w:rsidP="00107D5D">
            <w:pPr>
              <w:tabs>
                <w:tab w:val="left" w:pos="288"/>
                <w:tab w:val="left" w:pos="576"/>
                <w:tab w:val="left" w:pos="864"/>
                <w:tab w:val="left" w:pos="1152"/>
              </w:tabs>
              <w:suppressAutoHyphens/>
              <w:spacing w:before="81" w:after="40" w:line="210" w:lineRule="exact"/>
              <w:ind w:right="43"/>
              <w:jc w:val="right"/>
              <w:rPr>
                <w:rFonts w:asciiTheme="majorBidi" w:hAnsiTheme="majorBidi" w:cstheme="majorBidi"/>
                <w:sz w:val="17"/>
                <w:szCs w:val="17"/>
                <w:lang w:val="fr-FR"/>
              </w:rPr>
            </w:pPr>
            <w:r w:rsidRPr="00A66C9F">
              <w:rPr>
                <w:rFonts w:asciiTheme="majorBidi" w:hAnsiTheme="majorBidi" w:cstheme="majorBidi"/>
                <w:sz w:val="17"/>
                <w:szCs w:val="17"/>
                <w:lang w:val="fr-FR"/>
              </w:rPr>
              <w:t>(408 479)</w:t>
            </w:r>
          </w:p>
        </w:tc>
      </w:tr>
      <w:tr w:rsidR="006A2B1E" w:rsidRPr="00A66C9F" w14:paraId="7BD24FDF" w14:textId="77777777" w:rsidTr="00107D5D">
        <w:trPr>
          <w:cantSplit/>
        </w:trPr>
        <w:tc>
          <w:tcPr>
            <w:tcW w:w="4790" w:type="dxa"/>
            <w:shd w:val="clear" w:color="auto" w:fill="auto"/>
            <w:noWrap/>
            <w:hideMark/>
          </w:tcPr>
          <w:p w14:paraId="60AD3493"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rPr>
                <w:rFonts w:asciiTheme="majorBidi" w:eastAsia="Times New Roman" w:hAnsiTheme="majorBidi" w:cstheme="majorBidi"/>
                <w:b/>
                <w:bCs/>
                <w:color w:val="000000"/>
                <w:spacing w:val="0"/>
                <w:w w:val="100"/>
                <w:kern w:val="0"/>
                <w:sz w:val="17"/>
                <w:szCs w:val="17"/>
                <w:lang w:val="fr-FR"/>
              </w:rPr>
            </w:pPr>
            <w:r w:rsidRPr="00A66C9F">
              <w:rPr>
                <w:rFonts w:asciiTheme="majorBidi" w:eastAsia="Times New Roman" w:hAnsiTheme="majorBidi" w:cstheme="majorBidi"/>
                <w:b/>
                <w:bCs/>
                <w:color w:val="000000"/>
                <w:spacing w:val="0"/>
                <w:w w:val="100"/>
                <w:kern w:val="0"/>
                <w:sz w:val="17"/>
                <w:szCs w:val="17"/>
                <w:lang w:val="fr-FR"/>
              </w:rPr>
              <w:t>Trésorerie et équivalents de trésorerie en début d’année</w:t>
            </w:r>
          </w:p>
        </w:tc>
        <w:tc>
          <w:tcPr>
            <w:tcW w:w="909" w:type="dxa"/>
            <w:shd w:val="clear" w:color="auto" w:fill="auto"/>
            <w:noWrap/>
            <w:vAlign w:val="bottom"/>
          </w:tcPr>
          <w:p w14:paraId="6FC6DABE"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left"/>
              <w:rPr>
                <w:rFonts w:asciiTheme="majorBidi" w:hAnsiTheme="majorBidi" w:cstheme="majorBidi"/>
                <w:bCs/>
                <w:sz w:val="17"/>
                <w:szCs w:val="17"/>
                <w:lang w:val="fr-FR"/>
              </w:rPr>
            </w:pPr>
            <w:r w:rsidRPr="00A66C9F">
              <w:rPr>
                <w:rFonts w:asciiTheme="majorBidi" w:hAnsiTheme="majorBidi" w:cstheme="majorBidi"/>
                <w:bCs/>
                <w:sz w:val="17"/>
                <w:szCs w:val="17"/>
                <w:lang w:val="fr-FR"/>
              </w:rPr>
              <w:t>4</w:t>
            </w:r>
          </w:p>
        </w:tc>
        <w:tc>
          <w:tcPr>
            <w:tcW w:w="1441" w:type="dxa"/>
            <w:shd w:val="clear" w:color="auto" w:fill="auto"/>
            <w:noWrap/>
            <w:vAlign w:val="bottom"/>
          </w:tcPr>
          <w:p w14:paraId="3AC2A814"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rFonts w:asciiTheme="majorBidi" w:hAnsiTheme="majorBidi" w:cstheme="majorBidi"/>
                <w:sz w:val="17"/>
                <w:szCs w:val="17"/>
                <w:lang w:val="fr-FR"/>
              </w:rPr>
            </w:pPr>
            <w:r w:rsidRPr="00A66C9F">
              <w:rPr>
                <w:rFonts w:asciiTheme="majorBidi" w:hAnsiTheme="majorBidi" w:cstheme="majorBidi"/>
                <w:sz w:val="17"/>
                <w:szCs w:val="17"/>
                <w:lang w:val="fr-FR"/>
              </w:rPr>
              <w:t xml:space="preserve"> 564 891 </w:t>
            </w:r>
          </w:p>
        </w:tc>
        <w:tc>
          <w:tcPr>
            <w:tcW w:w="1442" w:type="dxa"/>
            <w:shd w:val="clear" w:color="auto" w:fill="auto"/>
            <w:noWrap/>
            <w:vAlign w:val="bottom"/>
          </w:tcPr>
          <w:p w14:paraId="58B6E73F" w14:textId="77777777" w:rsidR="006A2B1E" w:rsidRPr="00A66C9F" w:rsidRDefault="006A2B1E" w:rsidP="00107D5D">
            <w:pPr>
              <w:tabs>
                <w:tab w:val="left" w:pos="288"/>
                <w:tab w:val="left" w:pos="576"/>
                <w:tab w:val="left" w:pos="864"/>
                <w:tab w:val="left" w:pos="1152"/>
              </w:tabs>
              <w:suppressAutoHyphens/>
              <w:spacing w:before="40" w:after="40" w:line="210" w:lineRule="exact"/>
              <w:ind w:right="43"/>
              <w:jc w:val="right"/>
              <w:rPr>
                <w:rFonts w:asciiTheme="majorBidi" w:hAnsiTheme="majorBidi" w:cstheme="majorBidi"/>
                <w:sz w:val="17"/>
                <w:szCs w:val="17"/>
                <w:lang w:val="fr-FR"/>
              </w:rPr>
            </w:pPr>
            <w:r w:rsidRPr="00A66C9F">
              <w:rPr>
                <w:rFonts w:asciiTheme="majorBidi" w:hAnsiTheme="majorBidi" w:cstheme="majorBidi"/>
                <w:sz w:val="17"/>
                <w:szCs w:val="17"/>
                <w:lang w:val="fr-FR"/>
              </w:rPr>
              <w:t>971 807</w:t>
            </w:r>
          </w:p>
        </w:tc>
      </w:tr>
      <w:tr w:rsidR="006A2B1E" w:rsidRPr="00A66C9F" w14:paraId="538DD0D3" w14:textId="77777777" w:rsidTr="00107D5D">
        <w:trPr>
          <w:cantSplit/>
        </w:trPr>
        <w:tc>
          <w:tcPr>
            <w:tcW w:w="4790" w:type="dxa"/>
            <w:tcBorders>
              <w:bottom w:val="single" w:sz="4" w:space="0" w:color="auto"/>
            </w:tcBorders>
            <w:shd w:val="clear" w:color="auto" w:fill="auto"/>
            <w:noWrap/>
          </w:tcPr>
          <w:p w14:paraId="4E4F251B" w14:textId="77777777" w:rsidR="006A2B1E" w:rsidRPr="00A66C9F" w:rsidRDefault="006A2B1E" w:rsidP="00107D5D">
            <w:pPr>
              <w:tabs>
                <w:tab w:val="left" w:pos="288"/>
                <w:tab w:val="left" w:pos="576"/>
                <w:tab w:val="left" w:pos="864"/>
                <w:tab w:val="left" w:pos="1152"/>
              </w:tabs>
              <w:suppressAutoHyphens/>
              <w:spacing w:before="40" w:after="81" w:line="210" w:lineRule="exact"/>
              <w:ind w:right="43"/>
              <w:rPr>
                <w:rFonts w:asciiTheme="majorBidi" w:eastAsia="Times New Roman" w:hAnsiTheme="majorBidi" w:cstheme="majorBidi"/>
                <w:b/>
                <w:bCs/>
                <w:color w:val="000000"/>
                <w:spacing w:val="0"/>
                <w:w w:val="100"/>
                <w:kern w:val="0"/>
                <w:sz w:val="17"/>
                <w:szCs w:val="17"/>
                <w:lang w:val="fr-FR"/>
              </w:rPr>
            </w:pPr>
            <w:r w:rsidRPr="00A66C9F">
              <w:rPr>
                <w:rFonts w:asciiTheme="majorBidi" w:eastAsia="Times New Roman" w:hAnsiTheme="majorBidi" w:cstheme="majorBidi"/>
                <w:b/>
                <w:bCs/>
                <w:color w:val="000000"/>
                <w:spacing w:val="0"/>
                <w:w w:val="100"/>
                <w:kern w:val="0"/>
                <w:sz w:val="17"/>
                <w:szCs w:val="17"/>
                <w:lang w:val="fr-FR"/>
              </w:rPr>
              <w:t>Gains de change sur la trésorerie et les équivalents de trésorerie</w:t>
            </w:r>
          </w:p>
        </w:tc>
        <w:tc>
          <w:tcPr>
            <w:tcW w:w="909" w:type="dxa"/>
            <w:tcBorders>
              <w:bottom w:val="single" w:sz="4" w:space="0" w:color="auto"/>
            </w:tcBorders>
            <w:shd w:val="clear" w:color="auto" w:fill="auto"/>
            <w:noWrap/>
            <w:vAlign w:val="bottom"/>
          </w:tcPr>
          <w:p w14:paraId="4D4F69D4"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3"/>
              <w:jc w:val="left"/>
              <w:rPr>
                <w:rFonts w:asciiTheme="majorBidi" w:hAnsiTheme="majorBidi" w:cstheme="majorBidi"/>
                <w:b/>
                <w:sz w:val="17"/>
                <w:szCs w:val="17"/>
                <w:lang w:val="fr-FR"/>
              </w:rPr>
            </w:pPr>
          </w:p>
        </w:tc>
        <w:tc>
          <w:tcPr>
            <w:tcW w:w="1441" w:type="dxa"/>
            <w:tcBorders>
              <w:bottom w:val="single" w:sz="4" w:space="0" w:color="auto"/>
            </w:tcBorders>
            <w:shd w:val="clear" w:color="auto" w:fill="auto"/>
            <w:noWrap/>
            <w:vAlign w:val="bottom"/>
          </w:tcPr>
          <w:p w14:paraId="7A9BCEDE" w14:textId="77777777" w:rsidR="006A2B1E" w:rsidRPr="00A66C9F" w:rsidRDefault="006A2B1E" w:rsidP="00107D5D">
            <w:pPr>
              <w:tabs>
                <w:tab w:val="left" w:pos="288"/>
                <w:tab w:val="left" w:pos="576"/>
                <w:tab w:val="left" w:pos="864"/>
                <w:tab w:val="left" w:pos="1152"/>
              </w:tabs>
              <w:suppressAutoHyphens/>
              <w:spacing w:before="40" w:after="81" w:line="210" w:lineRule="exact"/>
              <w:ind w:right="43"/>
              <w:jc w:val="right"/>
              <w:rPr>
                <w:rFonts w:asciiTheme="majorBidi" w:hAnsiTheme="majorBidi" w:cstheme="majorBidi"/>
                <w:sz w:val="17"/>
                <w:szCs w:val="17"/>
                <w:lang w:val="fr-FR"/>
              </w:rPr>
            </w:pPr>
            <w:r w:rsidRPr="00A66C9F">
              <w:rPr>
                <w:rFonts w:asciiTheme="majorBidi" w:hAnsiTheme="majorBidi" w:cstheme="majorBidi"/>
                <w:sz w:val="17"/>
                <w:szCs w:val="17"/>
                <w:lang w:val="fr-FR"/>
              </w:rPr>
              <w:t>912</w:t>
            </w:r>
          </w:p>
        </w:tc>
        <w:tc>
          <w:tcPr>
            <w:tcW w:w="1442" w:type="dxa"/>
            <w:tcBorders>
              <w:bottom w:val="single" w:sz="4" w:space="0" w:color="auto"/>
            </w:tcBorders>
            <w:shd w:val="clear" w:color="auto" w:fill="auto"/>
            <w:noWrap/>
            <w:vAlign w:val="bottom"/>
          </w:tcPr>
          <w:p w14:paraId="465C0738" w14:textId="77777777" w:rsidR="006A2B1E" w:rsidRPr="00A66C9F" w:rsidRDefault="006A2B1E" w:rsidP="00107D5D">
            <w:pPr>
              <w:tabs>
                <w:tab w:val="left" w:pos="288"/>
                <w:tab w:val="left" w:pos="576"/>
                <w:tab w:val="left" w:pos="864"/>
                <w:tab w:val="left" w:pos="1152"/>
              </w:tabs>
              <w:suppressAutoHyphens/>
              <w:spacing w:before="40" w:after="81" w:line="210" w:lineRule="exact"/>
              <w:ind w:right="43"/>
              <w:jc w:val="right"/>
              <w:rPr>
                <w:rFonts w:asciiTheme="majorBidi" w:hAnsiTheme="majorBidi" w:cstheme="majorBidi"/>
                <w:sz w:val="17"/>
                <w:szCs w:val="17"/>
                <w:lang w:val="fr-FR"/>
              </w:rPr>
            </w:pPr>
            <w:r w:rsidRPr="00A66C9F">
              <w:rPr>
                <w:rFonts w:asciiTheme="majorBidi" w:hAnsiTheme="majorBidi" w:cstheme="majorBidi"/>
                <w:sz w:val="17"/>
                <w:szCs w:val="17"/>
                <w:lang w:val="fr-FR"/>
              </w:rPr>
              <w:t>1 563</w:t>
            </w:r>
          </w:p>
        </w:tc>
      </w:tr>
      <w:tr w:rsidR="006A2B1E" w:rsidRPr="00A66C9F" w14:paraId="6080DA45" w14:textId="77777777" w:rsidTr="00107D5D">
        <w:trPr>
          <w:cantSplit/>
        </w:trPr>
        <w:tc>
          <w:tcPr>
            <w:tcW w:w="4790" w:type="dxa"/>
            <w:tcBorders>
              <w:top w:val="single" w:sz="4" w:space="0" w:color="auto"/>
              <w:bottom w:val="single" w:sz="12" w:space="0" w:color="auto"/>
            </w:tcBorders>
            <w:shd w:val="clear" w:color="auto" w:fill="auto"/>
            <w:noWrap/>
            <w:hideMark/>
          </w:tcPr>
          <w:p w14:paraId="0291148F" w14:textId="77777777" w:rsidR="006A2B1E" w:rsidRPr="00A66C9F" w:rsidRDefault="006A2B1E" w:rsidP="00107D5D">
            <w:pPr>
              <w:tabs>
                <w:tab w:val="left" w:pos="288"/>
              </w:tabs>
              <w:spacing w:before="81" w:after="81" w:line="210" w:lineRule="exact"/>
              <w:ind w:right="43"/>
              <w:rPr>
                <w:rFonts w:asciiTheme="majorBidi" w:eastAsia="Times New Roman" w:hAnsiTheme="majorBidi" w:cstheme="majorBidi"/>
                <w:b/>
                <w:bCs/>
                <w:color w:val="000000"/>
                <w:spacing w:val="0"/>
                <w:w w:val="100"/>
                <w:kern w:val="0"/>
                <w:sz w:val="17"/>
                <w:szCs w:val="17"/>
                <w:lang w:val="fr-FR"/>
              </w:rPr>
            </w:pPr>
            <w:r w:rsidRPr="00A66C9F">
              <w:rPr>
                <w:rFonts w:asciiTheme="majorBidi" w:eastAsia="Times New Roman" w:hAnsiTheme="majorBidi" w:cstheme="majorBidi"/>
                <w:b/>
                <w:bCs/>
                <w:color w:val="000000"/>
                <w:spacing w:val="0"/>
                <w:w w:val="100"/>
                <w:kern w:val="0"/>
                <w:sz w:val="17"/>
                <w:szCs w:val="17"/>
                <w:lang w:val="fr-FR"/>
              </w:rPr>
              <w:tab/>
              <w:t>Trésorerie et équivalents de trésorerie en fin d’année</w:t>
            </w:r>
          </w:p>
        </w:tc>
        <w:tc>
          <w:tcPr>
            <w:tcW w:w="909" w:type="dxa"/>
            <w:tcBorders>
              <w:top w:val="single" w:sz="4" w:space="0" w:color="auto"/>
              <w:bottom w:val="single" w:sz="12" w:space="0" w:color="auto"/>
            </w:tcBorders>
            <w:shd w:val="clear" w:color="auto" w:fill="auto"/>
            <w:noWrap/>
            <w:vAlign w:val="bottom"/>
          </w:tcPr>
          <w:p w14:paraId="12CE66A0" w14:textId="77777777" w:rsidR="006A2B1E" w:rsidRPr="00A66C9F" w:rsidRDefault="006A2B1E" w:rsidP="00107D5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3"/>
              <w:jc w:val="left"/>
              <w:rPr>
                <w:rFonts w:asciiTheme="majorBidi" w:hAnsiTheme="majorBidi" w:cstheme="majorBidi"/>
                <w:b/>
                <w:bCs/>
                <w:sz w:val="17"/>
                <w:szCs w:val="17"/>
                <w:lang w:val="fr-FR"/>
              </w:rPr>
            </w:pPr>
            <w:r w:rsidRPr="00A66C9F">
              <w:rPr>
                <w:rFonts w:asciiTheme="majorBidi" w:hAnsiTheme="majorBidi" w:cstheme="majorBidi"/>
                <w:b/>
                <w:bCs/>
                <w:sz w:val="17"/>
                <w:szCs w:val="17"/>
                <w:lang w:val="fr-FR"/>
              </w:rPr>
              <w:t>4</w:t>
            </w:r>
          </w:p>
        </w:tc>
        <w:tc>
          <w:tcPr>
            <w:tcW w:w="1441" w:type="dxa"/>
            <w:tcBorders>
              <w:top w:val="single" w:sz="4" w:space="0" w:color="auto"/>
              <w:bottom w:val="single" w:sz="12" w:space="0" w:color="auto"/>
            </w:tcBorders>
            <w:shd w:val="clear" w:color="auto" w:fill="auto"/>
            <w:noWrap/>
            <w:vAlign w:val="bottom"/>
          </w:tcPr>
          <w:p w14:paraId="1343D635" w14:textId="77777777" w:rsidR="006A2B1E" w:rsidRPr="00A66C9F" w:rsidRDefault="006A2B1E" w:rsidP="00107D5D">
            <w:pPr>
              <w:tabs>
                <w:tab w:val="left" w:pos="288"/>
                <w:tab w:val="left" w:pos="576"/>
                <w:tab w:val="left" w:pos="864"/>
                <w:tab w:val="left" w:pos="1152"/>
              </w:tabs>
              <w:suppressAutoHyphens/>
              <w:spacing w:before="81" w:after="81" w:line="210" w:lineRule="exact"/>
              <w:ind w:right="43"/>
              <w:jc w:val="right"/>
              <w:rPr>
                <w:rFonts w:asciiTheme="majorBidi" w:hAnsiTheme="majorBidi" w:cstheme="majorBidi"/>
                <w:b/>
                <w:sz w:val="17"/>
                <w:szCs w:val="17"/>
                <w:lang w:val="fr-FR"/>
              </w:rPr>
            </w:pPr>
            <w:r w:rsidRPr="00A66C9F">
              <w:rPr>
                <w:rFonts w:asciiTheme="majorBidi" w:hAnsiTheme="majorBidi" w:cstheme="majorBidi"/>
                <w:b/>
                <w:sz w:val="17"/>
                <w:szCs w:val="17"/>
                <w:lang w:val="fr-FR"/>
              </w:rPr>
              <w:t>436 354</w:t>
            </w:r>
          </w:p>
        </w:tc>
        <w:tc>
          <w:tcPr>
            <w:tcW w:w="1442" w:type="dxa"/>
            <w:tcBorders>
              <w:top w:val="single" w:sz="4" w:space="0" w:color="auto"/>
              <w:bottom w:val="single" w:sz="12" w:space="0" w:color="auto"/>
            </w:tcBorders>
            <w:shd w:val="clear" w:color="auto" w:fill="auto"/>
            <w:noWrap/>
            <w:vAlign w:val="bottom"/>
          </w:tcPr>
          <w:p w14:paraId="2C7D5DB6" w14:textId="77777777" w:rsidR="006A2B1E" w:rsidRPr="00A66C9F" w:rsidRDefault="006A2B1E" w:rsidP="00107D5D">
            <w:pPr>
              <w:tabs>
                <w:tab w:val="left" w:pos="288"/>
                <w:tab w:val="left" w:pos="576"/>
                <w:tab w:val="left" w:pos="864"/>
                <w:tab w:val="left" w:pos="1152"/>
              </w:tabs>
              <w:suppressAutoHyphens/>
              <w:spacing w:before="81" w:after="81" w:line="210" w:lineRule="exact"/>
              <w:ind w:right="43"/>
              <w:jc w:val="right"/>
              <w:rPr>
                <w:rFonts w:asciiTheme="majorBidi" w:hAnsiTheme="majorBidi" w:cstheme="majorBidi"/>
                <w:b/>
                <w:sz w:val="17"/>
                <w:szCs w:val="17"/>
                <w:lang w:val="fr-FR"/>
              </w:rPr>
            </w:pPr>
            <w:r w:rsidRPr="00A66C9F">
              <w:rPr>
                <w:rFonts w:asciiTheme="majorBidi" w:hAnsiTheme="majorBidi" w:cstheme="majorBidi"/>
                <w:b/>
                <w:sz w:val="17"/>
                <w:szCs w:val="17"/>
                <w:lang w:val="fr-FR"/>
              </w:rPr>
              <w:t>564 891</w:t>
            </w:r>
          </w:p>
        </w:tc>
      </w:tr>
    </w:tbl>
    <w:p w14:paraId="4A426A06" w14:textId="77777777" w:rsidR="006A2B1E" w:rsidRPr="00A66C9F" w:rsidRDefault="006A2B1E" w:rsidP="006A2B1E">
      <w:pPr>
        <w:pStyle w:val="SingleTxt"/>
        <w:spacing w:after="0" w:line="120" w:lineRule="exact"/>
        <w:rPr>
          <w:sz w:val="10"/>
          <w:lang w:val="fr-FR"/>
        </w:rPr>
      </w:pPr>
    </w:p>
    <w:p w14:paraId="70EA43AA" w14:textId="77777777" w:rsidR="006A2B1E" w:rsidRPr="00A66C9F" w:rsidRDefault="006A2B1E" w:rsidP="006A2B1E">
      <w:pPr>
        <w:pStyle w:val="FootnoteText"/>
        <w:tabs>
          <w:tab w:val="right" w:pos="1476"/>
          <w:tab w:val="left" w:pos="1548"/>
          <w:tab w:val="right" w:pos="1836"/>
          <w:tab w:val="left" w:pos="1908"/>
        </w:tabs>
        <w:ind w:left="1548" w:hanging="288"/>
        <w:rPr>
          <w:lang w:val="fr-FR"/>
        </w:rPr>
      </w:pPr>
      <w:r w:rsidRPr="00A66C9F">
        <w:rPr>
          <w:lang w:val="fr-FR"/>
        </w:rPr>
        <w:tab/>
        <w:t>Les notes explicatives font partie intégrante des présents états financiers.</w:t>
      </w:r>
    </w:p>
    <w:p w14:paraId="75EAAA10" w14:textId="33FF0B73" w:rsidR="00D62B67" w:rsidRPr="00A66C9F" w:rsidRDefault="00D62B67" w:rsidP="00DB7521">
      <w:pPr>
        <w:pStyle w:val="SingleTxt"/>
        <w:tabs>
          <w:tab w:val="right" w:pos="1685"/>
        </w:tabs>
        <w:ind w:left="1742" w:hanging="475"/>
        <w:rPr>
          <w:lang w:val="fr-FR"/>
        </w:rPr>
      </w:pPr>
    </w:p>
    <w:p w14:paraId="5A66FC57" w14:textId="148A9912" w:rsidR="006A2B1E" w:rsidRPr="00A66C9F" w:rsidRDefault="006A2B1E">
      <w:pPr>
        <w:spacing w:after="200" w:line="276" w:lineRule="auto"/>
        <w:rPr>
          <w:lang w:val="fr-FR"/>
        </w:rPr>
      </w:pPr>
      <w:r w:rsidRPr="00A66C9F">
        <w:rPr>
          <w:lang w:val="fr-FR"/>
        </w:rPr>
        <w:br w:type="page"/>
      </w:r>
    </w:p>
    <w:p w14:paraId="3BDAE387" w14:textId="77777777" w:rsidR="005720FB" w:rsidRPr="00A66C9F" w:rsidRDefault="005720FB" w:rsidP="00DB7521">
      <w:pPr>
        <w:pStyle w:val="SingleTxt"/>
        <w:tabs>
          <w:tab w:val="right" w:pos="1685"/>
        </w:tabs>
        <w:ind w:left="1742" w:hanging="475"/>
        <w:rPr>
          <w:lang w:val="fr-FR"/>
        </w:rPr>
        <w:sectPr w:rsidR="005720FB" w:rsidRPr="00A66C9F" w:rsidSect="00D62B67">
          <w:headerReference w:type="even" r:id="rId13"/>
          <w:headerReference w:type="default" r:id="rId14"/>
          <w:footerReference w:type="even" r:id="rId15"/>
          <w:footerReference w:type="default" r:id="rId16"/>
          <w:pgSz w:w="12240" w:h="15840"/>
          <w:pgMar w:top="1440" w:right="1200" w:bottom="1152" w:left="1200" w:header="432" w:footer="504" w:gutter="0"/>
          <w:cols w:space="720"/>
          <w:noEndnote/>
          <w:docGrid w:linePitch="360"/>
        </w:sectPr>
      </w:pPr>
    </w:p>
    <w:p w14:paraId="6A799EC2" w14:textId="77777777" w:rsidR="005720FB" w:rsidRPr="00A66C9F" w:rsidRDefault="005720FB" w:rsidP="005720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lastRenderedPageBreak/>
        <w:t>Caisse commune des pensions du personnel des Nations Unies</w:t>
      </w:r>
    </w:p>
    <w:p w14:paraId="56CC77A1" w14:textId="77777777" w:rsidR="005720FB" w:rsidRPr="00A66C9F" w:rsidRDefault="005720FB" w:rsidP="005720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Tableau A</w:t>
      </w:r>
    </w:p>
    <w:p w14:paraId="7D163EB1" w14:textId="77777777" w:rsidR="005720FB" w:rsidRPr="00A66C9F" w:rsidRDefault="005720FB" w:rsidP="005720FB">
      <w:pPr>
        <w:pStyle w:val="SingleTxt"/>
        <w:spacing w:after="0" w:line="120" w:lineRule="exact"/>
        <w:rPr>
          <w:sz w:val="10"/>
          <w:lang w:val="fr-FR"/>
        </w:rPr>
      </w:pPr>
    </w:p>
    <w:p w14:paraId="596FF905" w14:textId="06F2E101" w:rsidR="005720FB" w:rsidRPr="00A66C9F" w:rsidRDefault="005720FB" w:rsidP="005720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FR"/>
        </w:rPr>
      </w:pPr>
      <w:bookmarkStart w:id="19" w:name="_Toc512001265"/>
      <w:bookmarkStart w:id="20" w:name="_Toc38529164"/>
      <w:r w:rsidRPr="00A66C9F">
        <w:rPr>
          <w:lang w:val="fr-FR"/>
        </w:rPr>
        <w:tab/>
        <w:t>IV. État comparatif des montants inscrits au budget et des montants effectifs sur une base comparable ; dépenses d’administration de l’exercice biennal 2018-2019</w:t>
      </w:r>
      <w:bookmarkEnd w:id="19"/>
      <w:bookmarkEnd w:id="20"/>
    </w:p>
    <w:p w14:paraId="37B1243C" w14:textId="77777777" w:rsidR="005720FB" w:rsidRPr="00A66C9F" w:rsidRDefault="005720FB" w:rsidP="005720FB">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sz w:val="14"/>
          <w:szCs w:val="14"/>
          <w:lang w:val="fr-FR"/>
        </w:rPr>
        <w:t>(En milliers de dollars des États-Unis)</w:t>
      </w:r>
    </w:p>
    <w:p w14:paraId="21C7EF76" w14:textId="77777777" w:rsidR="005720FB" w:rsidRPr="00A66C9F" w:rsidRDefault="005720FB" w:rsidP="005720FB">
      <w:pPr>
        <w:pStyle w:val="SingleTxt"/>
        <w:spacing w:after="0" w:line="120" w:lineRule="exact"/>
        <w:rPr>
          <w:sz w:val="10"/>
          <w:lang w:val="fr-FR"/>
        </w:rPr>
      </w:pPr>
    </w:p>
    <w:p w14:paraId="0E3A374B" w14:textId="77777777" w:rsidR="005720FB" w:rsidRPr="00A66C9F" w:rsidRDefault="005720FB" w:rsidP="005720FB">
      <w:pPr>
        <w:pStyle w:val="SingleTxt"/>
        <w:spacing w:after="0" w:line="120" w:lineRule="exact"/>
        <w:rPr>
          <w:sz w:val="10"/>
          <w:lang w:val="fr-FR"/>
        </w:rPr>
      </w:pPr>
    </w:p>
    <w:tbl>
      <w:tblPr>
        <w:tblW w:w="13230" w:type="dxa"/>
        <w:tblLayout w:type="fixed"/>
        <w:tblCellMar>
          <w:left w:w="0" w:type="dxa"/>
          <w:right w:w="0" w:type="dxa"/>
        </w:tblCellMar>
        <w:tblLook w:val="04A0" w:firstRow="1" w:lastRow="0" w:firstColumn="1" w:lastColumn="0" w:noHBand="0" w:noVBand="1"/>
      </w:tblPr>
      <w:tblGrid>
        <w:gridCol w:w="270"/>
        <w:gridCol w:w="1800"/>
        <w:gridCol w:w="865"/>
        <w:gridCol w:w="865"/>
        <w:gridCol w:w="866"/>
        <w:gridCol w:w="104"/>
        <w:gridCol w:w="761"/>
        <w:gridCol w:w="865"/>
        <w:gridCol w:w="866"/>
        <w:gridCol w:w="118"/>
        <w:gridCol w:w="747"/>
        <w:gridCol w:w="866"/>
        <w:gridCol w:w="865"/>
        <w:gridCol w:w="132"/>
        <w:gridCol w:w="733"/>
        <w:gridCol w:w="866"/>
        <w:gridCol w:w="741"/>
        <w:gridCol w:w="900"/>
      </w:tblGrid>
      <w:tr w:rsidR="005720FB" w:rsidRPr="00A66C9F" w14:paraId="029CBE18" w14:textId="77777777" w:rsidTr="00225C0F">
        <w:trPr>
          <w:cantSplit/>
          <w:tblHeader/>
        </w:trPr>
        <w:tc>
          <w:tcPr>
            <w:tcW w:w="2070" w:type="dxa"/>
            <w:gridSpan w:val="2"/>
            <w:tcBorders>
              <w:top w:val="single" w:sz="4" w:space="0" w:color="auto"/>
            </w:tcBorders>
            <w:shd w:val="clear" w:color="auto" w:fill="auto"/>
            <w:noWrap/>
            <w:vAlign w:val="bottom"/>
            <w:hideMark/>
          </w:tcPr>
          <w:p w14:paraId="6A67FF47" w14:textId="77777777" w:rsidR="005720FB" w:rsidRPr="00A66C9F" w:rsidRDefault="005720FB" w:rsidP="00107D5D">
            <w:pPr>
              <w:suppressAutoHyphens/>
              <w:spacing w:before="81" w:after="81" w:line="160" w:lineRule="exact"/>
              <w:ind w:right="40"/>
              <w:rPr>
                <w:i/>
                <w:sz w:val="14"/>
                <w:lang w:val="fr-FR"/>
              </w:rPr>
            </w:pPr>
          </w:p>
        </w:tc>
        <w:tc>
          <w:tcPr>
            <w:tcW w:w="2596" w:type="dxa"/>
            <w:gridSpan w:val="3"/>
            <w:tcBorders>
              <w:top w:val="single" w:sz="4" w:space="0" w:color="auto"/>
              <w:bottom w:val="single" w:sz="2" w:space="0" w:color="auto"/>
            </w:tcBorders>
            <w:shd w:val="clear" w:color="auto" w:fill="auto"/>
            <w:noWrap/>
            <w:vAlign w:val="bottom"/>
            <w:hideMark/>
          </w:tcPr>
          <w:p w14:paraId="32B92820" w14:textId="77777777" w:rsidR="005720FB" w:rsidRPr="00A66C9F" w:rsidRDefault="005720FB" w:rsidP="00107D5D">
            <w:pPr>
              <w:suppressAutoHyphens/>
              <w:spacing w:before="81" w:after="81" w:line="160" w:lineRule="exact"/>
              <w:ind w:right="43"/>
              <w:jc w:val="center"/>
              <w:rPr>
                <w:i/>
                <w:sz w:val="14"/>
                <w:lang w:val="fr-FR"/>
              </w:rPr>
            </w:pPr>
            <w:r w:rsidRPr="00A66C9F">
              <w:rPr>
                <w:i/>
                <w:sz w:val="14"/>
                <w:lang w:val="fr-FR"/>
              </w:rPr>
              <w:t>Montant initial des crédits ouverts pour 2018-2019</w:t>
            </w:r>
          </w:p>
        </w:tc>
        <w:tc>
          <w:tcPr>
            <w:tcW w:w="104" w:type="dxa"/>
            <w:tcBorders>
              <w:top w:val="single" w:sz="4" w:space="0" w:color="auto"/>
            </w:tcBorders>
            <w:shd w:val="clear" w:color="auto" w:fill="auto"/>
            <w:noWrap/>
            <w:vAlign w:val="bottom"/>
            <w:hideMark/>
          </w:tcPr>
          <w:p w14:paraId="04452B98" w14:textId="77777777" w:rsidR="005720FB" w:rsidRPr="00A66C9F" w:rsidRDefault="005720FB" w:rsidP="00107D5D">
            <w:pPr>
              <w:suppressAutoHyphens/>
              <w:spacing w:before="81" w:after="81" w:line="160" w:lineRule="exact"/>
              <w:ind w:right="43"/>
              <w:jc w:val="center"/>
              <w:rPr>
                <w:i/>
                <w:sz w:val="14"/>
                <w:lang w:val="fr-FR"/>
              </w:rPr>
            </w:pPr>
          </w:p>
        </w:tc>
        <w:tc>
          <w:tcPr>
            <w:tcW w:w="2492" w:type="dxa"/>
            <w:gridSpan w:val="3"/>
            <w:tcBorders>
              <w:top w:val="single" w:sz="4" w:space="0" w:color="auto"/>
              <w:bottom w:val="single" w:sz="4" w:space="0" w:color="auto"/>
            </w:tcBorders>
            <w:shd w:val="clear" w:color="auto" w:fill="auto"/>
            <w:vAlign w:val="bottom"/>
          </w:tcPr>
          <w:p w14:paraId="6CA62322" w14:textId="77777777" w:rsidR="005720FB" w:rsidRPr="00A66C9F" w:rsidRDefault="005720FB" w:rsidP="00107D5D">
            <w:pPr>
              <w:suppressAutoHyphens/>
              <w:spacing w:before="81" w:after="81" w:line="160" w:lineRule="exact"/>
              <w:ind w:right="43"/>
              <w:jc w:val="center"/>
              <w:rPr>
                <w:i/>
                <w:sz w:val="14"/>
                <w:lang w:val="fr-FR"/>
              </w:rPr>
            </w:pPr>
            <w:r w:rsidRPr="00A66C9F">
              <w:rPr>
                <w:i/>
                <w:sz w:val="14"/>
                <w:lang w:val="fr-FR"/>
              </w:rPr>
              <w:t>Montant définitif des crédits ouverts pour 2018-2019</w:t>
            </w:r>
          </w:p>
        </w:tc>
        <w:tc>
          <w:tcPr>
            <w:tcW w:w="118" w:type="dxa"/>
            <w:tcBorders>
              <w:top w:val="single" w:sz="4" w:space="0" w:color="auto"/>
            </w:tcBorders>
            <w:shd w:val="clear" w:color="auto" w:fill="auto"/>
            <w:noWrap/>
            <w:vAlign w:val="bottom"/>
            <w:hideMark/>
          </w:tcPr>
          <w:p w14:paraId="3C9EC30B" w14:textId="77777777" w:rsidR="005720FB" w:rsidRPr="00A66C9F" w:rsidRDefault="005720FB" w:rsidP="00107D5D">
            <w:pPr>
              <w:suppressAutoHyphens/>
              <w:spacing w:before="81" w:after="81" w:line="160" w:lineRule="exact"/>
              <w:ind w:right="43"/>
              <w:jc w:val="center"/>
              <w:rPr>
                <w:i/>
                <w:sz w:val="14"/>
                <w:lang w:val="fr-FR"/>
              </w:rPr>
            </w:pPr>
          </w:p>
        </w:tc>
        <w:tc>
          <w:tcPr>
            <w:tcW w:w="2478" w:type="dxa"/>
            <w:gridSpan w:val="3"/>
            <w:tcBorders>
              <w:top w:val="single" w:sz="4" w:space="0" w:color="auto"/>
              <w:bottom w:val="single" w:sz="2" w:space="0" w:color="auto"/>
            </w:tcBorders>
            <w:shd w:val="clear" w:color="auto" w:fill="auto"/>
            <w:vAlign w:val="bottom"/>
          </w:tcPr>
          <w:p w14:paraId="31AD41DB" w14:textId="77777777" w:rsidR="005720FB" w:rsidRPr="00A66C9F" w:rsidRDefault="005720FB" w:rsidP="00107D5D">
            <w:pPr>
              <w:suppressAutoHyphens/>
              <w:spacing w:before="81" w:after="81" w:line="160" w:lineRule="exact"/>
              <w:ind w:right="43"/>
              <w:jc w:val="center"/>
              <w:rPr>
                <w:i/>
                <w:sz w:val="14"/>
                <w:lang w:val="fr-FR"/>
              </w:rPr>
            </w:pPr>
            <w:r w:rsidRPr="00A66C9F">
              <w:rPr>
                <w:i/>
                <w:sz w:val="14"/>
                <w:lang w:val="fr-FR"/>
              </w:rPr>
              <w:t>Montants effectifs calculés sur une base comparable pour 2018-2019</w:t>
            </w:r>
          </w:p>
        </w:tc>
        <w:tc>
          <w:tcPr>
            <w:tcW w:w="132" w:type="dxa"/>
            <w:tcBorders>
              <w:top w:val="single" w:sz="4" w:space="0" w:color="auto"/>
            </w:tcBorders>
            <w:shd w:val="clear" w:color="auto" w:fill="auto"/>
            <w:noWrap/>
            <w:vAlign w:val="bottom"/>
            <w:hideMark/>
          </w:tcPr>
          <w:p w14:paraId="5EC445A0" w14:textId="77777777" w:rsidR="005720FB" w:rsidRPr="00A66C9F" w:rsidRDefault="005720FB" w:rsidP="00107D5D">
            <w:pPr>
              <w:suppressAutoHyphens/>
              <w:spacing w:before="81" w:after="81" w:line="160" w:lineRule="exact"/>
              <w:ind w:right="43"/>
              <w:jc w:val="center"/>
              <w:rPr>
                <w:i/>
                <w:sz w:val="14"/>
                <w:lang w:val="fr-FR"/>
              </w:rPr>
            </w:pPr>
          </w:p>
        </w:tc>
        <w:tc>
          <w:tcPr>
            <w:tcW w:w="2340" w:type="dxa"/>
            <w:gridSpan w:val="3"/>
            <w:tcBorders>
              <w:top w:val="single" w:sz="4" w:space="0" w:color="auto"/>
              <w:bottom w:val="single" w:sz="2" w:space="0" w:color="auto"/>
            </w:tcBorders>
            <w:shd w:val="clear" w:color="auto" w:fill="auto"/>
            <w:vAlign w:val="bottom"/>
          </w:tcPr>
          <w:p w14:paraId="2AAFE783" w14:textId="77777777" w:rsidR="005720FB" w:rsidRPr="00A66C9F" w:rsidRDefault="005720FB" w:rsidP="00107D5D">
            <w:pPr>
              <w:suppressAutoHyphens/>
              <w:spacing w:before="81" w:after="81" w:line="160" w:lineRule="exact"/>
              <w:ind w:right="43"/>
              <w:jc w:val="center"/>
              <w:rPr>
                <w:i/>
                <w:sz w:val="14"/>
                <w:lang w:val="fr-FR"/>
              </w:rPr>
            </w:pPr>
            <w:r w:rsidRPr="00A66C9F">
              <w:rPr>
                <w:i/>
                <w:sz w:val="14"/>
                <w:lang w:val="fr-FR"/>
              </w:rPr>
              <w:t>Différence</w:t>
            </w:r>
          </w:p>
        </w:tc>
        <w:tc>
          <w:tcPr>
            <w:tcW w:w="900" w:type="dxa"/>
            <w:tcBorders>
              <w:top w:val="single" w:sz="4" w:space="0" w:color="auto"/>
            </w:tcBorders>
            <w:shd w:val="clear" w:color="auto" w:fill="auto"/>
            <w:noWrap/>
            <w:vAlign w:val="bottom"/>
          </w:tcPr>
          <w:p w14:paraId="39516502" w14:textId="77777777" w:rsidR="005720FB" w:rsidRPr="00A66C9F" w:rsidRDefault="005720FB" w:rsidP="00107D5D">
            <w:pPr>
              <w:suppressAutoHyphens/>
              <w:spacing w:before="81" w:after="81" w:line="160" w:lineRule="exact"/>
              <w:ind w:right="43"/>
              <w:jc w:val="right"/>
              <w:rPr>
                <w:i/>
                <w:sz w:val="14"/>
                <w:lang w:val="fr-FR"/>
              </w:rPr>
            </w:pPr>
          </w:p>
        </w:tc>
      </w:tr>
      <w:tr w:rsidR="005720FB" w:rsidRPr="00A66C9F" w14:paraId="7E25A2A9" w14:textId="77777777" w:rsidTr="00225C0F">
        <w:trPr>
          <w:cantSplit/>
          <w:tblHeader/>
        </w:trPr>
        <w:tc>
          <w:tcPr>
            <w:tcW w:w="2070" w:type="dxa"/>
            <w:gridSpan w:val="2"/>
            <w:tcBorders>
              <w:bottom w:val="single" w:sz="12" w:space="0" w:color="auto"/>
            </w:tcBorders>
            <w:shd w:val="clear" w:color="auto" w:fill="auto"/>
            <w:noWrap/>
            <w:vAlign w:val="bottom"/>
            <w:hideMark/>
          </w:tcPr>
          <w:p w14:paraId="52355351" w14:textId="77777777" w:rsidR="005720FB" w:rsidRPr="00A66C9F" w:rsidRDefault="005720FB" w:rsidP="00107D5D">
            <w:pPr>
              <w:suppressAutoHyphens/>
              <w:spacing w:before="81" w:after="81" w:line="160" w:lineRule="exact"/>
              <w:ind w:right="40"/>
              <w:rPr>
                <w:i/>
                <w:sz w:val="14"/>
                <w:lang w:val="fr-FR"/>
              </w:rPr>
            </w:pPr>
          </w:p>
        </w:tc>
        <w:tc>
          <w:tcPr>
            <w:tcW w:w="865" w:type="dxa"/>
            <w:tcBorders>
              <w:top w:val="single" w:sz="2" w:space="0" w:color="auto"/>
              <w:bottom w:val="single" w:sz="12" w:space="0" w:color="auto"/>
            </w:tcBorders>
            <w:shd w:val="clear" w:color="auto" w:fill="auto"/>
            <w:noWrap/>
            <w:vAlign w:val="bottom"/>
            <w:hideMark/>
          </w:tcPr>
          <w:p w14:paraId="62CA37E6" w14:textId="77777777" w:rsidR="005720FB" w:rsidRPr="00A66C9F" w:rsidRDefault="005720FB" w:rsidP="00107D5D">
            <w:pPr>
              <w:suppressAutoHyphens/>
              <w:spacing w:before="81" w:after="81" w:line="160" w:lineRule="exact"/>
              <w:ind w:right="43"/>
              <w:jc w:val="right"/>
              <w:rPr>
                <w:i/>
                <w:sz w:val="14"/>
                <w:lang w:val="fr-FR"/>
              </w:rPr>
            </w:pPr>
            <w:r w:rsidRPr="00A66C9F">
              <w:rPr>
                <w:i/>
                <w:sz w:val="14"/>
                <w:lang w:val="fr-FR"/>
              </w:rPr>
              <w:t xml:space="preserve">Caisse </w:t>
            </w:r>
            <w:r w:rsidRPr="00A66C9F">
              <w:rPr>
                <w:i/>
                <w:sz w:val="14"/>
                <w:lang w:val="fr-FR"/>
              </w:rPr>
              <w:br/>
              <w:t>des pensions</w:t>
            </w:r>
          </w:p>
        </w:tc>
        <w:tc>
          <w:tcPr>
            <w:tcW w:w="865" w:type="dxa"/>
            <w:tcBorders>
              <w:top w:val="single" w:sz="2" w:space="0" w:color="auto"/>
              <w:bottom w:val="single" w:sz="12" w:space="0" w:color="auto"/>
            </w:tcBorders>
            <w:shd w:val="clear" w:color="auto" w:fill="auto"/>
            <w:noWrap/>
            <w:vAlign w:val="bottom"/>
            <w:hideMark/>
          </w:tcPr>
          <w:p w14:paraId="02CF4B80" w14:textId="77777777" w:rsidR="005720FB" w:rsidRPr="00A66C9F" w:rsidRDefault="005720FB" w:rsidP="00107D5D">
            <w:pPr>
              <w:suppressAutoHyphens/>
              <w:spacing w:before="81" w:after="81" w:line="160" w:lineRule="exact"/>
              <w:ind w:right="43"/>
              <w:jc w:val="right"/>
              <w:rPr>
                <w:i/>
                <w:sz w:val="14"/>
                <w:lang w:val="fr-FR"/>
              </w:rPr>
            </w:pPr>
            <w:r w:rsidRPr="00A66C9F">
              <w:rPr>
                <w:i/>
                <w:sz w:val="14"/>
                <w:lang w:val="fr-FR"/>
              </w:rPr>
              <w:t>ONU</w:t>
            </w:r>
          </w:p>
        </w:tc>
        <w:tc>
          <w:tcPr>
            <w:tcW w:w="866" w:type="dxa"/>
            <w:tcBorders>
              <w:top w:val="single" w:sz="2" w:space="0" w:color="auto"/>
              <w:bottom w:val="single" w:sz="12" w:space="0" w:color="auto"/>
            </w:tcBorders>
            <w:shd w:val="clear" w:color="auto" w:fill="auto"/>
            <w:noWrap/>
            <w:vAlign w:val="bottom"/>
            <w:hideMark/>
          </w:tcPr>
          <w:p w14:paraId="659011EA" w14:textId="77777777" w:rsidR="005720FB" w:rsidRPr="00A66C9F" w:rsidRDefault="005720FB" w:rsidP="00107D5D">
            <w:pPr>
              <w:suppressAutoHyphens/>
              <w:spacing w:before="81" w:after="81" w:line="160" w:lineRule="exact"/>
              <w:ind w:right="43"/>
              <w:jc w:val="right"/>
              <w:rPr>
                <w:i/>
                <w:sz w:val="14"/>
                <w:lang w:val="fr-FR"/>
              </w:rPr>
            </w:pPr>
            <w:r w:rsidRPr="00A66C9F">
              <w:rPr>
                <w:i/>
                <w:sz w:val="14"/>
                <w:lang w:val="fr-FR"/>
              </w:rPr>
              <w:t>Total</w:t>
            </w:r>
          </w:p>
        </w:tc>
        <w:tc>
          <w:tcPr>
            <w:tcW w:w="865" w:type="dxa"/>
            <w:gridSpan w:val="2"/>
            <w:tcBorders>
              <w:bottom w:val="single" w:sz="12" w:space="0" w:color="auto"/>
            </w:tcBorders>
            <w:shd w:val="clear" w:color="auto" w:fill="auto"/>
            <w:noWrap/>
            <w:vAlign w:val="bottom"/>
            <w:hideMark/>
          </w:tcPr>
          <w:p w14:paraId="630C227D" w14:textId="77777777" w:rsidR="005720FB" w:rsidRPr="00A66C9F" w:rsidRDefault="005720FB" w:rsidP="00107D5D">
            <w:pPr>
              <w:suppressAutoHyphens/>
              <w:spacing w:before="81" w:after="81" w:line="160" w:lineRule="exact"/>
              <w:ind w:right="43"/>
              <w:jc w:val="right"/>
              <w:rPr>
                <w:i/>
                <w:sz w:val="14"/>
                <w:lang w:val="fr-FR"/>
              </w:rPr>
            </w:pPr>
            <w:r w:rsidRPr="00A66C9F">
              <w:rPr>
                <w:i/>
                <w:sz w:val="14"/>
                <w:lang w:val="fr-FR"/>
              </w:rPr>
              <w:t xml:space="preserve">Caisse </w:t>
            </w:r>
            <w:r w:rsidRPr="00A66C9F">
              <w:rPr>
                <w:i/>
                <w:sz w:val="14"/>
                <w:lang w:val="fr-FR"/>
              </w:rPr>
              <w:br/>
              <w:t>des pensions</w:t>
            </w:r>
          </w:p>
        </w:tc>
        <w:tc>
          <w:tcPr>
            <w:tcW w:w="865" w:type="dxa"/>
            <w:tcBorders>
              <w:bottom w:val="single" w:sz="12" w:space="0" w:color="auto"/>
            </w:tcBorders>
            <w:shd w:val="clear" w:color="auto" w:fill="auto"/>
            <w:noWrap/>
            <w:vAlign w:val="bottom"/>
            <w:hideMark/>
          </w:tcPr>
          <w:p w14:paraId="6393F624" w14:textId="77777777" w:rsidR="005720FB" w:rsidRPr="00A66C9F" w:rsidRDefault="005720FB" w:rsidP="00107D5D">
            <w:pPr>
              <w:suppressAutoHyphens/>
              <w:spacing w:before="81" w:after="81" w:line="160" w:lineRule="exact"/>
              <w:ind w:right="43"/>
              <w:jc w:val="right"/>
              <w:rPr>
                <w:i/>
                <w:sz w:val="14"/>
                <w:lang w:val="fr-FR"/>
              </w:rPr>
            </w:pPr>
            <w:r w:rsidRPr="00A66C9F">
              <w:rPr>
                <w:i/>
                <w:sz w:val="14"/>
                <w:lang w:val="fr-FR"/>
              </w:rPr>
              <w:t>ONU</w:t>
            </w:r>
          </w:p>
        </w:tc>
        <w:tc>
          <w:tcPr>
            <w:tcW w:w="866" w:type="dxa"/>
            <w:tcBorders>
              <w:bottom w:val="single" w:sz="12" w:space="0" w:color="auto"/>
            </w:tcBorders>
            <w:shd w:val="clear" w:color="auto" w:fill="auto"/>
            <w:noWrap/>
            <w:vAlign w:val="bottom"/>
            <w:hideMark/>
          </w:tcPr>
          <w:p w14:paraId="3E56B006" w14:textId="77777777" w:rsidR="005720FB" w:rsidRPr="00A66C9F" w:rsidRDefault="005720FB" w:rsidP="00107D5D">
            <w:pPr>
              <w:suppressAutoHyphens/>
              <w:spacing w:before="81" w:after="81" w:line="160" w:lineRule="exact"/>
              <w:ind w:right="43"/>
              <w:jc w:val="right"/>
              <w:rPr>
                <w:i/>
                <w:sz w:val="14"/>
                <w:lang w:val="fr-FR"/>
              </w:rPr>
            </w:pPr>
            <w:r w:rsidRPr="00A66C9F">
              <w:rPr>
                <w:i/>
                <w:sz w:val="14"/>
                <w:lang w:val="fr-FR"/>
              </w:rPr>
              <w:t>Total</w:t>
            </w:r>
          </w:p>
        </w:tc>
        <w:tc>
          <w:tcPr>
            <w:tcW w:w="865" w:type="dxa"/>
            <w:gridSpan w:val="2"/>
            <w:tcBorders>
              <w:bottom w:val="single" w:sz="12" w:space="0" w:color="auto"/>
            </w:tcBorders>
            <w:shd w:val="clear" w:color="auto" w:fill="auto"/>
            <w:noWrap/>
            <w:vAlign w:val="bottom"/>
            <w:hideMark/>
          </w:tcPr>
          <w:p w14:paraId="1EABB411" w14:textId="77777777" w:rsidR="005720FB" w:rsidRPr="00A66C9F" w:rsidRDefault="005720FB" w:rsidP="00107D5D">
            <w:pPr>
              <w:suppressAutoHyphens/>
              <w:spacing w:before="81" w:after="81" w:line="160" w:lineRule="exact"/>
              <w:ind w:right="43"/>
              <w:jc w:val="right"/>
              <w:rPr>
                <w:i/>
                <w:sz w:val="14"/>
                <w:lang w:val="fr-FR"/>
              </w:rPr>
            </w:pPr>
            <w:r w:rsidRPr="00A66C9F">
              <w:rPr>
                <w:i/>
                <w:sz w:val="14"/>
                <w:lang w:val="fr-FR"/>
              </w:rPr>
              <w:t xml:space="preserve">Caisse </w:t>
            </w:r>
            <w:r w:rsidRPr="00A66C9F">
              <w:rPr>
                <w:i/>
                <w:sz w:val="14"/>
                <w:lang w:val="fr-FR"/>
              </w:rPr>
              <w:br/>
              <w:t>des pensions</w:t>
            </w:r>
          </w:p>
        </w:tc>
        <w:tc>
          <w:tcPr>
            <w:tcW w:w="866" w:type="dxa"/>
            <w:tcBorders>
              <w:bottom w:val="single" w:sz="12" w:space="0" w:color="auto"/>
            </w:tcBorders>
            <w:shd w:val="clear" w:color="auto" w:fill="auto"/>
            <w:noWrap/>
            <w:vAlign w:val="bottom"/>
            <w:hideMark/>
          </w:tcPr>
          <w:p w14:paraId="3C27BA81" w14:textId="77777777" w:rsidR="005720FB" w:rsidRPr="00A66C9F" w:rsidRDefault="005720FB" w:rsidP="00107D5D">
            <w:pPr>
              <w:suppressAutoHyphens/>
              <w:spacing w:before="81" w:after="81" w:line="160" w:lineRule="exact"/>
              <w:ind w:right="43"/>
              <w:jc w:val="right"/>
              <w:rPr>
                <w:i/>
                <w:sz w:val="14"/>
                <w:lang w:val="fr-FR"/>
              </w:rPr>
            </w:pPr>
            <w:r w:rsidRPr="00A66C9F">
              <w:rPr>
                <w:i/>
                <w:sz w:val="14"/>
                <w:lang w:val="fr-FR"/>
              </w:rPr>
              <w:t>ONU</w:t>
            </w:r>
          </w:p>
        </w:tc>
        <w:tc>
          <w:tcPr>
            <w:tcW w:w="865" w:type="dxa"/>
            <w:tcBorders>
              <w:bottom w:val="single" w:sz="12" w:space="0" w:color="auto"/>
            </w:tcBorders>
            <w:shd w:val="clear" w:color="auto" w:fill="auto"/>
            <w:noWrap/>
            <w:vAlign w:val="bottom"/>
            <w:hideMark/>
          </w:tcPr>
          <w:p w14:paraId="5B2AC7E5" w14:textId="77777777" w:rsidR="005720FB" w:rsidRPr="00A66C9F" w:rsidRDefault="005720FB" w:rsidP="00107D5D">
            <w:pPr>
              <w:suppressAutoHyphens/>
              <w:spacing w:before="81" w:after="81" w:line="160" w:lineRule="exact"/>
              <w:ind w:right="43"/>
              <w:jc w:val="right"/>
              <w:rPr>
                <w:i/>
                <w:sz w:val="14"/>
                <w:lang w:val="fr-FR"/>
              </w:rPr>
            </w:pPr>
            <w:r w:rsidRPr="00A66C9F">
              <w:rPr>
                <w:i/>
                <w:sz w:val="14"/>
                <w:lang w:val="fr-FR"/>
              </w:rPr>
              <w:t>Total</w:t>
            </w:r>
          </w:p>
        </w:tc>
        <w:tc>
          <w:tcPr>
            <w:tcW w:w="865" w:type="dxa"/>
            <w:gridSpan w:val="2"/>
            <w:tcBorders>
              <w:bottom w:val="single" w:sz="12" w:space="0" w:color="auto"/>
            </w:tcBorders>
            <w:shd w:val="clear" w:color="auto" w:fill="auto"/>
            <w:noWrap/>
            <w:vAlign w:val="bottom"/>
            <w:hideMark/>
          </w:tcPr>
          <w:p w14:paraId="13437EA6" w14:textId="77777777" w:rsidR="005720FB" w:rsidRPr="00A66C9F" w:rsidRDefault="005720FB" w:rsidP="00107D5D">
            <w:pPr>
              <w:suppressAutoHyphens/>
              <w:spacing w:before="81" w:after="81" w:line="160" w:lineRule="exact"/>
              <w:ind w:right="43"/>
              <w:jc w:val="right"/>
              <w:rPr>
                <w:i/>
                <w:sz w:val="14"/>
                <w:lang w:val="fr-FR"/>
              </w:rPr>
            </w:pPr>
            <w:r w:rsidRPr="00A66C9F">
              <w:rPr>
                <w:i/>
                <w:sz w:val="14"/>
                <w:lang w:val="fr-FR"/>
              </w:rPr>
              <w:t xml:space="preserve">Caisse </w:t>
            </w:r>
            <w:r w:rsidRPr="00A66C9F">
              <w:rPr>
                <w:i/>
                <w:sz w:val="14"/>
                <w:lang w:val="fr-FR"/>
              </w:rPr>
              <w:br/>
              <w:t>des pensions</w:t>
            </w:r>
          </w:p>
        </w:tc>
        <w:tc>
          <w:tcPr>
            <w:tcW w:w="866" w:type="dxa"/>
            <w:tcBorders>
              <w:bottom w:val="single" w:sz="12" w:space="0" w:color="auto"/>
            </w:tcBorders>
            <w:shd w:val="clear" w:color="auto" w:fill="auto"/>
            <w:noWrap/>
            <w:vAlign w:val="bottom"/>
            <w:hideMark/>
          </w:tcPr>
          <w:p w14:paraId="1F5E73B5" w14:textId="77777777" w:rsidR="005720FB" w:rsidRPr="00A66C9F" w:rsidRDefault="005720FB" w:rsidP="00107D5D">
            <w:pPr>
              <w:suppressAutoHyphens/>
              <w:spacing w:before="81" w:after="81" w:line="160" w:lineRule="exact"/>
              <w:ind w:right="43"/>
              <w:jc w:val="right"/>
              <w:rPr>
                <w:i/>
                <w:sz w:val="14"/>
                <w:lang w:val="fr-FR"/>
              </w:rPr>
            </w:pPr>
            <w:r w:rsidRPr="00A66C9F">
              <w:rPr>
                <w:i/>
                <w:sz w:val="14"/>
                <w:lang w:val="fr-FR"/>
              </w:rPr>
              <w:t>ONU</w:t>
            </w:r>
          </w:p>
        </w:tc>
        <w:tc>
          <w:tcPr>
            <w:tcW w:w="741" w:type="dxa"/>
            <w:tcBorders>
              <w:bottom w:val="single" w:sz="12" w:space="0" w:color="auto"/>
            </w:tcBorders>
            <w:shd w:val="clear" w:color="auto" w:fill="auto"/>
            <w:noWrap/>
            <w:vAlign w:val="bottom"/>
            <w:hideMark/>
          </w:tcPr>
          <w:p w14:paraId="0589B296" w14:textId="77777777" w:rsidR="005720FB" w:rsidRPr="00A66C9F" w:rsidRDefault="005720FB" w:rsidP="00107D5D">
            <w:pPr>
              <w:suppressAutoHyphens/>
              <w:spacing w:before="81" w:after="81" w:line="160" w:lineRule="exact"/>
              <w:ind w:right="43"/>
              <w:jc w:val="right"/>
              <w:rPr>
                <w:i/>
                <w:sz w:val="14"/>
                <w:lang w:val="fr-FR"/>
              </w:rPr>
            </w:pPr>
            <w:r w:rsidRPr="00A66C9F">
              <w:rPr>
                <w:i/>
                <w:sz w:val="14"/>
                <w:lang w:val="fr-FR"/>
              </w:rPr>
              <w:t>Total</w:t>
            </w:r>
          </w:p>
        </w:tc>
        <w:tc>
          <w:tcPr>
            <w:tcW w:w="900" w:type="dxa"/>
            <w:tcBorders>
              <w:bottom w:val="single" w:sz="12" w:space="0" w:color="auto"/>
            </w:tcBorders>
            <w:shd w:val="clear" w:color="auto" w:fill="auto"/>
            <w:noWrap/>
            <w:vAlign w:val="bottom"/>
          </w:tcPr>
          <w:p w14:paraId="0E94D114" w14:textId="77777777" w:rsidR="005720FB" w:rsidRPr="00A66C9F" w:rsidRDefault="005720FB" w:rsidP="00107D5D">
            <w:pPr>
              <w:suppressAutoHyphens/>
              <w:spacing w:before="81" w:after="81" w:line="160" w:lineRule="exact"/>
              <w:ind w:right="43"/>
              <w:jc w:val="right"/>
              <w:rPr>
                <w:i/>
                <w:sz w:val="14"/>
                <w:lang w:val="fr-FR"/>
              </w:rPr>
            </w:pPr>
            <w:r w:rsidRPr="00A66C9F">
              <w:rPr>
                <w:i/>
                <w:sz w:val="14"/>
                <w:lang w:val="fr-FR"/>
              </w:rPr>
              <w:t>Pourcentage</w:t>
            </w:r>
          </w:p>
        </w:tc>
      </w:tr>
      <w:tr w:rsidR="005720FB" w:rsidRPr="00A66C9F" w14:paraId="7423FBEA" w14:textId="77777777" w:rsidTr="00225C0F">
        <w:trPr>
          <w:cantSplit/>
          <w:trHeight w:hRule="exact" w:val="115"/>
          <w:tblHeader/>
        </w:trPr>
        <w:tc>
          <w:tcPr>
            <w:tcW w:w="270" w:type="dxa"/>
            <w:tcBorders>
              <w:top w:val="single" w:sz="12" w:space="0" w:color="auto"/>
            </w:tcBorders>
            <w:shd w:val="clear" w:color="auto" w:fill="auto"/>
            <w:noWrap/>
            <w:vAlign w:val="bottom"/>
          </w:tcPr>
          <w:p w14:paraId="04DE28A8" w14:textId="77777777" w:rsidR="005720FB" w:rsidRPr="00A66C9F" w:rsidRDefault="005720FB" w:rsidP="00107D5D">
            <w:pPr>
              <w:suppressAutoHyphens/>
              <w:spacing w:before="40" w:after="40" w:line="210" w:lineRule="exact"/>
              <w:ind w:right="40"/>
              <w:rPr>
                <w:sz w:val="17"/>
                <w:lang w:val="fr-FR"/>
              </w:rPr>
            </w:pPr>
          </w:p>
        </w:tc>
        <w:tc>
          <w:tcPr>
            <w:tcW w:w="1800" w:type="dxa"/>
            <w:tcBorders>
              <w:top w:val="single" w:sz="12" w:space="0" w:color="auto"/>
            </w:tcBorders>
            <w:shd w:val="clear" w:color="auto" w:fill="auto"/>
            <w:noWrap/>
            <w:vAlign w:val="bottom"/>
          </w:tcPr>
          <w:p w14:paraId="59CA60DD" w14:textId="77777777" w:rsidR="005720FB" w:rsidRPr="00A66C9F" w:rsidRDefault="005720FB" w:rsidP="00107D5D">
            <w:pPr>
              <w:suppressAutoHyphens/>
              <w:spacing w:before="40" w:after="40" w:line="210" w:lineRule="exact"/>
              <w:ind w:right="43"/>
              <w:jc w:val="right"/>
              <w:rPr>
                <w:sz w:val="17"/>
                <w:lang w:val="fr-FR"/>
              </w:rPr>
            </w:pPr>
          </w:p>
        </w:tc>
        <w:tc>
          <w:tcPr>
            <w:tcW w:w="865" w:type="dxa"/>
            <w:tcBorders>
              <w:top w:val="single" w:sz="12" w:space="0" w:color="auto"/>
            </w:tcBorders>
            <w:shd w:val="clear" w:color="auto" w:fill="auto"/>
            <w:noWrap/>
            <w:vAlign w:val="bottom"/>
          </w:tcPr>
          <w:p w14:paraId="43F2E217" w14:textId="77777777" w:rsidR="005720FB" w:rsidRPr="00A66C9F" w:rsidRDefault="005720FB" w:rsidP="00107D5D">
            <w:pPr>
              <w:suppressAutoHyphens/>
              <w:spacing w:before="40" w:after="40" w:line="210" w:lineRule="exact"/>
              <w:ind w:right="43"/>
              <w:jc w:val="right"/>
              <w:rPr>
                <w:sz w:val="17"/>
                <w:lang w:val="fr-FR"/>
              </w:rPr>
            </w:pPr>
          </w:p>
        </w:tc>
        <w:tc>
          <w:tcPr>
            <w:tcW w:w="865" w:type="dxa"/>
            <w:tcBorders>
              <w:top w:val="single" w:sz="12" w:space="0" w:color="auto"/>
            </w:tcBorders>
            <w:shd w:val="clear" w:color="auto" w:fill="auto"/>
            <w:noWrap/>
            <w:vAlign w:val="bottom"/>
          </w:tcPr>
          <w:p w14:paraId="57D86418" w14:textId="77777777" w:rsidR="005720FB" w:rsidRPr="00A66C9F" w:rsidRDefault="005720FB" w:rsidP="00107D5D">
            <w:pPr>
              <w:suppressAutoHyphens/>
              <w:spacing w:before="40" w:after="40" w:line="210" w:lineRule="exact"/>
              <w:ind w:right="43"/>
              <w:jc w:val="right"/>
              <w:rPr>
                <w:sz w:val="17"/>
                <w:lang w:val="fr-FR"/>
              </w:rPr>
            </w:pPr>
          </w:p>
        </w:tc>
        <w:tc>
          <w:tcPr>
            <w:tcW w:w="866" w:type="dxa"/>
            <w:tcBorders>
              <w:top w:val="single" w:sz="12" w:space="0" w:color="auto"/>
            </w:tcBorders>
            <w:shd w:val="clear" w:color="auto" w:fill="auto"/>
            <w:noWrap/>
            <w:vAlign w:val="bottom"/>
          </w:tcPr>
          <w:p w14:paraId="2384E176" w14:textId="77777777" w:rsidR="005720FB" w:rsidRPr="00A66C9F" w:rsidRDefault="005720FB" w:rsidP="00107D5D">
            <w:pPr>
              <w:suppressAutoHyphens/>
              <w:spacing w:before="40" w:after="40" w:line="210" w:lineRule="exact"/>
              <w:ind w:right="43"/>
              <w:jc w:val="right"/>
              <w:rPr>
                <w:sz w:val="17"/>
                <w:lang w:val="fr-FR"/>
              </w:rPr>
            </w:pPr>
          </w:p>
        </w:tc>
        <w:tc>
          <w:tcPr>
            <w:tcW w:w="865" w:type="dxa"/>
            <w:gridSpan w:val="2"/>
            <w:tcBorders>
              <w:top w:val="single" w:sz="12" w:space="0" w:color="auto"/>
            </w:tcBorders>
            <w:shd w:val="clear" w:color="auto" w:fill="auto"/>
            <w:noWrap/>
            <w:vAlign w:val="bottom"/>
          </w:tcPr>
          <w:p w14:paraId="3BCA1F32" w14:textId="77777777" w:rsidR="005720FB" w:rsidRPr="00A66C9F" w:rsidRDefault="005720FB" w:rsidP="00107D5D">
            <w:pPr>
              <w:suppressAutoHyphens/>
              <w:spacing w:before="40" w:after="40" w:line="210" w:lineRule="exact"/>
              <w:ind w:right="43"/>
              <w:jc w:val="right"/>
              <w:rPr>
                <w:sz w:val="17"/>
                <w:lang w:val="fr-FR"/>
              </w:rPr>
            </w:pPr>
          </w:p>
        </w:tc>
        <w:tc>
          <w:tcPr>
            <w:tcW w:w="865" w:type="dxa"/>
            <w:tcBorders>
              <w:top w:val="single" w:sz="12" w:space="0" w:color="auto"/>
            </w:tcBorders>
            <w:shd w:val="clear" w:color="auto" w:fill="auto"/>
            <w:noWrap/>
            <w:vAlign w:val="bottom"/>
          </w:tcPr>
          <w:p w14:paraId="541B84E6" w14:textId="77777777" w:rsidR="005720FB" w:rsidRPr="00A66C9F" w:rsidRDefault="005720FB" w:rsidP="00107D5D">
            <w:pPr>
              <w:suppressAutoHyphens/>
              <w:spacing w:before="40" w:after="40" w:line="210" w:lineRule="exact"/>
              <w:ind w:right="43"/>
              <w:jc w:val="right"/>
              <w:rPr>
                <w:sz w:val="17"/>
                <w:lang w:val="fr-FR"/>
              </w:rPr>
            </w:pPr>
          </w:p>
        </w:tc>
        <w:tc>
          <w:tcPr>
            <w:tcW w:w="866" w:type="dxa"/>
            <w:tcBorders>
              <w:top w:val="single" w:sz="12" w:space="0" w:color="auto"/>
            </w:tcBorders>
            <w:shd w:val="clear" w:color="auto" w:fill="auto"/>
            <w:noWrap/>
            <w:vAlign w:val="bottom"/>
          </w:tcPr>
          <w:p w14:paraId="3EC64D30" w14:textId="77777777" w:rsidR="005720FB" w:rsidRPr="00A66C9F" w:rsidRDefault="005720FB" w:rsidP="00107D5D">
            <w:pPr>
              <w:suppressAutoHyphens/>
              <w:spacing w:before="40" w:after="40" w:line="210" w:lineRule="exact"/>
              <w:ind w:right="43"/>
              <w:jc w:val="right"/>
              <w:rPr>
                <w:sz w:val="17"/>
                <w:lang w:val="fr-FR"/>
              </w:rPr>
            </w:pPr>
          </w:p>
        </w:tc>
        <w:tc>
          <w:tcPr>
            <w:tcW w:w="865" w:type="dxa"/>
            <w:gridSpan w:val="2"/>
            <w:tcBorders>
              <w:top w:val="single" w:sz="12" w:space="0" w:color="auto"/>
            </w:tcBorders>
            <w:shd w:val="clear" w:color="auto" w:fill="auto"/>
            <w:noWrap/>
            <w:vAlign w:val="bottom"/>
          </w:tcPr>
          <w:p w14:paraId="588BF7EA" w14:textId="77777777" w:rsidR="005720FB" w:rsidRPr="00A66C9F" w:rsidRDefault="005720FB" w:rsidP="00107D5D">
            <w:pPr>
              <w:suppressAutoHyphens/>
              <w:spacing w:before="40" w:after="40" w:line="210" w:lineRule="exact"/>
              <w:ind w:right="43"/>
              <w:jc w:val="right"/>
              <w:rPr>
                <w:sz w:val="17"/>
                <w:lang w:val="fr-FR"/>
              </w:rPr>
            </w:pPr>
          </w:p>
        </w:tc>
        <w:tc>
          <w:tcPr>
            <w:tcW w:w="866" w:type="dxa"/>
            <w:tcBorders>
              <w:top w:val="single" w:sz="12" w:space="0" w:color="auto"/>
            </w:tcBorders>
            <w:shd w:val="clear" w:color="auto" w:fill="auto"/>
            <w:noWrap/>
            <w:vAlign w:val="bottom"/>
          </w:tcPr>
          <w:p w14:paraId="0CB29ECF" w14:textId="77777777" w:rsidR="005720FB" w:rsidRPr="00A66C9F" w:rsidRDefault="005720FB" w:rsidP="00107D5D">
            <w:pPr>
              <w:suppressAutoHyphens/>
              <w:spacing w:before="40" w:after="40" w:line="210" w:lineRule="exact"/>
              <w:ind w:right="43"/>
              <w:jc w:val="right"/>
              <w:rPr>
                <w:sz w:val="17"/>
                <w:lang w:val="fr-FR"/>
              </w:rPr>
            </w:pPr>
          </w:p>
        </w:tc>
        <w:tc>
          <w:tcPr>
            <w:tcW w:w="865" w:type="dxa"/>
            <w:tcBorders>
              <w:top w:val="single" w:sz="12" w:space="0" w:color="auto"/>
            </w:tcBorders>
            <w:shd w:val="clear" w:color="auto" w:fill="auto"/>
            <w:noWrap/>
            <w:vAlign w:val="bottom"/>
          </w:tcPr>
          <w:p w14:paraId="3B8313A9" w14:textId="77777777" w:rsidR="005720FB" w:rsidRPr="00A66C9F" w:rsidRDefault="005720FB" w:rsidP="00107D5D">
            <w:pPr>
              <w:suppressAutoHyphens/>
              <w:spacing w:before="40" w:after="40" w:line="210" w:lineRule="exact"/>
              <w:ind w:right="43"/>
              <w:jc w:val="right"/>
              <w:rPr>
                <w:sz w:val="17"/>
                <w:lang w:val="fr-FR"/>
              </w:rPr>
            </w:pPr>
          </w:p>
        </w:tc>
        <w:tc>
          <w:tcPr>
            <w:tcW w:w="865" w:type="dxa"/>
            <w:gridSpan w:val="2"/>
            <w:tcBorders>
              <w:top w:val="single" w:sz="12" w:space="0" w:color="auto"/>
            </w:tcBorders>
            <w:shd w:val="clear" w:color="auto" w:fill="auto"/>
            <w:noWrap/>
            <w:vAlign w:val="bottom"/>
          </w:tcPr>
          <w:p w14:paraId="2E961788" w14:textId="77777777" w:rsidR="005720FB" w:rsidRPr="00A66C9F" w:rsidRDefault="005720FB" w:rsidP="00107D5D">
            <w:pPr>
              <w:suppressAutoHyphens/>
              <w:spacing w:before="40" w:after="40" w:line="210" w:lineRule="exact"/>
              <w:ind w:right="43"/>
              <w:jc w:val="right"/>
              <w:rPr>
                <w:sz w:val="17"/>
                <w:lang w:val="fr-FR"/>
              </w:rPr>
            </w:pPr>
          </w:p>
        </w:tc>
        <w:tc>
          <w:tcPr>
            <w:tcW w:w="866" w:type="dxa"/>
            <w:tcBorders>
              <w:top w:val="single" w:sz="12" w:space="0" w:color="auto"/>
            </w:tcBorders>
            <w:shd w:val="clear" w:color="auto" w:fill="auto"/>
            <w:noWrap/>
            <w:vAlign w:val="bottom"/>
          </w:tcPr>
          <w:p w14:paraId="4F118DC7" w14:textId="77777777" w:rsidR="005720FB" w:rsidRPr="00A66C9F" w:rsidRDefault="005720FB" w:rsidP="00107D5D">
            <w:pPr>
              <w:suppressAutoHyphens/>
              <w:spacing w:before="40" w:after="40" w:line="210" w:lineRule="exact"/>
              <w:ind w:right="43"/>
              <w:jc w:val="right"/>
              <w:rPr>
                <w:sz w:val="17"/>
                <w:lang w:val="fr-FR"/>
              </w:rPr>
            </w:pPr>
          </w:p>
        </w:tc>
        <w:tc>
          <w:tcPr>
            <w:tcW w:w="741" w:type="dxa"/>
            <w:tcBorders>
              <w:top w:val="single" w:sz="12" w:space="0" w:color="auto"/>
            </w:tcBorders>
            <w:shd w:val="clear" w:color="auto" w:fill="auto"/>
            <w:noWrap/>
            <w:vAlign w:val="bottom"/>
          </w:tcPr>
          <w:p w14:paraId="6F78EF2B" w14:textId="77777777" w:rsidR="005720FB" w:rsidRPr="00A66C9F" w:rsidRDefault="005720FB" w:rsidP="00107D5D">
            <w:pPr>
              <w:suppressAutoHyphens/>
              <w:spacing w:before="40" w:after="40" w:line="210" w:lineRule="exact"/>
              <w:ind w:right="43"/>
              <w:jc w:val="right"/>
              <w:rPr>
                <w:sz w:val="17"/>
                <w:lang w:val="fr-FR"/>
              </w:rPr>
            </w:pPr>
          </w:p>
        </w:tc>
        <w:tc>
          <w:tcPr>
            <w:tcW w:w="900" w:type="dxa"/>
            <w:tcBorders>
              <w:top w:val="single" w:sz="12" w:space="0" w:color="auto"/>
            </w:tcBorders>
            <w:shd w:val="clear" w:color="auto" w:fill="auto"/>
            <w:noWrap/>
            <w:vAlign w:val="bottom"/>
          </w:tcPr>
          <w:p w14:paraId="0D7C49B2" w14:textId="77777777" w:rsidR="005720FB" w:rsidRPr="00A66C9F" w:rsidRDefault="005720FB" w:rsidP="00107D5D">
            <w:pPr>
              <w:suppressAutoHyphens/>
              <w:spacing w:before="40" w:after="40" w:line="210" w:lineRule="exact"/>
              <w:ind w:right="43"/>
              <w:jc w:val="right"/>
              <w:rPr>
                <w:sz w:val="17"/>
                <w:lang w:val="fr-FR"/>
              </w:rPr>
            </w:pPr>
          </w:p>
        </w:tc>
      </w:tr>
      <w:tr w:rsidR="005720FB" w:rsidRPr="00A66C9F" w14:paraId="40307353" w14:textId="77777777" w:rsidTr="00225C0F">
        <w:trPr>
          <w:cantSplit/>
        </w:trPr>
        <w:tc>
          <w:tcPr>
            <w:tcW w:w="4666" w:type="dxa"/>
            <w:gridSpan w:val="5"/>
            <w:shd w:val="clear" w:color="auto" w:fill="auto"/>
            <w:noWrap/>
            <w:vAlign w:val="bottom"/>
            <w:hideMark/>
          </w:tcPr>
          <w:p w14:paraId="23844070"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rPr>
                <w:b/>
                <w:bCs/>
                <w:sz w:val="17"/>
                <w:lang w:val="fr-FR"/>
              </w:rPr>
            </w:pPr>
            <w:r w:rsidRPr="00A66C9F">
              <w:rPr>
                <w:b/>
                <w:bCs/>
                <w:sz w:val="17"/>
                <w:lang w:val="fr-FR"/>
              </w:rPr>
              <w:t>A.</w:t>
            </w:r>
            <w:r w:rsidRPr="00A66C9F">
              <w:rPr>
                <w:b/>
                <w:bCs/>
                <w:sz w:val="17"/>
                <w:lang w:val="fr-FR"/>
              </w:rPr>
              <w:tab/>
              <w:t>Secrétariat de la Caisse</w:t>
            </w:r>
          </w:p>
        </w:tc>
        <w:tc>
          <w:tcPr>
            <w:tcW w:w="865" w:type="dxa"/>
            <w:gridSpan w:val="2"/>
            <w:shd w:val="clear" w:color="auto" w:fill="auto"/>
            <w:noWrap/>
            <w:vAlign w:val="bottom"/>
            <w:hideMark/>
          </w:tcPr>
          <w:p w14:paraId="23A8C90E"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p>
        </w:tc>
        <w:tc>
          <w:tcPr>
            <w:tcW w:w="865" w:type="dxa"/>
            <w:shd w:val="clear" w:color="auto" w:fill="auto"/>
            <w:noWrap/>
            <w:vAlign w:val="bottom"/>
            <w:hideMark/>
          </w:tcPr>
          <w:p w14:paraId="1D35D2B0"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p>
        </w:tc>
        <w:tc>
          <w:tcPr>
            <w:tcW w:w="866" w:type="dxa"/>
            <w:shd w:val="clear" w:color="auto" w:fill="auto"/>
            <w:noWrap/>
            <w:vAlign w:val="bottom"/>
            <w:hideMark/>
          </w:tcPr>
          <w:p w14:paraId="34E0710C"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p>
        </w:tc>
        <w:tc>
          <w:tcPr>
            <w:tcW w:w="865" w:type="dxa"/>
            <w:gridSpan w:val="2"/>
            <w:shd w:val="clear" w:color="auto" w:fill="auto"/>
            <w:noWrap/>
            <w:vAlign w:val="bottom"/>
            <w:hideMark/>
          </w:tcPr>
          <w:p w14:paraId="215D9B4C"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p>
        </w:tc>
        <w:tc>
          <w:tcPr>
            <w:tcW w:w="866" w:type="dxa"/>
            <w:shd w:val="clear" w:color="auto" w:fill="auto"/>
            <w:noWrap/>
            <w:vAlign w:val="bottom"/>
            <w:hideMark/>
          </w:tcPr>
          <w:p w14:paraId="1F1B8675"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p>
        </w:tc>
        <w:tc>
          <w:tcPr>
            <w:tcW w:w="865" w:type="dxa"/>
            <w:shd w:val="clear" w:color="auto" w:fill="auto"/>
            <w:noWrap/>
            <w:vAlign w:val="bottom"/>
            <w:hideMark/>
          </w:tcPr>
          <w:p w14:paraId="7E01F3CB"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p>
        </w:tc>
        <w:tc>
          <w:tcPr>
            <w:tcW w:w="865" w:type="dxa"/>
            <w:gridSpan w:val="2"/>
            <w:shd w:val="clear" w:color="auto" w:fill="auto"/>
            <w:noWrap/>
            <w:vAlign w:val="bottom"/>
            <w:hideMark/>
          </w:tcPr>
          <w:p w14:paraId="2BF2A2EA"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p>
        </w:tc>
        <w:tc>
          <w:tcPr>
            <w:tcW w:w="866" w:type="dxa"/>
            <w:shd w:val="clear" w:color="auto" w:fill="auto"/>
            <w:noWrap/>
            <w:vAlign w:val="bottom"/>
            <w:hideMark/>
          </w:tcPr>
          <w:p w14:paraId="1660C1B4"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p>
        </w:tc>
        <w:tc>
          <w:tcPr>
            <w:tcW w:w="741" w:type="dxa"/>
            <w:shd w:val="clear" w:color="auto" w:fill="auto"/>
            <w:noWrap/>
            <w:vAlign w:val="bottom"/>
            <w:hideMark/>
          </w:tcPr>
          <w:p w14:paraId="18F3CFF0"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p>
        </w:tc>
        <w:tc>
          <w:tcPr>
            <w:tcW w:w="900" w:type="dxa"/>
            <w:shd w:val="clear" w:color="auto" w:fill="auto"/>
            <w:noWrap/>
            <w:vAlign w:val="bottom"/>
          </w:tcPr>
          <w:p w14:paraId="5C7CF0D8"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p>
        </w:tc>
      </w:tr>
      <w:tr w:rsidR="005720FB" w:rsidRPr="00A66C9F" w14:paraId="34A6B222" w14:textId="77777777" w:rsidTr="00225C0F">
        <w:trPr>
          <w:cantSplit/>
        </w:trPr>
        <w:tc>
          <w:tcPr>
            <w:tcW w:w="2070" w:type="dxa"/>
            <w:gridSpan w:val="2"/>
            <w:shd w:val="clear" w:color="auto" w:fill="auto"/>
            <w:noWrap/>
            <w:vAlign w:val="bottom"/>
            <w:hideMark/>
          </w:tcPr>
          <w:p w14:paraId="1DC4FD5D"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rPr>
                <w:sz w:val="17"/>
                <w:lang w:val="fr-FR"/>
              </w:rPr>
            </w:pPr>
            <w:r w:rsidRPr="00A66C9F">
              <w:rPr>
                <w:sz w:val="17"/>
                <w:lang w:val="fr-FR"/>
              </w:rPr>
              <w:tab/>
              <w:t>Postes</w:t>
            </w:r>
          </w:p>
        </w:tc>
        <w:tc>
          <w:tcPr>
            <w:tcW w:w="865" w:type="dxa"/>
            <w:shd w:val="clear" w:color="auto" w:fill="auto"/>
            <w:noWrap/>
            <w:vAlign w:val="bottom"/>
          </w:tcPr>
          <w:p w14:paraId="293893D5"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32 059,4 </w:t>
            </w:r>
          </w:p>
        </w:tc>
        <w:tc>
          <w:tcPr>
            <w:tcW w:w="865" w:type="dxa"/>
            <w:shd w:val="clear" w:color="auto" w:fill="auto"/>
            <w:noWrap/>
            <w:vAlign w:val="bottom"/>
          </w:tcPr>
          <w:p w14:paraId="7A8C0AF2"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14 476,1 </w:t>
            </w:r>
          </w:p>
        </w:tc>
        <w:tc>
          <w:tcPr>
            <w:tcW w:w="866" w:type="dxa"/>
            <w:shd w:val="clear" w:color="auto" w:fill="auto"/>
            <w:noWrap/>
            <w:vAlign w:val="bottom"/>
          </w:tcPr>
          <w:p w14:paraId="698CEB6F"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46 535,5 </w:t>
            </w:r>
          </w:p>
        </w:tc>
        <w:tc>
          <w:tcPr>
            <w:tcW w:w="865" w:type="dxa"/>
            <w:gridSpan w:val="2"/>
            <w:shd w:val="clear" w:color="auto" w:fill="auto"/>
            <w:noWrap/>
            <w:vAlign w:val="bottom"/>
          </w:tcPr>
          <w:p w14:paraId="5E30F589"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33 622,1 </w:t>
            </w:r>
          </w:p>
        </w:tc>
        <w:tc>
          <w:tcPr>
            <w:tcW w:w="865" w:type="dxa"/>
            <w:shd w:val="clear" w:color="auto" w:fill="auto"/>
            <w:noWrap/>
            <w:vAlign w:val="bottom"/>
          </w:tcPr>
          <w:p w14:paraId="17487E69"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15 085,3 </w:t>
            </w:r>
          </w:p>
        </w:tc>
        <w:tc>
          <w:tcPr>
            <w:tcW w:w="866" w:type="dxa"/>
            <w:shd w:val="clear" w:color="auto" w:fill="auto"/>
            <w:noWrap/>
            <w:vAlign w:val="bottom"/>
          </w:tcPr>
          <w:p w14:paraId="53263C5D"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48 707,4 </w:t>
            </w:r>
          </w:p>
        </w:tc>
        <w:tc>
          <w:tcPr>
            <w:tcW w:w="865" w:type="dxa"/>
            <w:gridSpan w:val="2"/>
            <w:shd w:val="clear" w:color="auto" w:fill="auto"/>
            <w:noWrap/>
            <w:vAlign w:val="bottom"/>
          </w:tcPr>
          <w:p w14:paraId="7CE69ACA"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33 651,8 </w:t>
            </w:r>
          </w:p>
        </w:tc>
        <w:tc>
          <w:tcPr>
            <w:tcW w:w="866" w:type="dxa"/>
            <w:shd w:val="clear" w:color="auto" w:fill="auto"/>
            <w:noWrap/>
            <w:vAlign w:val="bottom"/>
          </w:tcPr>
          <w:p w14:paraId="35CD43E0"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15 082,1 </w:t>
            </w:r>
          </w:p>
        </w:tc>
        <w:tc>
          <w:tcPr>
            <w:tcW w:w="865" w:type="dxa"/>
            <w:shd w:val="clear" w:color="auto" w:fill="auto"/>
            <w:noWrap/>
            <w:vAlign w:val="bottom"/>
          </w:tcPr>
          <w:p w14:paraId="1EB1B208"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48 733,9 </w:t>
            </w:r>
          </w:p>
        </w:tc>
        <w:tc>
          <w:tcPr>
            <w:tcW w:w="865" w:type="dxa"/>
            <w:gridSpan w:val="2"/>
            <w:shd w:val="clear" w:color="auto" w:fill="auto"/>
            <w:noWrap/>
            <w:vAlign w:val="bottom"/>
          </w:tcPr>
          <w:p w14:paraId="2207A597"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29,7</w:t>
            </w:r>
          </w:p>
        </w:tc>
        <w:tc>
          <w:tcPr>
            <w:tcW w:w="866" w:type="dxa"/>
            <w:shd w:val="clear" w:color="auto" w:fill="auto"/>
            <w:noWrap/>
            <w:vAlign w:val="bottom"/>
          </w:tcPr>
          <w:p w14:paraId="1A684CAD"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(3,2)</w:t>
            </w:r>
          </w:p>
        </w:tc>
        <w:tc>
          <w:tcPr>
            <w:tcW w:w="741" w:type="dxa"/>
            <w:shd w:val="clear" w:color="auto" w:fill="auto"/>
            <w:noWrap/>
            <w:vAlign w:val="bottom"/>
          </w:tcPr>
          <w:p w14:paraId="2E5252E1"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26,5</w:t>
            </w:r>
          </w:p>
        </w:tc>
        <w:tc>
          <w:tcPr>
            <w:tcW w:w="900" w:type="dxa"/>
            <w:shd w:val="clear" w:color="auto" w:fill="auto"/>
            <w:noWrap/>
            <w:vAlign w:val="bottom"/>
          </w:tcPr>
          <w:p w14:paraId="274246E6"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0 </w:t>
            </w:r>
          </w:p>
        </w:tc>
      </w:tr>
      <w:tr w:rsidR="005720FB" w:rsidRPr="00A66C9F" w14:paraId="36FDFB43" w14:textId="77777777" w:rsidTr="00225C0F">
        <w:trPr>
          <w:cantSplit/>
        </w:trPr>
        <w:tc>
          <w:tcPr>
            <w:tcW w:w="2070" w:type="dxa"/>
            <w:gridSpan w:val="2"/>
            <w:shd w:val="clear" w:color="auto" w:fill="auto"/>
            <w:noWrap/>
            <w:vAlign w:val="bottom"/>
            <w:hideMark/>
          </w:tcPr>
          <w:p w14:paraId="7A0C8E40" w14:textId="77777777" w:rsidR="005720FB" w:rsidRPr="00A66C9F" w:rsidRDefault="005720FB" w:rsidP="00107D5D">
            <w:pPr>
              <w:tabs>
                <w:tab w:val="left" w:pos="288"/>
                <w:tab w:val="left" w:pos="576"/>
                <w:tab w:val="left" w:pos="864"/>
                <w:tab w:val="left" w:pos="1152"/>
              </w:tabs>
              <w:suppressAutoHyphens/>
              <w:spacing w:before="40" w:after="40" w:line="210" w:lineRule="exact"/>
              <w:ind w:left="288" w:right="43" w:hanging="288"/>
              <w:rPr>
                <w:sz w:val="17"/>
                <w:lang w:val="fr-FR"/>
              </w:rPr>
            </w:pPr>
            <w:r w:rsidRPr="00A66C9F">
              <w:rPr>
                <w:sz w:val="17"/>
                <w:lang w:val="fr-FR"/>
              </w:rPr>
              <w:tab/>
              <w:t>Autres dépenses de personnel</w:t>
            </w:r>
          </w:p>
        </w:tc>
        <w:tc>
          <w:tcPr>
            <w:tcW w:w="865" w:type="dxa"/>
            <w:shd w:val="clear" w:color="auto" w:fill="auto"/>
            <w:noWrap/>
            <w:vAlign w:val="bottom"/>
          </w:tcPr>
          <w:p w14:paraId="4EBA2D87"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11 599,8 </w:t>
            </w:r>
          </w:p>
        </w:tc>
        <w:tc>
          <w:tcPr>
            <w:tcW w:w="865" w:type="dxa"/>
            <w:shd w:val="clear" w:color="auto" w:fill="auto"/>
            <w:noWrap/>
            <w:vAlign w:val="bottom"/>
          </w:tcPr>
          <w:p w14:paraId="57716CAF"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647,3 </w:t>
            </w:r>
          </w:p>
        </w:tc>
        <w:tc>
          <w:tcPr>
            <w:tcW w:w="866" w:type="dxa"/>
            <w:shd w:val="clear" w:color="auto" w:fill="auto"/>
            <w:noWrap/>
            <w:vAlign w:val="bottom"/>
          </w:tcPr>
          <w:p w14:paraId="35634AD8"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12 247,1 </w:t>
            </w:r>
          </w:p>
        </w:tc>
        <w:tc>
          <w:tcPr>
            <w:tcW w:w="865" w:type="dxa"/>
            <w:gridSpan w:val="2"/>
            <w:shd w:val="clear" w:color="auto" w:fill="auto"/>
            <w:noWrap/>
            <w:vAlign w:val="bottom"/>
          </w:tcPr>
          <w:p w14:paraId="3D3B0F12"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11 951,7 </w:t>
            </w:r>
          </w:p>
        </w:tc>
        <w:tc>
          <w:tcPr>
            <w:tcW w:w="865" w:type="dxa"/>
            <w:shd w:val="clear" w:color="auto" w:fill="auto"/>
            <w:noWrap/>
            <w:vAlign w:val="bottom"/>
          </w:tcPr>
          <w:p w14:paraId="1DBDEDC6"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295,4</w:t>
            </w:r>
          </w:p>
        </w:tc>
        <w:tc>
          <w:tcPr>
            <w:tcW w:w="866" w:type="dxa"/>
            <w:shd w:val="clear" w:color="auto" w:fill="auto"/>
            <w:noWrap/>
            <w:vAlign w:val="bottom"/>
          </w:tcPr>
          <w:p w14:paraId="1A577C4E"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12 247,1 </w:t>
            </w:r>
          </w:p>
        </w:tc>
        <w:tc>
          <w:tcPr>
            <w:tcW w:w="865" w:type="dxa"/>
            <w:gridSpan w:val="2"/>
            <w:shd w:val="clear" w:color="auto" w:fill="auto"/>
            <w:noWrap/>
            <w:vAlign w:val="bottom"/>
          </w:tcPr>
          <w:p w14:paraId="294878BB"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11 248,0 </w:t>
            </w:r>
          </w:p>
        </w:tc>
        <w:tc>
          <w:tcPr>
            <w:tcW w:w="866" w:type="dxa"/>
            <w:shd w:val="clear" w:color="auto" w:fill="auto"/>
            <w:noWrap/>
            <w:vAlign w:val="bottom"/>
          </w:tcPr>
          <w:p w14:paraId="5C4C60D8"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223,8</w:t>
            </w:r>
          </w:p>
        </w:tc>
        <w:tc>
          <w:tcPr>
            <w:tcW w:w="865" w:type="dxa"/>
            <w:shd w:val="clear" w:color="auto" w:fill="auto"/>
            <w:noWrap/>
            <w:vAlign w:val="bottom"/>
          </w:tcPr>
          <w:p w14:paraId="792C202C"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11 471,8 </w:t>
            </w:r>
          </w:p>
        </w:tc>
        <w:tc>
          <w:tcPr>
            <w:tcW w:w="865" w:type="dxa"/>
            <w:gridSpan w:val="2"/>
            <w:shd w:val="clear" w:color="auto" w:fill="auto"/>
            <w:noWrap/>
            <w:vAlign w:val="bottom"/>
          </w:tcPr>
          <w:p w14:paraId="2CDB32CB"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(703,7)</w:t>
            </w:r>
          </w:p>
        </w:tc>
        <w:tc>
          <w:tcPr>
            <w:tcW w:w="866" w:type="dxa"/>
            <w:shd w:val="clear" w:color="auto" w:fill="auto"/>
            <w:noWrap/>
            <w:vAlign w:val="bottom"/>
          </w:tcPr>
          <w:p w14:paraId="7038647E"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(71,6)</w:t>
            </w:r>
          </w:p>
        </w:tc>
        <w:tc>
          <w:tcPr>
            <w:tcW w:w="741" w:type="dxa"/>
            <w:shd w:val="clear" w:color="auto" w:fill="auto"/>
            <w:noWrap/>
            <w:vAlign w:val="bottom"/>
          </w:tcPr>
          <w:p w14:paraId="3E74324E"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(775,3)</w:t>
            </w:r>
          </w:p>
        </w:tc>
        <w:tc>
          <w:tcPr>
            <w:tcW w:w="900" w:type="dxa"/>
            <w:shd w:val="clear" w:color="auto" w:fill="auto"/>
            <w:noWrap/>
            <w:vAlign w:val="bottom"/>
          </w:tcPr>
          <w:p w14:paraId="0ABAAFFC"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(6)</w:t>
            </w:r>
          </w:p>
        </w:tc>
      </w:tr>
      <w:tr w:rsidR="005720FB" w:rsidRPr="00A66C9F" w14:paraId="6A6A76E4" w14:textId="77777777" w:rsidTr="00225C0F">
        <w:trPr>
          <w:cantSplit/>
        </w:trPr>
        <w:tc>
          <w:tcPr>
            <w:tcW w:w="2070" w:type="dxa"/>
            <w:gridSpan w:val="2"/>
            <w:shd w:val="clear" w:color="auto" w:fill="auto"/>
            <w:noWrap/>
            <w:vAlign w:val="bottom"/>
            <w:hideMark/>
          </w:tcPr>
          <w:p w14:paraId="489D1354"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rPr>
                <w:sz w:val="17"/>
                <w:lang w:val="fr-FR"/>
              </w:rPr>
            </w:pPr>
            <w:r w:rsidRPr="00A66C9F">
              <w:rPr>
                <w:sz w:val="17"/>
                <w:lang w:val="fr-FR"/>
              </w:rPr>
              <w:tab/>
              <w:t>Frais de représentation</w:t>
            </w:r>
          </w:p>
        </w:tc>
        <w:tc>
          <w:tcPr>
            <w:tcW w:w="865" w:type="dxa"/>
            <w:shd w:val="clear" w:color="auto" w:fill="auto"/>
            <w:noWrap/>
            <w:vAlign w:val="bottom"/>
          </w:tcPr>
          <w:p w14:paraId="4CFB5D20"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5,8</w:t>
            </w:r>
          </w:p>
        </w:tc>
        <w:tc>
          <w:tcPr>
            <w:tcW w:w="865" w:type="dxa"/>
            <w:shd w:val="clear" w:color="auto" w:fill="auto"/>
            <w:noWrap/>
            <w:vAlign w:val="bottom"/>
          </w:tcPr>
          <w:p w14:paraId="623065C5"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 </w:t>
            </w:r>
          </w:p>
        </w:tc>
        <w:tc>
          <w:tcPr>
            <w:tcW w:w="866" w:type="dxa"/>
            <w:shd w:val="clear" w:color="auto" w:fill="auto"/>
            <w:noWrap/>
            <w:vAlign w:val="bottom"/>
          </w:tcPr>
          <w:p w14:paraId="75BD2BE7"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5,8</w:t>
            </w:r>
          </w:p>
        </w:tc>
        <w:tc>
          <w:tcPr>
            <w:tcW w:w="865" w:type="dxa"/>
            <w:gridSpan w:val="2"/>
            <w:shd w:val="clear" w:color="auto" w:fill="auto"/>
            <w:noWrap/>
            <w:vAlign w:val="bottom"/>
          </w:tcPr>
          <w:p w14:paraId="754A27FD"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5,8</w:t>
            </w:r>
          </w:p>
        </w:tc>
        <w:tc>
          <w:tcPr>
            <w:tcW w:w="865" w:type="dxa"/>
            <w:shd w:val="clear" w:color="auto" w:fill="auto"/>
            <w:noWrap/>
            <w:vAlign w:val="bottom"/>
          </w:tcPr>
          <w:p w14:paraId="38ED047B"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w:t>
            </w:r>
          </w:p>
        </w:tc>
        <w:tc>
          <w:tcPr>
            <w:tcW w:w="866" w:type="dxa"/>
            <w:shd w:val="clear" w:color="auto" w:fill="auto"/>
            <w:noWrap/>
            <w:vAlign w:val="bottom"/>
          </w:tcPr>
          <w:p w14:paraId="77D1A7FD"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5,8</w:t>
            </w:r>
          </w:p>
        </w:tc>
        <w:tc>
          <w:tcPr>
            <w:tcW w:w="865" w:type="dxa"/>
            <w:gridSpan w:val="2"/>
            <w:shd w:val="clear" w:color="auto" w:fill="auto"/>
            <w:noWrap/>
            <w:vAlign w:val="bottom"/>
          </w:tcPr>
          <w:p w14:paraId="412695C9"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0,3 </w:t>
            </w:r>
          </w:p>
        </w:tc>
        <w:tc>
          <w:tcPr>
            <w:tcW w:w="866" w:type="dxa"/>
            <w:shd w:val="clear" w:color="auto" w:fill="auto"/>
            <w:noWrap/>
            <w:vAlign w:val="bottom"/>
          </w:tcPr>
          <w:p w14:paraId="004D2A0C"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 </w:t>
            </w:r>
          </w:p>
        </w:tc>
        <w:tc>
          <w:tcPr>
            <w:tcW w:w="865" w:type="dxa"/>
            <w:shd w:val="clear" w:color="auto" w:fill="auto"/>
            <w:noWrap/>
            <w:vAlign w:val="bottom"/>
          </w:tcPr>
          <w:p w14:paraId="2B52C2A9"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0,3 </w:t>
            </w:r>
          </w:p>
        </w:tc>
        <w:tc>
          <w:tcPr>
            <w:tcW w:w="865" w:type="dxa"/>
            <w:gridSpan w:val="2"/>
            <w:shd w:val="clear" w:color="auto" w:fill="auto"/>
            <w:noWrap/>
            <w:vAlign w:val="bottom"/>
          </w:tcPr>
          <w:p w14:paraId="21029EFF"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(5,5)</w:t>
            </w:r>
          </w:p>
        </w:tc>
        <w:tc>
          <w:tcPr>
            <w:tcW w:w="866" w:type="dxa"/>
            <w:shd w:val="clear" w:color="auto" w:fill="auto"/>
            <w:noWrap/>
            <w:vAlign w:val="bottom"/>
          </w:tcPr>
          <w:p w14:paraId="7C9A5714"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 </w:t>
            </w:r>
          </w:p>
        </w:tc>
        <w:tc>
          <w:tcPr>
            <w:tcW w:w="741" w:type="dxa"/>
            <w:shd w:val="clear" w:color="auto" w:fill="auto"/>
            <w:noWrap/>
            <w:vAlign w:val="bottom"/>
          </w:tcPr>
          <w:p w14:paraId="480B8E2E"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(5,5)</w:t>
            </w:r>
          </w:p>
        </w:tc>
        <w:tc>
          <w:tcPr>
            <w:tcW w:w="900" w:type="dxa"/>
            <w:shd w:val="clear" w:color="auto" w:fill="auto"/>
            <w:noWrap/>
            <w:vAlign w:val="bottom"/>
          </w:tcPr>
          <w:p w14:paraId="7E5A548C"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(95)</w:t>
            </w:r>
          </w:p>
        </w:tc>
      </w:tr>
      <w:tr w:rsidR="005720FB" w:rsidRPr="00A66C9F" w14:paraId="7888618B" w14:textId="77777777" w:rsidTr="00225C0F">
        <w:trPr>
          <w:cantSplit/>
        </w:trPr>
        <w:tc>
          <w:tcPr>
            <w:tcW w:w="2070" w:type="dxa"/>
            <w:gridSpan w:val="2"/>
            <w:shd w:val="clear" w:color="auto" w:fill="auto"/>
            <w:noWrap/>
            <w:vAlign w:val="bottom"/>
            <w:hideMark/>
          </w:tcPr>
          <w:p w14:paraId="116008BC"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rPr>
                <w:sz w:val="17"/>
                <w:lang w:val="fr-FR"/>
              </w:rPr>
            </w:pPr>
            <w:r w:rsidRPr="00A66C9F">
              <w:rPr>
                <w:sz w:val="17"/>
                <w:lang w:val="fr-FR"/>
              </w:rPr>
              <w:tab/>
              <w:t>Consultants</w:t>
            </w:r>
          </w:p>
        </w:tc>
        <w:tc>
          <w:tcPr>
            <w:tcW w:w="865" w:type="dxa"/>
            <w:shd w:val="clear" w:color="auto" w:fill="auto"/>
            <w:noWrap/>
            <w:vAlign w:val="bottom"/>
          </w:tcPr>
          <w:p w14:paraId="2C3BCA19"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223,2</w:t>
            </w:r>
          </w:p>
        </w:tc>
        <w:tc>
          <w:tcPr>
            <w:tcW w:w="865" w:type="dxa"/>
            <w:shd w:val="clear" w:color="auto" w:fill="auto"/>
            <w:noWrap/>
            <w:vAlign w:val="bottom"/>
          </w:tcPr>
          <w:p w14:paraId="0CC4E499"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 </w:t>
            </w:r>
          </w:p>
        </w:tc>
        <w:tc>
          <w:tcPr>
            <w:tcW w:w="866" w:type="dxa"/>
            <w:shd w:val="clear" w:color="auto" w:fill="auto"/>
            <w:noWrap/>
            <w:vAlign w:val="bottom"/>
          </w:tcPr>
          <w:p w14:paraId="788267F1"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223,2</w:t>
            </w:r>
          </w:p>
        </w:tc>
        <w:tc>
          <w:tcPr>
            <w:tcW w:w="865" w:type="dxa"/>
            <w:gridSpan w:val="2"/>
            <w:shd w:val="clear" w:color="auto" w:fill="auto"/>
            <w:noWrap/>
            <w:vAlign w:val="bottom"/>
          </w:tcPr>
          <w:p w14:paraId="3DDA88C1"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223,2</w:t>
            </w:r>
          </w:p>
        </w:tc>
        <w:tc>
          <w:tcPr>
            <w:tcW w:w="865" w:type="dxa"/>
            <w:shd w:val="clear" w:color="auto" w:fill="auto"/>
            <w:noWrap/>
            <w:vAlign w:val="bottom"/>
          </w:tcPr>
          <w:p w14:paraId="03BD25DD"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 </w:t>
            </w:r>
          </w:p>
        </w:tc>
        <w:tc>
          <w:tcPr>
            <w:tcW w:w="866" w:type="dxa"/>
            <w:shd w:val="clear" w:color="auto" w:fill="auto"/>
            <w:noWrap/>
            <w:vAlign w:val="bottom"/>
          </w:tcPr>
          <w:p w14:paraId="0A624949"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223,2</w:t>
            </w:r>
          </w:p>
        </w:tc>
        <w:tc>
          <w:tcPr>
            <w:tcW w:w="865" w:type="dxa"/>
            <w:gridSpan w:val="2"/>
            <w:shd w:val="clear" w:color="auto" w:fill="auto"/>
            <w:noWrap/>
            <w:vAlign w:val="bottom"/>
          </w:tcPr>
          <w:p w14:paraId="77A21942"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224,1</w:t>
            </w:r>
          </w:p>
        </w:tc>
        <w:tc>
          <w:tcPr>
            <w:tcW w:w="866" w:type="dxa"/>
            <w:shd w:val="clear" w:color="auto" w:fill="auto"/>
            <w:noWrap/>
            <w:vAlign w:val="bottom"/>
          </w:tcPr>
          <w:p w14:paraId="20AFEB78"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 </w:t>
            </w:r>
          </w:p>
        </w:tc>
        <w:tc>
          <w:tcPr>
            <w:tcW w:w="865" w:type="dxa"/>
            <w:shd w:val="clear" w:color="auto" w:fill="auto"/>
            <w:noWrap/>
            <w:vAlign w:val="bottom"/>
          </w:tcPr>
          <w:p w14:paraId="17E9230D"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224,1</w:t>
            </w:r>
          </w:p>
        </w:tc>
        <w:tc>
          <w:tcPr>
            <w:tcW w:w="865" w:type="dxa"/>
            <w:gridSpan w:val="2"/>
            <w:shd w:val="clear" w:color="auto" w:fill="auto"/>
            <w:noWrap/>
            <w:vAlign w:val="bottom"/>
          </w:tcPr>
          <w:p w14:paraId="65F275FF"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0,9 </w:t>
            </w:r>
          </w:p>
        </w:tc>
        <w:tc>
          <w:tcPr>
            <w:tcW w:w="866" w:type="dxa"/>
            <w:shd w:val="clear" w:color="auto" w:fill="auto"/>
            <w:noWrap/>
            <w:vAlign w:val="bottom"/>
          </w:tcPr>
          <w:p w14:paraId="21A5B465"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 </w:t>
            </w:r>
          </w:p>
        </w:tc>
        <w:tc>
          <w:tcPr>
            <w:tcW w:w="741" w:type="dxa"/>
            <w:shd w:val="clear" w:color="auto" w:fill="auto"/>
            <w:noWrap/>
            <w:vAlign w:val="bottom"/>
          </w:tcPr>
          <w:p w14:paraId="6D064AB9"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0,9 </w:t>
            </w:r>
          </w:p>
        </w:tc>
        <w:tc>
          <w:tcPr>
            <w:tcW w:w="900" w:type="dxa"/>
            <w:shd w:val="clear" w:color="auto" w:fill="auto"/>
            <w:noWrap/>
            <w:vAlign w:val="bottom"/>
          </w:tcPr>
          <w:p w14:paraId="256D98B7"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0 </w:t>
            </w:r>
          </w:p>
        </w:tc>
      </w:tr>
      <w:tr w:rsidR="005720FB" w:rsidRPr="00A66C9F" w14:paraId="6E4537C1" w14:textId="77777777" w:rsidTr="00225C0F">
        <w:trPr>
          <w:cantSplit/>
        </w:trPr>
        <w:tc>
          <w:tcPr>
            <w:tcW w:w="2070" w:type="dxa"/>
            <w:gridSpan w:val="2"/>
            <w:shd w:val="clear" w:color="auto" w:fill="auto"/>
            <w:noWrap/>
            <w:vAlign w:val="bottom"/>
            <w:hideMark/>
          </w:tcPr>
          <w:p w14:paraId="23131320"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rPr>
                <w:sz w:val="17"/>
                <w:lang w:val="fr-FR"/>
              </w:rPr>
            </w:pPr>
            <w:r w:rsidRPr="00A66C9F">
              <w:rPr>
                <w:sz w:val="17"/>
                <w:lang w:val="fr-FR"/>
              </w:rPr>
              <w:tab/>
              <w:t>Voyages du personnel</w:t>
            </w:r>
          </w:p>
        </w:tc>
        <w:tc>
          <w:tcPr>
            <w:tcW w:w="865" w:type="dxa"/>
            <w:shd w:val="clear" w:color="auto" w:fill="auto"/>
            <w:noWrap/>
            <w:vAlign w:val="bottom"/>
          </w:tcPr>
          <w:p w14:paraId="2DD16F65"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1 096,5 </w:t>
            </w:r>
          </w:p>
        </w:tc>
        <w:tc>
          <w:tcPr>
            <w:tcW w:w="865" w:type="dxa"/>
            <w:shd w:val="clear" w:color="auto" w:fill="auto"/>
            <w:noWrap/>
            <w:vAlign w:val="bottom"/>
          </w:tcPr>
          <w:p w14:paraId="56AB3514"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 </w:t>
            </w:r>
          </w:p>
        </w:tc>
        <w:tc>
          <w:tcPr>
            <w:tcW w:w="866" w:type="dxa"/>
            <w:shd w:val="clear" w:color="auto" w:fill="auto"/>
            <w:noWrap/>
            <w:vAlign w:val="bottom"/>
          </w:tcPr>
          <w:p w14:paraId="012033BC"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1 096,5 </w:t>
            </w:r>
          </w:p>
        </w:tc>
        <w:tc>
          <w:tcPr>
            <w:tcW w:w="865" w:type="dxa"/>
            <w:gridSpan w:val="2"/>
            <w:shd w:val="clear" w:color="auto" w:fill="auto"/>
            <w:noWrap/>
            <w:vAlign w:val="bottom"/>
          </w:tcPr>
          <w:p w14:paraId="4B6D6340"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1 096,5 </w:t>
            </w:r>
          </w:p>
        </w:tc>
        <w:tc>
          <w:tcPr>
            <w:tcW w:w="865" w:type="dxa"/>
            <w:shd w:val="clear" w:color="auto" w:fill="auto"/>
            <w:noWrap/>
            <w:vAlign w:val="bottom"/>
          </w:tcPr>
          <w:p w14:paraId="3E8571AE"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w:t>
            </w:r>
          </w:p>
        </w:tc>
        <w:tc>
          <w:tcPr>
            <w:tcW w:w="866" w:type="dxa"/>
            <w:shd w:val="clear" w:color="auto" w:fill="auto"/>
            <w:noWrap/>
            <w:vAlign w:val="bottom"/>
          </w:tcPr>
          <w:p w14:paraId="206706F1"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1 096,5 </w:t>
            </w:r>
          </w:p>
        </w:tc>
        <w:tc>
          <w:tcPr>
            <w:tcW w:w="865" w:type="dxa"/>
            <w:gridSpan w:val="2"/>
            <w:shd w:val="clear" w:color="auto" w:fill="auto"/>
            <w:noWrap/>
            <w:vAlign w:val="bottom"/>
          </w:tcPr>
          <w:p w14:paraId="2B820027"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809,1 </w:t>
            </w:r>
          </w:p>
        </w:tc>
        <w:tc>
          <w:tcPr>
            <w:tcW w:w="866" w:type="dxa"/>
            <w:shd w:val="clear" w:color="auto" w:fill="auto"/>
            <w:noWrap/>
            <w:vAlign w:val="bottom"/>
          </w:tcPr>
          <w:p w14:paraId="354C9F47"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 </w:t>
            </w:r>
          </w:p>
        </w:tc>
        <w:tc>
          <w:tcPr>
            <w:tcW w:w="865" w:type="dxa"/>
            <w:shd w:val="clear" w:color="auto" w:fill="auto"/>
            <w:noWrap/>
            <w:vAlign w:val="bottom"/>
          </w:tcPr>
          <w:p w14:paraId="578728BB"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809,1 </w:t>
            </w:r>
          </w:p>
        </w:tc>
        <w:tc>
          <w:tcPr>
            <w:tcW w:w="865" w:type="dxa"/>
            <w:gridSpan w:val="2"/>
            <w:shd w:val="clear" w:color="auto" w:fill="auto"/>
            <w:noWrap/>
            <w:vAlign w:val="bottom"/>
          </w:tcPr>
          <w:p w14:paraId="773261C6"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(287,4)</w:t>
            </w:r>
          </w:p>
        </w:tc>
        <w:tc>
          <w:tcPr>
            <w:tcW w:w="866" w:type="dxa"/>
            <w:shd w:val="clear" w:color="auto" w:fill="auto"/>
            <w:noWrap/>
            <w:vAlign w:val="bottom"/>
          </w:tcPr>
          <w:p w14:paraId="62DDF2F2"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 </w:t>
            </w:r>
          </w:p>
        </w:tc>
        <w:tc>
          <w:tcPr>
            <w:tcW w:w="741" w:type="dxa"/>
            <w:shd w:val="clear" w:color="auto" w:fill="auto"/>
            <w:noWrap/>
            <w:vAlign w:val="bottom"/>
          </w:tcPr>
          <w:p w14:paraId="77BE1E3A"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(287,4)</w:t>
            </w:r>
          </w:p>
        </w:tc>
        <w:tc>
          <w:tcPr>
            <w:tcW w:w="900" w:type="dxa"/>
            <w:shd w:val="clear" w:color="auto" w:fill="auto"/>
            <w:noWrap/>
            <w:vAlign w:val="bottom"/>
          </w:tcPr>
          <w:p w14:paraId="539AA1FD"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(26)</w:t>
            </w:r>
          </w:p>
        </w:tc>
      </w:tr>
      <w:tr w:rsidR="005720FB" w:rsidRPr="00A66C9F" w14:paraId="07771163" w14:textId="77777777" w:rsidTr="00225C0F">
        <w:trPr>
          <w:cantSplit/>
        </w:trPr>
        <w:tc>
          <w:tcPr>
            <w:tcW w:w="2070" w:type="dxa"/>
            <w:gridSpan w:val="2"/>
            <w:shd w:val="clear" w:color="auto" w:fill="auto"/>
            <w:noWrap/>
            <w:vAlign w:val="bottom"/>
            <w:hideMark/>
          </w:tcPr>
          <w:p w14:paraId="7078E6F0"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rPr>
                <w:sz w:val="17"/>
                <w:lang w:val="fr-FR"/>
              </w:rPr>
            </w:pPr>
            <w:r w:rsidRPr="00A66C9F">
              <w:rPr>
                <w:sz w:val="17"/>
                <w:lang w:val="fr-FR"/>
              </w:rPr>
              <w:tab/>
              <w:t>Services contractuels</w:t>
            </w:r>
            <w:r w:rsidRPr="00A66C9F">
              <w:rPr>
                <w:i/>
                <w:iCs/>
                <w:sz w:val="17"/>
                <w:vertAlign w:val="superscript"/>
                <w:lang w:val="fr-FR"/>
              </w:rPr>
              <w:t>a</w:t>
            </w:r>
          </w:p>
        </w:tc>
        <w:tc>
          <w:tcPr>
            <w:tcW w:w="865" w:type="dxa"/>
            <w:shd w:val="clear" w:color="auto" w:fill="auto"/>
            <w:noWrap/>
            <w:vAlign w:val="bottom"/>
          </w:tcPr>
          <w:p w14:paraId="694080E4"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18 812,0 </w:t>
            </w:r>
          </w:p>
        </w:tc>
        <w:tc>
          <w:tcPr>
            <w:tcW w:w="865" w:type="dxa"/>
            <w:shd w:val="clear" w:color="auto" w:fill="auto"/>
            <w:noWrap/>
            <w:vAlign w:val="bottom"/>
          </w:tcPr>
          <w:p w14:paraId="6A9DA6D5"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2 128,5 </w:t>
            </w:r>
          </w:p>
        </w:tc>
        <w:tc>
          <w:tcPr>
            <w:tcW w:w="866" w:type="dxa"/>
            <w:shd w:val="clear" w:color="auto" w:fill="auto"/>
            <w:noWrap/>
            <w:vAlign w:val="bottom"/>
          </w:tcPr>
          <w:p w14:paraId="3D162AD2"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20 940,5 </w:t>
            </w:r>
          </w:p>
        </w:tc>
        <w:tc>
          <w:tcPr>
            <w:tcW w:w="865" w:type="dxa"/>
            <w:gridSpan w:val="2"/>
            <w:shd w:val="clear" w:color="auto" w:fill="auto"/>
            <w:noWrap/>
            <w:vAlign w:val="bottom"/>
          </w:tcPr>
          <w:p w14:paraId="16759448"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19 446,7 </w:t>
            </w:r>
          </w:p>
        </w:tc>
        <w:tc>
          <w:tcPr>
            <w:tcW w:w="865" w:type="dxa"/>
            <w:shd w:val="clear" w:color="auto" w:fill="auto"/>
            <w:noWrap/>
            <w:vAlign w:val="bottom"/>
          </w:tcPr>
          <w:p w14:paraId="37C64767"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2 128,5 </w:t>
            </w:r>
          </w:p>
        </w:tc>
        <w:tc>
          <w:tcPr>
            <w:tcW w:w="866" w:type="dxa"/>
            <w:shd w:val="clear" w:color="auto" w:fill="auto"/>
            <w:noWrap/>
            <w:vAlign w:val="bottom"/>
          </w:tcPr>
          <w:p w14:paraId="4CAE0B91"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21 575,2 </w:t>
            </w:r>
          </w:p>
        </w:tc>
        <w:tc>
          <w:tcPr>
            <w:tcW w:w="865" w:type="dxa"/>
            <w:gridSpan w:val="2"/>
            <w:shd w:val="clear" w:color="auto" w:fill="auto"/>
            <w:noWrap/>
            <w:vAlign w:val="bottom"/>
          </w:tcPr>
          <w:p w14:paraId="4BFE88A6"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19 256,7 </w:t>
            </w:r>
          </w:p>
        </w:tc>
        <w:tc>
          <w:tcPr>
            <w:tcW w:w="866" w:type="dxa"/>
            <w:shd w:val="clear" w:color="auto" w:fill="auto"/>
            <w:noWrap/>
            <w:vAlign w:val="bottom"/>
          </w:tcPr>
          <w:p w14:paraId="7ECD3360"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2 148,6 </w:t>
            </w:r>
          </w:p>
        </w:tc>
        <w:tc>
          <w:tcPr>
            <w:tcW w:w="865" w:type="dxa"/>
            <w:shd w:val="clear" w:color="auto" w:fill="auto"/>
            <w:noWrap/>
            <w:vAlign w:val="bottom"/>
          </w:tcPr>
          <w:p w14:paraId="2138D95F"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21 405,3 </w:t>
            </w:r>
          </w:p>
        </w:tc>
        <w:tc>
          <w:tcPr>
            <w:tcW w:w="865" w:type="dxa"/>
            <w:gridSpan w:val="2"/>
            <w:shd w:val="clear" w:color="auto" w:fill="auto"/>
            <w:noWrap/>
            <w:vAlign w:val="bottom"/>
          </w:tcPr>
          <w:p w14:paraId="1CF7CFC8"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(190,0)</w:t>
            </w:r>
          </w:p>
        </w:tc>
        <w:tc>
          <w:tcPr>
            <w:tcW w:w="866" w:type="dxa"/>
            <w:shd w:val="clear" w:color="auto" w:fill="auto"/>
            <w:noWrap/>
            <w:vAlign w:val="bottom"/>
          </w:tcPr>
          <w:p w14:paraId="69EADCF5"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20,1</w:t>
            </w:r>
          </w:p>
        </w:tc>
        <w:tc>
          <w:tcPr>
            <w:tcW w:w="741" w:type="dxa"/>
            <w:shd w:val="clear" w:color="auto" w:fill="auto"/>
            <w:noWrap/>
            <w:vAlign w:val="bottom"/>
          </w:tcPr>
          <w:p w14:paraId="722B90C5"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(169,9)</w:t>
            </w:r>
          </w:p>
        </w:tc>
        <w:tc>
          <w:tcPr>
            <w:tcW w:w="900" w:type="dxa"/>
            <w:shd w:val="clear" w:color="auto" w:fill="auto"/>
            <w:noWrap/>
            <w:vAlign w:val="bottom"/>
          </w:tcPr>
          <w:p w14:paraId="0C5DD9BE"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w:t>
            </w:r>
          </w:p>
        </w:tc>
      </w:tr>
      <w:tr w:rsidR="005720FB" w:rsidRPr="00A66C9F" w14:paraId="318D4F46" w14:textId="77777777" w:rsidTr="00225C0F">
        <w:trPr>
          <w:cantSplit/>
        </w:trPr>
        <w:tc>
          <w:tcPr>
            <w:tcW w:w="2070" w:type="dxa"/>
            <w:gridSpan w:val="2"/>
            <w:shd w:val="clear" w:color="auto" w:fill="auto"/>
            <w:noWrap/>
            <w:vAlign w:val="bottom"/>
            <w:hideMark/>
          </w:tcPr>
          <w:p w14:paraId="7DE2C1C0" w14:textId="77777777" w:rsidR="005720FB" w:rsidRPr="00A66C9F" w:rsidRDefault="005720FB" w:rsidP="00107D5D">
            <w:pPr>
              <w:tabs>
                <w:tab w:val="left" w:pos="288"/>
                <w:tab w:val="left" w:pos="576"/>
                <w:tab w:val="left" w:pos="864"/>
                <w:tab w:val="left" w:pos="1152"/>
              </w:tabs>
              <w:suppressAutoHyphens/>
              <w:spacing w:before="40" w:after="40" w:line="210" w:lineRule="exact"/>
              <w:ind w:left="288" w:right="43" w:hanging="288"/>
              <w:rPr>
                <w:sz w:val="17"/>
                <w:lang w:val="fr-FR"/>
              </w:rPr>
            </w:pPr>
            <w:r w:rsidRPr="00A66C9F">
              <w:rPr>
                <w:sz w:val="17"/>
                <w:lang w:val="fr-FR"/>
              </w:rPr>
              <w:tab/>
              <w:t xml:space="preserve">Frais généraux de fonctionnement </w:t>
            </w:r>
          </w:p>
        </w:tc>
        <w:tc>
          <w:tcPr>
            <w:tcW w:w="865" w:type="dxa"/>
            <w:shd w:val="clear" w:color="auto" w:fill="auto"/>
            <w:noWrap/>
            <w:vAlign w:val="bottom"/>
          </w:tcPr>
          <w:p w14:paraId="7F2FEB31"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13 282,4 </w:t>
            </w:r>
          </w:p>
        </w:tc>
        <w:tc>
          <w:tcPr>
            <w:tcW w:w="865" w:type="dxa"/>
            <w:shd w:val="clear" w:color="auto" w:fill="auto"/>
            <w:noWrap/>
            <w:vAlign w:val="bottom"/>
          </w:tcPr>
          <w:p w14:paraId="6C5EAE29"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3 751,1 </w:t>
            </w:r>
          </w:p>
        </w:tc>
        <w:tc>
          <w:tcPr>
            <w:tcW w:w="866" w:type="dxa"/>
            <w:shd w:val="clear" w:color="auto" w:fill="auto"/>
            <w:noWrap/>
            <w:vAlign w:val="bottom"/>
          </w:tcPr>
          <w:p w14:paraId="074C4260"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17 033,5 </w:t>
            </w:r>
          </w:p>
        </w:tc>
        <w:tc>
          <w:tcPr>
            <w:tcW w:w="865" w:type="dxa"/>
            <w:gridSpan w:val="2"/>
            <w:shd w:val="clear" w:color="auto" w:fill="auto"/>
            <w:noWrap/>
            <w:vAlign w:val="bottom"/>
          </w:tcPr>
          <w:p w14:paraId="139B0A82"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12 225,5 </w:t>
            </w:r>
          </w:p>
        </w:tc>
        <w:tc>
          <w:tcPr>
            <w:tcW w:w="865" w:type="dxa"/>
            <w:shd w:val="clear" w:color="auto" w:fill="auto"/>
            <w:noWrap/>
            <w:vAlign w:val="bottom"/>
          </w:tcPr>
          <w:p w14:paraId="3DEEE874"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3 592,0 </w:t>
            </w:r>
          </w:p>
        </w:tc>
        <w:tc>
          <w:tcPr>
            <w:tcW w:w="866" w:type="dxa"/>
            <w:shd w:val="clear" w:color="auto" w:fill="auto"/>
            <w:noWrap/>
            <w:vAlign w:val="bottom"/>
          </w:tcPr>
          <w:p w14:paraId="11589212"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15 817,5 </w:t>
            </w:r>
          </w:p>
        </w:tc>
        <w:tc>
          <w:tcPr>
            <w:tcW w:w="865" w:type="dxa"/>
            <w:gridSpan w:val="2"/>
            <w:shd w:val="clear" w:color="auto" w:fill="auto"/>
            <w:noWrap/>
            <w:vAlign w:val="bottom"/>
          </w:tcPr>
          <w:p w14:paraId="0DE86D8C"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12 517,0 </w:t>
            </w:r>
          </w:p>
        </w:tc>
        <w:tc>
          <w:tcPr>
            <w:tcW w:w="866" w:type="dxa"/>
            <w:shd w:val="clear" w:color="auto" w:fill="auto"/>
            <w:noWrap/>
            <w:vAlign w:val="bottom"/>
          </w:tcPr>
          <w:p w14:paraId="28BF3F65"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3 653,3 </w:t>
            </w:r>
          </w:p>
        </w:tc>
        <w:tc>
          <w:tcPr>
            <w:tcW w:w="865" w:type="dxa"/>
            <w:shd w:val="clear" w:color="auto" w:fill="auto"/>
            <w:noWrap/>
            <w:vAlign w:val="bottom"/>
          </w:tcPr>
          <w:p w14:paraId="4BEFCD9F"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16 170,3 </w:t>
            </w:r>
          </w:p>
        </w:tc>
        <w:tc>
          <w:tcPr>
            <w:tcW w:w="865" w:type="dxa"/>
            <w:gridSpan w:val="2"/>
            <w:shd w:val="clear" w:color="auto" w:fill="auto"/>
            <w:noWrap/>
            <w:vAlign w:val="bottom"/>
          </w:tcPr>
          <w:p w14:paraId="49B034FD"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291,5</w:t>
            </w:r>
          </w:p>
        </w:tc>
        <w:tc>
          <w:tcPr>
            <w:tcW w:w="866" w:type="dxa"/>
            <w:shd w:val="clear" w:color="auto" w:fill="auto"/>
            <w:noWrap/>
            <w:vAlign w:val="bottom"/>
          </w:tcPr>
          <w:p w14:paraId="07ED9ACA"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61,3</w:t>
            </w:r>
          </w:p>
        </w:tc>
        <w:tc>
          <w:tcPr>
            <w:tcW w:w="741" w:type="dxa"/>
            <w:shd w:val="clear" w:color="auto" w:fill="auto"/>
            <w:noWrap/>
            <w:vAlign w:val="bottom"/>
          </w:tcPr>
          <w:p w14:paraId="4157F8CC"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352,8</w:t>
            </w:r>
          </w:p>
        </w:tc>
        <w:tc>
          <w:tcPr>
            <w:tcW w:w="900" w:type="dxa"/>
            <w:shd w:val="clear" w:color="auto" w:fill="auto"/>
            <w:noWrap/>
            <w:vAlign w:val="bottom"/>
          </w:tcPr>
          <w:p w14:paraId="66F07389"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2 </w:t>
            </w:r>
          </w:p>
        </w:tc>
      </w:tr>
      <w:tr w:rsidR="005720FB" w:rsidRPr="00A66C9F" w14:paraId="307A9179" w14:textId="77777777" w:rsidTr="00225C0F">
        <w:trPr>
          <w:cantSplit/>
        </w:trPr>
        <w:tc>
          <w:tcPr>
            <w:tcW w:w="2070" w:type="dxa"/>
            <w:gridSpan w:val="2"/>
            <w:shd w:val="clear" w:color="auto" w:fill="auto"/>
            <w:noWrap/>
            <w:vAlign w:val="bottom"/>
            <w:hideMark/>
          </w:tcPr>
          <w:p w14:paraId="1526F79D" w14:textId="77777777" w:rsidR="005720FB" w:rsidRPr="00A66C9F" w:rsidRDefault="005720FB" w:rsidP="00107D5D">
            <w:pPr>
              <w:tabs>
                <w:tab w:val="left" w:pos="288"/>
                <w:tab w:val="left" w:pos="576"/>
                <w:tab w:val="left" w:pos="864"/>
                <w:tab w:val="left" w:pos="1152"/>
              </w:tabs>
              <w:suppressAutoHyphens/>
              <w:spacing w:before="40" w:after="40" w:line="210" w:lineRule="exact"/>
              <w:ind w:left="288" w:right="43" w:hanging="288"/>
              <w:rPr>
                <w:sz w:val="17"/>
                <w:lang w:val="fr-FR"/>
              </w:rPr>
            </w:pPr>
            <w:r w:rsidRPr="00A66C9F">
              <w:rPr>
                <w:sz w:val="17"/>
                <w:lang w:val="fr-FR"/>
              </w:rPr>
              <w:tab/>
              <w:t>Fournitures et accessoires</w:t>
            </w:r>
          </w:p>
        </w:tc>
        <w:tc>
          <w:tcPr>
            <w:tcW w:w="865" w:type="dxa"/>
            <w:shd w:val="clear" w:color="auto" w:fill="auto"/>
            <w:noWrap/>
            <w:vAlign w:val="bottom"/>
          </w:tcPr>
          <w:p w14:paraId="12F60AF2"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136,8</w:t>
            </w:r>
          </w:p>
        </w:tc>
        <w:tc>
          <w:tcPr>
            <w:tcW w:w="865" w:type="dxa"/>
            <w:shd w:val="clear" w:color="auto" w:fill="auto"/>
            <w:noWrap/>
            <w:vAlign w:val="bottom"/>
          </w:tcPr>
          <w:p w14:paraId="040E8F47"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68,5</w:t>
            </w:r>
          </w:p>
        </w:tc>
        <w:tc>
          <w:tcPr>
            <w:tcW w:w="866" w:type="dxa"/>
            <w:shd w:val="clear" w:color="auto" w:fill="auto"/>
            <w:noWrap/>
            <w:vAlign w:val="bottom"/>
          </w:tcPr>
          <w:p w14:paraId="3D9B5476"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205,3</w:t>
            </w:r>
          </w:p>
        </w:tc>
        <w:tc>
          <w:tcPr>
            <w:tcW w:w="865" w:type="dxa"/>
            <w:gridSpan w:val="2"/>
            <w:shd w:val="clear" w:color="auto" w:fill="auto"/>
            <w:noWrap/>
            <w:vAlign w:val="bottom"/>
          </w:tcPr>
          <w:p w14:paraId="0B03F927"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117,3</w:t>
            </w:r>
          </w:p>
        </w:tc>
        <w:tc>
          <w:tcPr>
            <w:tcW w:w="865" w:type="dxa"/>
            <w:shd w:val="clear" w:color="auto" w:fill="auto"/>
            <w:noWrap/>
            <w:vAlign w:val="bottom"/>
          </w:tcPr>
          <w:p w14:paraId="327A0F2E"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58,7</w:t>
            </w:r>
          </w:p>
        </w:tc>
        <w:tc>
          <w:tcPr>
            <w:tcW w:w="866" w:type="dxa"/>
            <w:shd w:val="clear" w:color="auto" w:fill="auto"/>
            <w:noWrap/>
            <w:vAlign w:val="bottom"/>
          </w:tcPr>
          <w:p w14:paraId="0FA53287"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176,0</w:t>
            </w:r>
          </w:p>
        </w:tc>
        <w:tc>
          <w:tcPr>
            <w:tcW w:w="865" w:type="dxa"/>
            <w:gridSpan w:val="2"/>
            <w:shd w:val="clear" w:color="auto" w:fill="auto"/>
            <w:noWrap/>
            <w:vAlign w:val="bottom"/>
          </w:tcPr>
          <w:p w14:paraId="4F901E36"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73,1</w:t>
            </w:r>
          </w:p>
        </w:tc>
        <w:tc>
          <w:tcPr>
            <w:tcW w:w="866" w:type="dxa"/>
            <w:shd w:val="clear" w:color="auto" w:fill="auto"/>
            <w:noWrap/>
            <w:vAlign w:val="bottom"/>
          </w:tcPr>
          <w:p w14:paraId="66E3EE28"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25,0</w:t>
            </w:r>
          </w:p>
        </w:tc>
        <w:tc>
          <w:tcPr>
            <w:tcW w:w="865" w:type="dxa"/>
            <w:shd w:val="clear" w:color="auto" w:fill="auto"/>
            <w:noWrap/>
            <w:vAlign w:val="bottom"/>
          </w:tcPr>
          <w:p w14:paraId="51346DFD"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98,1</w:t>
            </w:r>
          </w:p>
        </w:tc>
        <w:tc>
          <w:tcPr>
            <w:tcW w:w="865" w:type="dxa"/>
            <w:gridSpan w:val="2"/>
            <w:shd w:val="clear" w:color="auto" w:fill="auto"/>
            <w:noWrap/>
            <w:vAlign w:val="bottom"/>
          </w:tcPr>
          <w:p w14:paraId="636C6D9B"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(44,2)</w:t>
            </w:r>
          </w:p>
        </w:tc>
        <w:tc>
          <w:tcPr>
            <w:tcW w:w="866" w:type="dxa"/>
            <w:shd w:val="clear" w:color="auto" w:fill="auto"/>
            <w:noWrap/>
            <w:vAlign w:val="bottom"/>
          </w:tcPr>
          <w:p w14:paraId="51B5C653"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(33,7)</w:t>
            </w:r>
          </w:p>
        </w:tc>
        <w:tc>
          <w:tcPr>
            <w:tcW w:w="741" w:type="dxa"/>
            <w:shd w:val="clear" w:color="auto" w:fill="auto"/>
            <w:noWrap/>
            <w:vAlign w:val="bottom"/>
          </w:tcPr>
          <w:p w14:paraId="45863106"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(77,9)</w:t>
            </w:r>
          </w:p>
        </w:tc>
        <w:tc>
          <w:tcPr>
            <w:tcW w:w="900" w:type="dxa"/>
            <w:shd w:val="clear" w:color="auto" w:fill="auto"/>
            <w:noWrap/>
            <w:vAlign w:val="bottom"/>
          </w:tcPr>
          <w:p w14:paraId="481388F9"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(44)</w:t>
            </w:r>
          </w:p>
        </w:tc>
      </w:tr>
      <w:tr w:rsidR="005720FB" w:rsidRPr="00A66C9F" w14:paraId="17C3AE09" w14:textId="77777777" w:rsidTr="00225C0F">
        <w:trPr>
          <w:cantSplit/>
        </w:trPr>
        <w:tc>
          <w:tcPr>
            <w:tcW w:w="2070" w:type="dxa"/>
            <w:gridSpan w:val="2"/>
            <w:tcBorders>
              <w:bottom w:val="single" w:sz="4" w:space="0" w:color="auto"/>
            </w:tcBorders>
            <w:shd w:val="clear" w:color="auto" w:fill="auto"/>
            <w:noWrap/>
            <w:vAlign w:val="bottom"/>
            <w:hideMark/>
          </w:tcPr>
          <w:p w14:paraId="692BA0B4" w14:textId="77777777" w:rsidR="005720FB" w:rsidRPr="00A66C9F" w:rsidRDefault="005720FB" w:rsidP="00107D5D">
            <w:pPr>
              <w:tabs>
                <w:tab w:val="left" w:pos="288"/>
                <w:tab w:val="left" w:pos="576"/>
                <w:tab w:val="left" w:pos="864"/>
                <w:tab w:val="left" w:pos="1152"/>
              </w:tabs>
              <w:suppressAutoHyphens/>
              <w:spacing w:before="40" w:after="81" w:line="210" w:lineRule="exact"/>
              <w:ind w:right="43"/>
              <w:rPr>
                <w:sz w:val="17"/>
                <w:lang w:val="fr-FR"/>
              </w:rPr>
            </w:pPr>
            <w:r w:rsidRPr="00A66C9F">
              <w:rPr>
                <w:sz w:val="17"/>
                <w:lang w:val="fr-FR"/>
              </w:rPr>
              <w:tab/>
              <w:t>Mobilier et matériel</w:t>
            </w:r>
          </w:p>
        </w:tc>
        <w:tc>
          <w:tcPr>
            <w:tcW w:w="865" w:type="dxa"/>
            <w:tcBorders>
              <w:bottom w:val="single" w:sz="4" w:space="0" w:color="auto"/>
            </w:tcBorders>
            <w:shd w:val="clear" w:color="auto" w:fill="auto"/>
            <w:noWrap/>
            <w:vAlign w:val="bottom"/>
          </w:tcPr>
          <w:p w14:paraId="49C0F9C0" w14:textId="77777777" w:rsidR="005720FB" w:rsidRPr="00A66C9F" w:rsidRDefault="005720FB"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1 554,1 </w:t>
            </w:r>
          </w:p>
        </w:tc>
        <w:tc>
          <w:tcPr>
            <w:tcW w:w="865" w:type="dxa"/>
            <w:tcBorders>
              <w:bottom w:val="single" w:sz="4" w:space="0" w:color="auto"/>
            </w:tcBorders>
            <w:shd w:val="clear" w:color="auto" w:fill="auto"/>
            <w:noWrap/>
            <w:vAlign w:val="bottom"/>
          </w:tcPr>
          <w:p w14:paraId="0B3A04DC" w14:textId="77777777" w:rsidR="005720FB" w:rsidRPr="00A66C9F" w:rsidRDefault="005720FB"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636,0 </w:t>
            </w:r>
          </w:p>
        </w:tc>
        <w:tc>
          <w:tcPr>
            <w:tcW w:w="866" w:type="dxa"/>
            <w:tcBorders>
              <w:bottom w:val="single" w:sz="4" w:space="0" w:color="auto"/>
            </w:tcBorders>
            <w:shd w:val="clear" w:color="auto" w:fill="auto"/>
            <w:noWrap/>
            <w:vAlign w:val="bottom"/>
          </w:tcPr>
          <w:p w14:paraId="4BD911AF" w14:textId="77777777" w:rsidR="005720FB" w:rsidRPr="00A66C9F" w:rsidRDefault="005720FB"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2 190,1 </w:t>
            </w:r>
          </w:p>
        </w:tc>
        <w:tc>
          <w:tcPr>
            <w:tcW w:w="865" w:type="dxa"/>
            <w:gridSpan w:val="2"/>
            <w:tcBorders>
              <w:bottom w:val="single" w:sz="4" w:space="0" w:color="auto"/>
            </w:tcBorders>
            <w:shd w:val="clear" w:color="auto" w:fill="auto"/>
            <w:noWrap/>
            <w:vAlign w:val="bottom"/>
          </w:tcPr>
          <w:p w14:paraId="61885564" w14:textId="77777777" w:rsidR="005720FB" w:rsidRPr="00A66C9F" w:rsidRDefault="005720FB"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965,4 </w:t>
            </w:r>
          </w:p>
        </w:tc>
        <w:tc>
          <w:tcPr>
            <w:tcW w:w="865" w:type="dxa"/>
            <w:tcBorders>
              <w:bottom w:val="single" w:sz="4" w:space="0" w:color="auto"/>
            </w:tcBorders>
            <w:shd w:val="clear" w:color="auto" w:fill="auto"/>
            <w:noWrap/>
            <w:vAlign w:val="bottom"/>
          </w:tcPr>
          <w:p w14:paraId="4640CFF8" w14:textId="77777777" w:rsidR="005720FB" w:rsidRPr="00A66C9F" w:rsidRDefault="005720FB"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302,7</w:t>
            </w:r>
          </w:p>
        </w:tc>
        <w:tc>
          <w:tcPr>
            <w:tcW w:w="866" w:type="dxa"/>
            <w:tcBorders>
              <w:bottom w:val="single" w:sz="4" w:space="0" w:color="auto"/>
            </w:tcBorders>
            <w:shd w:val="clear" w:color="auto" w:fill="auto"/>
            <w:noWrap/>
            <w:vAlign w:val="bottom"/>
          </w:tcPr>
          <w:p w14:paraId="3F77337D" w14:textId="77777777" w:rsidR="005720FB" w:rsidRPr="00A66C9F" w:rsidRDefault="005720FB"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1 268,1 </w:t>
            </w:r>
          </w:p>
        </w:tc>
        <w:tc>
          <w:tcPr>
            <w:tcW w:w="865" w:type="dxa"/>
            <w:gridSpan w:val="2"/>
            <w:tcBorders>
              <w:bottom w:val="single" w:sz="4" w:space="0" w:color="auto"/>
            </w:tcBorders>
            <w:shd w:val="clear" w:color="auto" w:fill="auto"/>
            <w:noWrap/>
            <w:vAlign w:val="bottom"/>
          </w:tcPr>
          <w:p w14:paraId="5AFF0672" w14:textId="77777777" w:rsidR="005720FB" w:rsidRPr="00A66C9F" w:rsidRDefault="005720FB"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1 121,7 </w:t>
            </w:r>
          </w:p>
        </w:tc>
        <w:tc>
          <w:tcPr>
            <w:tcW w:w="866" w:type="dxa"/>
            <w:tcBorders>
              <w:bottom w:val="single" w:sz="4" w:space="0" w:color="auto"/>
            </w:tcBorders>
            <w:shd w:val="clear" w:color="auto" w:fill="auto"/>
            <w:noWrap/>
            <w:vAlign w:val="bottom"/>
          </w:tcPr>
          <w:p w14:paraId="04A71A8F" w14:textId="77777777" w:rsidR="005720FB" w:rsidRPr="00A66C9F" w:rsidRDefault="005720FB"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239,9</w:t>
            </w:r>
          </w:p>
        </w:tc>
        <w:tc>
          <w:tcPr>
            <w:tcW w:w="865" w:type="dxa"/>
            <w:tcBorders>
              <w:bottom w:val="single" w:sz="4" w:space="0" w:color="auto"/>
            </w:tcBorders>
            <w:shd w:val="clear" w:color="auto" w:fill="auto"/>
            <w:noWrap/>
            <w:vAlign w:val="bottom"/>
          </w:tcPr>
          <w:p w14:paraId="19B29CF2" w14:textId="77777777" w:rsidR="005720FB" w:rsidRPr="00A66C9F" w:rsidRDefault="005720FB"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1 361,6 </w:t>
            </w:r>
          </w:p>
        </w:tc>
        <w:tc>
          <w:tcPr>
            <w:tcW w:w="865" w:type="dxa"/>
            <w:gridSpan w:val="2"/>
            <w:tcBorders>
              <w:bottom w:val="single" w:sz="4" w:space="0" w:color="auto"/>
            </w:tcBorders>
            <w:shd w:val="clear" w:color="auto" w:fill="auto"/>
            <w:noWrap/>
            <w:vAlign w:val="bottom"/>
          </w:tcPr>
          <w:p w14:paraId="743B9DD8" w14:textId="77777777" w:rsidR="005720FB" w:rsidRPr="00A66C9F" w:rsidRDefault="005720FB"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156,3</w:t>
            </w:r>
          </w:p>
        </w:tc>
        <w:tc>
          <w:tcPr>
            <w:tcW w:w="866" w:type="dxa"/>
            <w:tcBorders>
              <w:bottom w:val="single" w:sz="4" w:space="0" w:color="auto"/>
            </w:tcBorders>
            <w:shd w:val="clear" w:color="auto" w:fill="auto"/>
            <w:noWrap/>
            <w:vAlign w:val="bottom"/>
          </w:tcPr>
          <w:p w14:paraId="2E234E92" w14:textId="77777777" w:rsidR="005720FB" w:rsidRPr="00A66C9F" w:rsidRDefault="005720FB"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(62,8)</w:t>
            </w:r>
          </w:p>
        </w:tc>
        <w:tc>
          <w:tcPr>
            <w:tcW w:w="741" w:type="dxa"/>
            <w:tcBorders>
              <w:bottom w:val="single" w:sz="4" w:space="0" w:color="auto"/>
            </w:tcBorders>
            <w:shd w:val="clear" w:color="auto" w:fill="auto"/>
            <w:noWrap/>
            <w:vAlign w:val="bottom"/>
          </w:tcPr>
          <w:p w14:paraId="1B8A0E7C" w14:textId="77777777" w:rsidR="005720FB" w:rsidRPr="00A66C9F" w:rsidRDefault="005720FB"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93,5</w:t>
            </w:r>
          </w:p>
        </w:tc>
        <w:tc>
          <w:tcPr>
            <w:tcW w:w="900" w:type="dxa"/>
            <w:tcBorders>
              <w:bottom w:val="single" w:sz="4" w:space="0" w:color="auto"/>
            </w:tcBorders>
            <w:shd w:val="clear" w:color="auto" w:fill="auto"/>
            <w:noWrap/>
            <w:vAlign w:val="bottom"/>
          </w:tcPr>
          <w:p w14:paraId="1A5A5D8D" w14:textId="77777777" w:rsidR="005720FB" w:rsidRPr="00A66C9F" w:rsidRDefault="005720FB"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7 </w:t>
            </w:r>
          </w:p>
        </w:tc>
      </w:tr>
      <w:tr w:rsidR="005720FB" w:rsidRPr="00A66C9F" w14:paraId="4A13BEDE" w14:textId="77777777" w:rsidTr="00225C0F">
        <w:trPr>
          <w:cantSplit/>
        </w:trPr>
        <w:tc>
          <w:tcPr>
            <w:tcW w:w="2070" w:type="dxa"/>
            <w:gridSpan w:val="2"/>
            <w:tcBorders>
              <w:top w:val="single" w:sz="4" w:space="0" w:color="auto"/>
              <w:bottom w:val="single" w:sz="12" w:space="0" w:color="auto"/>
            </w:tcBorders>
            <w:shd w:val="clear" w:color="auto" w:fill="auto"/>
            <w:noWrap/>
            <w:vAlign w:val="bottom"/>
            <w:hideMark/>
          </w:tcPr>
          <w:p w14:paraId="48F85182" w14:textId="77777777" w:rsidR="005720FB" w:rsidRPr="00A66C9F" w:rsidRDefault="005720FB" w:rsidP="00107D5D">
            <w:pPr>
              <w:tabs>
                <w:tab w:val="left" w:pos="288"/>
                <w:tab w:val="left" w:pos="576"/>
                <w:tab w:val="left" w:pos="864"/>
                <w:tab w:val="left" w:pos="1152"/>
              </w:tabs>
              <w:suppressAutoHyphens/>
              <w:spacing w:before="81" w:after="81" w:line="210" w:lineRule="exact"/>
              <w:ind w:right="40"/>
              <w:rPr>
                <w:b/>
                <w:sz w:val="17"/>
                <w:lang w:val="fr-FR"/>
              </w:rPr>
            </w:pPr>
            <w:r w:rsidRPr="00A66C9F">
              <w:rPr>
                <w:b/>
                <w:sz w:val="17"/>
                <w:lang w:val="fr-FR"/>
              </w:rPr>
              <w:tab/>
              <w:t>Total partiel</w:t>
            </w:r>
          </w:p>
        </w:tc>
        <w:tc>
          <w:tcPr>
            <w:tcW w:w="865" w:type="dxa"/>
            <w:tcBorders>
              <w:top w:val="single" w:sz="4" w:space="0" w:color="auto"/>
              <w:bottom w:val="single" w:sz="12" w:space="0" w:color="auto"/>
            </w:tcBorders>
            <w:shd w:val="clear" w:color="auto" w:fill="auto"/>
            <w:noWrap/>
            <w:vAlign w:val="bottom"/>
          </w:tcPr>
          <w:p w14:paraId="795BB194" w14:textId="77777777" w:rsidR="005720FB" w:rsidRPr="00A66C9F" w:rsidRDefault="005720FB"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78 770,0 </w:t>
            </w:r>
          </w:p>
        </w:tc>
        <w:tc>
          <w:tcPr>
            <w:tcW w:w="865" w:type="dxa"/>
            <w:tcBorders>
              <w:top w:val="single" w:sz="4" w:space="0" w:color="auto"/>
              <w:bottom w:val="single" w:sz="12" w:space="0" w:color="auto"/>
            </w:tcBorders>
            <w:shd w:val="clear" w:color="auto" w:fill="auto"/>
            <w:noWrap/>
            <w:vAlign w:val="bottom"/>
          </w:tcPr>
          <w:p w14:paraId="4DB8744C" w14:textId="77777777" w:rsidR="005720FB" w:rsidRPr="00A66C9F" w:rsidRDefault="005720FB"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21 707,5 </w:t>
            </w:r>
          </w:p>
        </w:tc>
        <w:tc>
          <w:tcPr>
            <w:tcW w:w="866" w:type="dxa"/>
            <w:tcBorders>
              <w:top w:val="single" w:sz="4" w:space="0" w:color="auto"/>
              <w:bottom w:val="single" w:sz="12" w:space="0" w:color="auto"/>
            </w:tcBorders>
            <w:shd w:val="clear" w:color="auto" w:fill="auto"/>
            <w:noWrap/>
            <w:vAlign w:val="bottom"/>
          </w:tcPr>
          <w:p w14:paraId="3852796D" w14:textId="77777777" w:rsidR="005720FB" w:rsidRPr="00A66C9F" w:rsidRDefault="005720FB"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100 477,5 </w:t>
            </w:r>
          </w:p>
        </w:tc>
        <w:tc>
          <w:tcPr>
            <w:tcW w:w="865" w:type="dxa"/>
            <w:gridSpan w:val="2"/>
            <w:tcBorders>
              <w:top w:val="single" w:sz="4" w:space="0" w:color="auto"/>
              <w:bottom w:val="single" w:sz="12" w:space="0" w:color="auto"/>
            </w:tcBorders>
            <w:shd w:val="clear" w:color="auto" w:fill="auto"/>
            <w:noWrap/>
            <w:vAlign w:val="bottom"/>
          </w:tcPr>
          <w:p w14:paraId="4F092110" w14:textId="77777777" w:rsidR="005720FB" w:rsidRPr="00A66C9F" w:rsidRDefault="005720FB"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79 654,2 </w:t>
            </w:r>
          </w:p>
        </w:tc>
        <w:tc>
          <w:tcPr>
            <w:tcW w:w="865" w:type="dxa"/>
            <w:tcBorders>
              <w:top w:val="single" w:sz="4" w:space="0" w:color="auto"/>
              <w:bottom w:val="single" w:sz="12" w:space="0" w:color="auto"/>
            </w:tcBorders>
            <w:shd w:val="clear" w:color="auto" w:fill="auto"/>
            <w:noWrap/>
            <w:vAlign w:val="bottom"/>
          </w:tcPr>
          <w:p w14:paraId="2C46542E" w14:textId="77777777" w:rsidR="005720FB" w:rsidRPr="00A66C9F" w:rsidRDefault="005720FB"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21 462,6 </w:t>
            </w:r>
          </w:p>
        </w:tc>
        <w:tc>
          <w:tcPr>
            <w:tcW w:w="866" w:type="dxa"/>
            <w:tcBorders>
              <w:top w:val="single" w:sz="4" w:space="0" w:color="auto"/>
              <w:bottom w:val="single" w:sz="12" w:space="0" w:color="auto"/>
            </w:tcBorders>
            <w:shd w:val="clear" w:color="auto" w:fill="auto"/>
            <w:noWrap/>
            <w:vAlign w:val="bottom"/>
          </w:tcPr>
          <w:p w14:paraId="21183BBC" w14:textId="77777777" w:rsidR="005720FB" w:rsidRPr="00A66C9F" w:rsidRDefault="005720FB"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101 116,8 </w:t>
            </w:r>
          </w:p>
        </w:tc>
        <w:tc>
          <w:tcPr>
            <w:tcW w:w="865" w:type="dxa"/>
            <w:gridSpan w:val="2"/>
            <w:tcBorders>
              <w:top w:val="single" w:sz="4" w:space="0" w:color="auto"/>
              <w:bottom w:val="single" w:sz="12" w:space="0" w:color="auto"/>
            </w:tcBorders>
            <w:shd w:val="clear" w:color="auto" w:fill="auto"/>
            <w:noWrap/>
            <w:vAlign w:val="bottom"/>
          </w:tcPr>
          <w:p w14:paraId="39B858AA" w14:textId="77777777" w:rsidR="005720FB" w:rsidRPr="00A66C9F" w:rsidRDefault="005720FB"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78 901,8 </w:t>
            </w:r>
          </w:p>
        </w:tc>
        <w:tc>
          <w:tcPr>
            <w:tcW w:w="866" w:type="dxa"/>
            <w:tcBorders>
              <w:top w:val="single" w:sz="4" w:space="0" w:color="auto"/>
              <w:bottom w:val="single" w:sz="12" w:space="0" w:color="auto"/>
            </w:tcBorders>
            <w:shd w:val="clear" w:color="auto" w:fill="auto"/>
            <w:noWrap/>
            <w:vAlign w:val="bottom"/>
          </w:tcPr>
          <w:p w14:paraId="702E4287" w14:textId="77777777" w:rsidR="005720FB" w:rsidRPr="00A66C9F" w:rsidRDefault="005720FB"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21 372,7 </w:t>
            </w:r>
          </w:p>
        </w:tc>
        <w:tc>
          <w:tcPr>
            <w:tcW w:w="865" w:type="dxa"/>
            <w:tcBorders>
              <w:top w:val="single" w:sz="4" w:space="0" w:color="auto"/>
              <w:bottom w:val="single" w:sz="12" w:space="0" w:color="auto"/>
            </w:tcBorders>
            <w:shd w:val="clear" w:color="auto" w:fill="auto"/>
            <w:noWrap/>
            <w:vAlign w:val="bottom"/>
          </w:tcPr>
          <w:p w14:paraId="39BB2DE7" w14:textId="77777777" w:rsidR="005720FB" w:rsidRPr="00A66C9F" w:rsidRDefault="005720FB"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100 274,5 </w:t>
            </w:r>
          </w:p>
        </w:tc>
        <w:tc>
          <w:tcPr>
            <w:tcW w:w="865" w:type="dxa"/>
            <w:gridSpan w:val="2"/>
            <w:tcBorders>
              <w:top w:val="single" w:sz="4" w:space="0" w:color="auto"/>
              <w:bottom w:val="single" w:sz="12" w:space="0" w:color="auto"/>
            </w:tcBorders>
            <w:shd w:val="clear" w:color="auto" w:fill="auto"/>
            <w:noWrap/>
            <w:vAlign w:val="bottom"/>
          </w:tcPr>
          <w:p w14:paraId="5CDCD04E" w14:textId="77777777" w:rsidR="005720FB" w:rsidRPr="00A66C9F" w:rsidRDefault="005720FB"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(752,4)</w:t>
            </w:r>
          </w:p>
        </w:tc>
        <w:tc>
          <w:tcPr>
            <w:tcW w:w="866" w:type="dxa"/>
            <w:tcBorders>
              <w:top w:val="single" w:sz="4" w:space="0" w:color="auto"/>
              <w:bottom w:val="single" w:sz="12" w:space="0" w:color="auto"/>
            </w:tcBorders>
            <w:shd w:val="clear" w:color="auto" w:fill="auto"/>
            <w:noWrap/>
            <w:vAlign w:val="bottom"/>
          </w:tcPr>
          <w:p w14:paraId="1E3034ED" w14:textId="77777777" w:rsidR="005720FB" w:rsidRPr="00A66C9F" w:rsidRDefault="005720FB"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(89,9)</w:t>
            </w:r>
          </w:p>
        </w:tc>
        <w:tc>
          <w:tcPr>
            <w:tcW w:w="741" w:type="dxa"/>
            <w:tcBorders>
              <w:top w:val="single" w:sz="4" w:space="0" w:color="auto"/>
              <w:bottom w:val="single" w:sz="12" w:space="0" w:color="auto"/>
            </w:tcBorders>
            <w:shd w:val="clear" w:color="auto" w:fill="auto"/>
            <w:noWrap/>
            <w:vAlign w:val="bottom"/>
          </w:tcPr>
          <w:p w14:paraId="3A6B33DA" w14:textId="77777777" w:rsidR="005720FB" w:rsidRPr="00A66C9F" w:rsidRDefault="005720FB"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(842,3)</w:t>
            </w:r>
          </w:p>
        </w:tc>
        <w:tc>
          <w:tcPr>
            <w:tcW w:w="900" w:type="dxa"/>
            <w:tcBorders>
              <w:top w:val="single" w:sz="4" w:space="0" w:color="auto"/>
              <w:bottom w:val="single" w:sz="12" w:space="0" w:color="auto"/>
            </w:tcBorders>
            <w:shd w:val="clear" w:color="auto" w:fill="auto"/>
            <w:noWrap/>
            <w:vAlign w:val="bottom"/>
          </w:tcPr>
          <w:p w14:paraId="3DB0FE2C" w14:textId="77777777" w:rsidR="005720FB" w:rsidRPr="00A66C9F" w:rsidRDefault="005720FB"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(1)</w:t>
            </w:r>
          </w:p>
        </w:tc>
      </w:tr>
    </w:tbl>
    <w:p w14:paraId="728E1F2A" w14:textId="77777777" w:rsidR="005720FB" w:rsidRPr="00A66C9F" w:rsidRDefault="005720FB" w:rsidP="005720FB">
      <w:pPr>
        <w:pStyle w:val="SingleTxt"/>
        <w:rPr>
          <w:lang w:val="fr-FR"/>
        </w:rPr>
      </w:pPr>
    </w:p>
    <w:p w14:paraId="514E8A43" w14:textId="77777777" w:rsidR="005720FB" w:rsidRPr="00A66C9F" w:rsidRDefault="005720FB" w:rsidP="005720FB">
      <w:pPr>
        <w:spacing w:after="200" w:line="276" w:lineRule="auto"/>
        <w:rPr>
          <w:lang w:val="fr-FR"/>
        </w:rPr>
      </w:pPr>
      <w:r w:rsidRPr="00A66C9F">
        <w:rPr>
          <w:lang w:val="fr-FR"/>
        </w:rPr>
        <w:br w:type="page"/>
      </w:r>
    </w:p>
    <w:p w14:paraId="4D1B1DDB" w14:textId="77777777" w:rsidR="005720FB" w:rsidRPr="00A66C9F" w:rsidRDefault="005720FB" w:rsidP="005720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lastRenderedPageBreak/>
        <w:t>Caisse commune des pensions du personnel des Nations Unies</w:t>
      </w:r>
    </w:p>
    <w:p w14:paraId="24553B85" w14:textId="77777777" w:rsidR="005720FB" w:rsidRPr="00A66C9F" w:rsidRDefault="005720FB" w:rsidP="005720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fr-FR"/>
        </w:rPr>
      </w:pPr>
      <w:r w:rsidRPr="00A66C9F">
        <w:rPr>
          <w:lang w:val="fr-FR"/>
        </w:rPr>
        <w:t xml:space="preserve">Tableau A </w:t>
      </w:r>
      <w:r w:rsidRPr="00A66C9F">
        <w:rPr>
          <w:b w:val="0"/>
          <w:bCs/>
          <w:lang w:val="fr-FR"/>
        </w:rPr>
        <w:t>(</w:t>
      </w:r>
      <w:r w:rsidRPr="00A66C9F">
        <w:rPr>
          <w:b w:val="0"/>
          <w:bCs/>
          <w:i/>
          <w:iCs/>
          <w:lang w:val="fr-FR"/>
        </w:rPr>
        <w:t>suite</w:t>
      </w:r>
      <w:r w:rsidRPr="00A66C9F">
        <w:rPr>
          <w:b w:val="0"/>
          <w:bCs/>
          <w:lang w:val="fr-FR"/>
        </w:rPr>
        <w:t>)</w:t>
      </w:r>
    </w:p>
    <w:p w14:paraId="74D91270" w14:textId="77777777" w:rsidR="005720FB" w:rsidRPr="00A66C9F" w:rsidRDefault="005720FB" w:rsidP="005720FB">
      <w:pPr>
        <w:pStyle w:val="SingleTxt"/>
        <w:spacing w:after="0" w:line="120" w:lineRule="exact"/>
        <w:rPr>
          <w:sz w:val="10"/>
          <w:lang w:val="fr-FR"/>
        </w:rPr>
      </w:pPr>
    </w:p>
    <w:p w14:paraId="46A54A93" w14:textId="77777777" w:rsidR="005720FB" w:rsidRPr="00A66C9F" w:rsidRDefault="005720FB" w:rsidP="005720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b w:val="0"/>
          <w:lang w:val="fr-FR"/>
        </w:rPr>
      </w:pPr>
      <w:r w:rsidRPr="00A66C9F">
        <w:rPr>
          <w:lang w:val="fr-FR"/>
        </w:rPr>
        <w:tab/>
        <w:t xml:space="preserve">IV. État comparatif des montants inscrits au budget et des montants effectifs sur une base comparable ; dépenses d’administration de l’exercice biennal 2018-2019 </w:t>
      </w:r>
      <w:r w:rsidRPr="00A66C9F">
        <w:rPr>
          <w:b w:val="0"/>
          <w:lang w:val="fr-FR"/>
        </w:rPr>
        <w:t>(</w:t>
      </w:r>
      <w:r w:rsidRPr="00A66C9F">
        <w:rPr>
          <w:b w:val="0"/>
          <w:i/>
          <w:iCs/>
          <w:lang w:val="fr-FR"/>
        </w:rPr>
        <w:t>suite</w:t>
      </w:r>
      <w:r w:rsidRPr="00A66C9F">
        <w:rPr>
          <w:b w:val="0"/>
          <w:lang w:val="fr-FR"/>
        </w:rPr>
        <w:t>)</w:t>
      </w:r>
    </w:p>
    <w:p w14:paraId="4E2AB4DB" w14:textId="77777777" w:rsidR="005720FB" w:rsidRPr="00A66C9F" w:rsidRDefault="005720FB" w:rsidP="005720FB">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sz w:val="14"/>
          <w:szCs w:val="14"/>
          <w:lang w:val="fr-FR"/>
        </w:rPr>
        <w:t>(En milliers de dollars des États-Unis)</w:t>
      </w:r>
    </w:p>
    <w:p w14:paraId="57690C06" w14:textId="77777777" w:rsidR="005720FB" w:rsidRPr="00A66C9F" w:rsidRDefault="005720FB" w:rsidP="005720FB">
      <w:pPr>
        <w:pStyle w:val="SingleTxt"/>
        <w:spacing w:after="0" w:line="120" w:lineRule="exact"/>
        <w:rPr>
          <w:sz w:val="10"/>
          <w:lang w:val="fr-FR"/>
        </w:rPr>
      </w:pPr>
    </w:p>
    <w:p w14:paraId="73FF338B" w14:textId="77777777" w:rsidR="005720FB" w:rsidRPr="00A66C9F" w:rsidRDefault="005720FB" w:rsidP="005720FB">
      <w:pPr>
        <w:pStyle w:val="SingleTxt"/>
        <w:spacing w:after="0" w:line="120" w:lineRule="exact"/>
        <w:rPr>
          <w:sz w:val="10"/>
          <w:lang w:val="fr-FR"/>
        </w:rPr>
      </w:pPr>
    </w:p>
    <w:tbl>
      <w:tblPr>
        <w:tblW w:w="13230" w:type="dxa"/>
        <w:tblLayout w:type="fixed"/>
        <w:tblCellMar>
          <w:left w:w="0" w:type="dxa"/>
          <w:right w:w="0" w:type="dxa"/>
        </w:tblCellMar>
        <w:tblLook w:val="04A0" w:firstRow="1" w:lastRow="0" w:firstColumn="1" w:lastColumn="0" w:noHBand="0" w:noVBand="1"/>
      </w:tblPr>
      <w:tblGrid>
        <w:gridCol w:w="270"/>
        <w:gridCol w:w="1800"/>
        <w:gridCol w:w="865"/>
        <w:gridCol w:w="865"/>
        <w:gridCol w:w="866"/>
        <w:gridCol w:w="104"/>
        <w:gridCol w:w="761"/>
        <w:gridCol w:w="865"/>
        <w:gridCol w:w="866"/>
        <w:gridCol w:w="118"/>
        <w:gridCol w:w="747"/>
        <w:gridCol w:w="866"/>
        <w:gridCol w:w="865"/>
        <w:gridCol w:w="132"/>
        <w:gridCol w:w="733"/>
        <w:gridCol w:w="707"/>
        <w:gridCol w:w="900"/>
        <w:gridCol w:w="900"/>
      </w:tblGrid>
      <w:tr w:rsidR="005720FB" w:rsidRPr="00A66C9F" w14:paraId="62D493AF" w14:textId="77777777" w:rsidTr="00225C0F">
        <w:trPr>
          <w:cantSplit/>
          <w:tblHeader/>
        </w:trPr>
        <w:tc>
          <w:tcPr>
            <w:tcW w:w="2070" w:type="dxa"/>
            <w:gridSpan w:val="2"/>
            <w:tcBorders>
              <w:top w:val="single" w:sz="4" w:space="0" w:color="auto"/>
            </w:tcBorders>
            <w:shd w:val="clear" w:color="auto" w:fill="auto"/>
            <w:noWrap/>
            <w:vAlign w:val="bottom"/>
            <w:hideMark/>
          </w:tcPr>
          <w:p w14:paraId="206954E2" w14:textId="77777777" w:rsidR="005720FB" w:rsidRPr="00A66C9F" w:rsidRDefault="005720FB" w:rsidP="00107D5D">
            <w:pPr>
              <w:suppressAutoHyphens/>
              <w:spacing w:before="81" w:after="81" w:line="160" w:lineRule="exact"/>
              <w:ind w:right="40"/>
              <w:rPr>
                <w:i/>
                <w:sz w:val="14"/>
                <w:lang w:val="fr-FR"/>
              </w:rPr>
            </w:pPr>
          </w:p>
        </w:tc>
        <w:tc>
          <w:tcPr>
            <w:tcW w:w="2596" w:type="dxa"/>
            <w:gridSpan w:val="3"/>
            <w:tcBorders>
              <w:top w:val="single" w:sz="4" w:space="0" w:color="auto"/>
              <w:bottom w:val="single" w:sz="4" w:space="0" w:color="auto"/>
            </w:tcBorders>
            <w:shd w:val="clear" w:color="auto" w:fill="auto"/>
            <w:noWrap/>
            <w:vAlign w:val="bottom"/>
            <w:hideMark/>
          </w:tcPr>
          <w:p w14:paraId="03EA1F79" w14:textId="77777777" w:rsidR="005720FB" w:rsidRPr="00A66C9F" w:rsidRDefault="005720FB" w:rsidP="00107D5D">
            <w:pPr>
              <w:suppressAutoHyphens/>
              <w:spacing w:before="81" w:after="81" w:line="160" w:lineRule="exact"/>
              <w:ind w:right="43"/>
              <w:jc w:val="center"/>
              <w:rPr>
                <w:i/>
                <w:sz w:val="14"/>
                <w:lang w:val="fr-FR"/>
              </w:rPr>
            </w:pPr>
            <w:r w:rsidRPr="00A66C9F">
              <w:rPr>
                <w:i/>
                <w:sz w:val="14"/>
                <w:lang w:val="fr-FR"/>
              </w:rPr>
              <w:t>Montant initial des crédits ouverts pour 2018-2019</w:t>
            </w:r>
          </w:p>
        </w:tc>
        <w:tc>
          <w:tcPr>
            <w:tcW w:w="104" w:type="dxa"/>
            <w:tcBorders>
              <w:top w:val="single" w:sz="4" w:space="0" w:color="auto"/>
            </w:tcBorders>
            <w:shd w:val="clear" w:color="auto" w:fill="auto"/>
            <w:noWrap/>
            <w:vAlign w:val="bottom"/>
            <w:hideMark/>
          </w:tcPr>
          <w:p w14:paraId="47C60F5E" w14:textId="77777777" w:rsidR="005720FB" w:rsidRPr="00A66C9F" w:rsidRDefault="005720FB" w:rsidP="00107D5D">
            <w:pPr>
              <w:suppressAutoHyphens/>
              <w:spacing w:before="81" w:after="81" w:line="160" w:lineRule="exact"/>
              <w:ind w:right="43"/>
              <w:jc w:val="center"/>
              <w:rPr>
                <w:i/>
                <w:sz w:val="14"/>
                <w:lang w:val="fr-FR"/>
              </w:rPr>
            </w:pPr>
          </w:p>
        </w:tc>
        <w:tc>
          <w:tcPr>
            <w:tcW w:w="2492" w:type="dxa"/>
            <w:gridSpan w:val="3"/>
            <w:tcBorders>
              <w:top w:val="single" w:sz="4" w:space="0" w:color="auto"/>
              <w:bottom w:val="single" w:sz="4" w:space="0" w:color="auto"/>
            </w:tcBorders>
            <w:shd w:val="clear" w:color="auto" w:fill="auto"/>
            <w:vAlign w:val="bottom"/>
          </w:tcPr>
          <w:p w14:paraId="14485BA6" w14:textId="77777777" w:rsidR="005720FB" w:rsidRPr="00A66C9F" w:rsidRDefault="005720FB" w:rsidP="00107D5D">
            <w:pPr>
              <w:suppressAutoHyphens/>
              <w:spacing w:before="81" w:after="81" w:line="160" w:lineRule="exact"/>
              <w:ind w:right="43"/>
              <w:jc w:val="center"/>
              <w:rPr>
                <w:i/>
                <w:sz w:val="14"/>
                <w:lang w:val="fr-FR"/>
              </w:rPr>
            </w:pPr>
            <w:r w:rsidRPr="00A66C9F">
              <w:rPr>
                <w:i/>
                <w:sz w:val="14"/>
                <w:lang w:val="fr-FR"/>
              </w:rPr>
              <w:t>Montant définitif des crédits ouverts pour 2018-2019</w:t>
            </w:r>
          </w:p>
        </w:tc>
        <w:tc>
          <w:tcPr>
            <w:tcW w:w="118" w:type="dxa"/>
            <w:tcBorders>
              <w:top w:val="single" w:sz="4" w:space="0" w:color="auto"/>
            </w:tcBorders>
            <w:shd w:val="clear" w:color="auto" w:fill="auto"/>
            <w:noWrap/>
            <w:vAlign w:val="bottom"/>
            <w:hideMark/>
          </w:tcPr>
          <w:p w14:paraId="36F0A242" w14:textId="77777777" w:rsidR="005720FB" w:rsidRPr="00A66C9F" w:rsidRDefault="005720FB" w:rsidP="00107D5D">
            <w:pPr>
              <w:suppressAutoHyphens/>
              <w:spacing w:before="81" w:after="81" w:line="160" w:lineRule="exact"/>
              <w:ind w:right="43"/>
              <w:jc w:val="center"/>
              <w:rPr>
                <w:i/>
                <w:sz w:val="14"/>
                <w:lang w:val="fr-FR"/>
              </w:rPr>
            </w:pPr>
          </w:p>
        </w:tc>
        <w:tc>
          <w:tcPr>
            <w:tcW w:w="2478" w:type="dxa"/>
            <w:gridSpan w:val="3"/>
            <w:tcBorders>
              <w:top w:val="single" w:sz="4" w:space="0" w:color="auto"/>
              <w:bottom w:val="single" w:sz="4" w:space="0" w:color="auto"/>
            </w:tcBorders>
            <w:shd w:val="clear" w:color="auto" w:fill="auto"/>
            <w:vAlign w:val="bottom"/>
          </w:tcPr>
          <w:p w14:paraId="488D853C" w14:textId="77777777" w:rsidR="005720FB" w:rsidRPr="00A66C9F" w:rsidRDefault="005720FB" w:rsidP="00107D5D">
            <w:pPr>
              <w:suppressAutoHyphens/>
              <w:spacing w:before="81" w:after="81" w:line="160" w:lineRule="exact"/>
              <w:ind w:right="43"/>
              <w:jc w:val="center"/>
              <w:rPr>
                <w:i/>
                <w:sz w:val="14"/>
                <w:lang w:val="fr-FR"/>
              </w:rPr>
            </w:pPr>
            <w:r w:rsidRPr="00A66C9F">
              <w:rPr>
                <w:i/>
                <w:sz w:val="14"/>
                <w:lang w:val="fr-FR"/>
              </w:rPr>
              <w:t>Montants effectifs calculés sur une base comparable pour 2018-2019</w:t>
            </w:r>
          </w:p>
        </w:tc>
        <w:tc>
          <w:tcPr>
            <w:tcW w:w="132" w:type="dxa"/>
            <w:tcBorders>
              <w:top w:val="single" w:sz="4" w:space="0" w:color="auto"/>
            </w:tcBorders>
            <w:shd w:val="clear" w:color="auto" w:fill="auto"/>
            <w:noWrap/>
            <w:vAlign w:val="bottom"/>
            <w:hideMark/>
          </w:tcPr>
          <w:p w14:paraId="783D1EAB" w14:textId="77777777" w:rsidR="005720FB" w:rsidRPr="00A66C9F" w:rsidRDefault="005720FB" w:rsidP="00107D5D">
            <w:pPr>
              <w:suppressAutoHyphens/>
              <w:spacing w:before="81" w:after="81" w:line="160" w:lineRule="exact"/>
              <w:ind w:right="43"/>
              <w:jc w:val="center"/>
              <w:rPr>
                <w:i/>
                <w:sz w:val="14"/>
                <w:lang w:val="fr-FR"/>
              </w:rPr>
            </w:pPr>
          </w:p>
        </w:tc>
        <w:tc>
          <w:tcPr>
            <w:tcW w:w="2340" w:type="dxa"/>
            <w:gridSpan w:val="3"/>
            <w:tcBorders>
              <w:top w:val="single" w:sz="4" w:space="0" w:color="auto"/>
              <w:bottom w:val="single" w:sz="4" w:space="0" w:color="auto"/>
            </w:tcBorders>
            <w:shd w:val="clear" w:color="auto" w:fill="auto"/>
            <w:vAlign w:val="bottom"/>
          </w:tcPr>
          <w:p w14:paraId="5BCE7816" w14:textId="77777777" w:rsidR="005720FB" w:rsidRPr="00A66C9F" w:rsidRDefault="005720FB" w:rsidP="00107D5D">
            <w:pPr>
              <w:suppressAutoHyphens/>
              <w:spacing w:before="81" w:after="81" w:line="160" w:lineRule="exact"/>
              <w:ind w:right="43"/>
              <w:jc w:val="center"/>
              <w:rPr>
                <w:i/>
                <w:sz w:val="14"/>
                <w:lang w:val="fr-FR"/>
              </w:rPr>
            </w:pPr>
            <w:r w:rsidRPr="00A66C9F">
              <w:rPr>
                <w:i/>
                <w:sz w:val="14"/>
                <w:lang w:val="fr-FR"/>
              </w:rPr>
              <w:t>Différence</w:t>
            </w:r>
          </w:p>
        </w:tc>
        <w:tc>
          <w:tcPr>
            <w:tcW w:w="900" w:type="dxa"/>
            <w:tcBorders>
              <w:top w:val="single" w:sz="4" w:space="0" w:color="auto"/>
            </w:tcBorders>
            <w:shd w:val="clear" w:color="auto" w:fill="auto"/>
            <w:noWrap/>
            <w:vAlign w:val="bottom"/>
          </w:tcPr>
          <w:p w14:paraId="1AE1C879" w14:textId="77777777" w:rsidR="005720FB" w:rsidRPr="00A66C9F" w:rsidRDefault="005720FB" w:rsidP="00107D5D">
            <w:pPr>
              <w:suppressAutoHyphens/>
              <w:spacing w:before="81" w:after="81" w:line="160" w:lineRule="exact"/>
              <w:ind w:right="43"/>
              <w:jc w:val="right"/>
              <w:rPr>
                <w:i/>
                <w:sz w:val="14"/>
                <w:lang w:val="fr-FR"/>
              </w:rPr>
            </w:pPr>
          </w:p>
        </w:tc>
      </w:tr>
      <w:tr w:rsidR="005720FB" w:rsidRPr="00A66C9F" w14:paraId="013C8A63" w14:textId="77777777" w:rsidTr="00225C0F">
        <w:trPr>
          <w:cantSplit/>
          <w:tblHeader/>
        </w:trPr>
        <w:tc>
          <w:tcPr>
            <w:tcW w:w="2070" w:type="dxa"/>
            <w:gridSpan w:val="2"/>
            <w:tcBorders>
              <w:bottom w:val="single" w:sz="12" w:space="0" w:color="auto"/>
            </w:tcBorders>
            <w:shd w:val="clear" w:color="auto" w:fill="auto"/>
            <w:noWrap/>
            <w:vAlign w:val="bottom"/>
            <w:hideMark/>
          </w:tcPr>
          <w:p w14:paraId="10329697" w14:textId="77777777" w:rsidR="005720FB" w:rsidRPr="00A66C9F" w:rsidRDefault="005720FB" w:rsidP="00107D5D">
            <w:pPr>
              <w:suppressAutoHyphens/>
              <w:spacing w:before="81" w:after="81" w:line="160" w:lineRule="exact"/>
              <w:ind w:right="40"/>
              <w:rPr>
                <w:i/>
                <w:sz w:val="14"/>
                <w:lang w:val="fr-FR"/>
              </w:rPr>
            </w:pPr>
          </w:p>
        </w:tc>
        <w:tc>
          <w:tcPr>
            <w:tcW w:w="865" w:type="dxa"/>
            <w:tcBorders>
              <w:top w:val="single" w:sz="4" w:space="0" w:color="auto"/>
              <w:bottom w:val="single" w:sz="12" w:space="0" w:color="auto"/>
            </w:tcBorders>
            <w:shd w:val="clear" w:color="auto" w:fill="auto"/>
            <w:noWrap/>
            <w:vAlign w:val="bottom"/>
            <w:hideMark/>
          </w:tcPr>
          <w:p w14:paraId="7FC7D58D" w14:textId="77777777" w:rsidR="005720FB" w:rsidRPr="00A66C9F" w:rsidRDefault="005720FB" w:rsidP="00107D5D">
            <w:pPr>
              <w:suppressAutoHyphens/>
              <w:spacing w:before="81" w:after="81" w:line="160" w:lineRule="exact"/>
              <w:ind w:right="43"/>
              <w:jc w:val="right"/>
              <w:rPr>
                <w:i/>
                <w:sz w:val="14"/>
                <w:lang w:val="fr-FR"/>
              </w:rPr>
            </w:pPr>
            <w:r w:rsidRPr="00A66C9F">
              <w:rPr>
                <w:i/>
                <w:sz w:val="14"/>
                <w:lang w:val="fr-FR"/>
              </w:rPr>
              <w:t>Caisse des pensions</w:t>
            </w:r>
          </w:p>
        </w:tc>
        <w:tc>
          <w:tcPr>
            <w:tcW w:w="865" w:type="dxa"/>
            <w:tcBorders>
              <w:top w:val="single" w:sz="4" w:space="0" w:color="auto"/>
              <w:bottom w:val="single" w:sz="12" w:space="0" w:color="auto"/>
            </w:tcBorders>
            <w:shd w:val="clear" w:color="auto" w:fill="auto"/>
            <w:noWrap/>
            <w:vAlign w:val="bottom"/>
            <w:hideMark/>
          </w:tcPr>
          <w:p w14:paraId="305872FE" w14:textId="77777777" w:rsidR="005720FB" w:rsidRPr="00A66C9F" w:rsidRDefault="005720FB" w:rsidP="00107D5D">
            <w:pPr>
              <w:suppressAutoHyphens/>
              <w:spacing w:before="81" w:after="81" w:line="160" w:lineRule="exact"/>
              <w:ind w:right="43"/>
              <w:jc w:val="right"/>
              <w:rPr>
                <w:i/>
                <w:sz w:val="14"/>
                <w:lang w:val="fr-FR"/>
              </w:rPr>
            </w:pPr>
            <w:r w:rsidRPr="00A66C9F">
              <w:rPr>
                <w:i/>
                <w:sz w:val="14"/>
                <w:lang w:val="fr-FR"/>
              </w:rPr>
              <w:t>ONU</w:t>
            </w:r>
          </w:p>
        </w:tc>
        <w:tc>
          <w:tcPr>
            <w:tcW w:w="866" w:type="dxa"/>
            <w:tcBorders>
              <w:top w:val="single" w:sz="4" w:space="0" w:color="auto"/>
              <w:bottom w:val="single" w:sz="12" w:space="0" w:color="auto"/>
            </w:tcBorders>
            <w:shd w:val="clear" w:color="auto" w:fill="auto"/>
            <w:noWrap/>
            <w:vAlign w:val="bottom"/>
            <w:hideMark/>
          </w:tcPr>
          <w:p w14:paraId="4C403BFC" w14:textId="77777777" w:rsidR="005720FB" w:rsidRPr="00A66C9F" w:rsidRDefault="005720FB" w:rsidP="00107D5D">
            <w:pPr>
              <w:suppressAutoHyphens/>
              <w:spacing w:before="81" w:after="81" w:line="160" w:lineRule="exact"/>
              <w:ind w:right="43"/>
              <w:jc w:val="right"/>
              <w:rPr>
                <w:i/>
                <w:sz w:val="14"/>
                <w:lang w:val="fr-FR"/>
              </w:rPr>
            </w:pPr>
            <w:r w:rsidRPr="00A66C9F">
              <w:rPr>
                <w:i/>
                <w:sz w:val="14"/>
                <w:lang w:val="fr-FR"/>
              </w:rPr>
              <w:t>Total</w:t>
            </w:r>
          </w:p>
        </w:tc>
        <w:tc>
          <w:tcPr>
            <w:tcW w:w="865" w:type="dxa"/>
            <w:gridSpan w:val="2"/>
            <w:tcBorders>
              <w:bottom w:val="single" w:sz="12" w:space="0" w:color="auto"/>
            </w:tcBorders>
            <w:shd w:val="clear" w:color="auto" w:fill="auto"/>
            <w:noWrap/>
            <w:vAlign w:val="bottom"/>
            <w:hideMark/>
          </w:tcPr>
          <w:p w14:paraId="574A17D9" w14:textId="77777777" w:rsidR="005720FB" w:rsidRPr="00A66C9F" w:rsidRDefault="005720FB" w:rsidP="00107D5D">
            <w:pPr>
              <w:suppressAutoHyphens/>
              <w:spacing w:before="81" w:after="81" w:line="160" w:lineRule="exact"/>
              <w:ind w:right="43"/>
              <w:jc w:val="right"/>
              <w:rPr>
                <w:i/>
                <w:sz w:val="14"/>
                <w:lang w:val="fr-FR"/>
              </w:rPr>
            </w:pPr>
            <w:r w:rsidRPr="00A66C9F">
              <w:rPr>
                <w:i/>
                <w:sz w:val="14"/>
                <w:lang w:val="fr-FR"/>
              </w:rPr>
              <w:t>Caisse des pensions</w:t>
            </w:r>
          </w:p>
        </w:tc>
        <w:tc>
          <w:tcPr>
            <w:tcW w:w="865" w:type="dxa"/>
            <w:tcBorders>
              <w:bottom w:val="single" w:sz="12" w:space="0" w:color="auto"/>
            </w:tcBorders>
            <w:shd w:val="clear" w:color="auto" w:fill="auto"/>
            <w:noWrap/>
            <w:vAlign w:val="bottom"/>
            <w:hideMark/>
          </w:tcPr>
          <w:p w14:paraId="5081CFD9" w14:textId="77777777" w:rsidR="005720FB" w:rsidRPr="00A66C9F" w:rsidRDefault="005720FB" w:rsidP="00107D5D">
            <w:pPr>
              <w:suppressAutoHyphens/>
              <w:spacing w:before="81" w:after="81" w:line="160" w:lineRule="exact"/>
              <w:ind w:right="43"/>
              <w:jc w:val="right"/>
              <w:rPr>
                <w:i/>
                <w:sz w:val="14"/>
                <w:lang w:val="fr-FR"/>
              </w:rPr>
            </w:pPr>
            <w:r w:rsidRPr="00A66C9F">
              <w:rPr>
                <w:i/>
                <w:sz w:val="14"/>
                <w:lang w:val="fr-FR"/>
              </w:rPr>
              <w:t>ONU</w:t>
            </w:r>
          </w:p>
        </w:tc>
        <w:tc>
          <w:tcPr>
            <w:tcW w:w="866" w:type="dxa"/>
            <w:tcBorders>
              <w:bottom w:val="single" w:sz="12" w:space="0" w:color="auto"/>
            </w:tcBorders>
            <w:shd w:val="clear" w:color="auto" w:fill="auto"/>
            <w:noWrap/>
            <w:vAlign w:val="bottom"/>
            <w:hideMark/>
          </w:tcPr>
          <w:p w14:paraId="1F0FA6E1" w14:textId="77777777" w:rsidR="005720FB" w:rsidRPr="00A66C9F" w:rsidRDefault="005720FB" w:rsidP="00107D5D">
            <w:pPr>
              <w:suppressAutoHyphens/>
              <w:spacing w:before="81" w:after="81" w:line="160" w:lineRule="exact"/>
              <w:ind w:right="43"/>
              <w:jc w:val="right"/>
              <w:rPr>
                <w:i/>
                <w:sz w:val="14"/>
                <w:lang w:val="fr-FR"/>
              </w:rPr>
            </w:pPr>
            <w:r w:rsidRPr="00A66C9F">
              <w:rPr>
                <w:i/>
                <w:sz w:val="14"/>
                <w:lang w:val="fr-FR"/>
              </w:rPr>
              <w:t>Total</w:t>
            </w:r>
          </w:p>
        </w:tc>
        <w:tc>
          <w:tcPr>
            <w:tcW w:w="865" w:type="dxa"/>
            <w:gridSpan w:val="2"/>
            <w:tcBorders>
              <w:bottom w:val="single" w:sz="12" w:space="0" w:color="auto"/>
            </w:tcBorders>
            <w:shd w:val="clear" w:color="auto" w:fill="auto"/>
            <w:noWrap/>
            <w:vAlign w:val="bottom"/>
            <w:hideMark/>
          </w:tcPr>
          <w:p w14:paraId="3681C08F" w14:textId="77777777" w:rsidR="005720FB" w:rsidRPr="00A66C9F" w:rsidRDefault="005720FB" w:rsidP="00107D5D">
            <w:pPr>
              <w:suppressAutoHyphens/>
              <w:spacing w:before="81" w:after="81" w:line="160" w:lineRule="exact"/>
              <w:ind w:right="43"/>
              <w:jc w:val="right"/>
              <w:rPr>
                <w:i/>
                <w:sz w:val="14"/>
                <w:lang w:val="fr-FR"/>
              </w:rPr>
            </w:pPr>
            <w:r w:rsidRPr="00A66C9F">
              <w:rPr>
                <w:i/>
                <w:sz w:val="14"/>
                <w:lang w:val="fr-FR"/>
              </w:rPr>
              <w:t>Caisse des pensions</w:t>
            </w:r>
          </w:p>
        </w:tc>
        <w:tc>
          <w:tcPr>
            <w:tcW w:w="866" w:type="dxa"/>
            <w:tcBorders>
              <w:bottom w:val="single" w:sz="12" w:space="0" w:color="auto"/>
            </w:tcBorders>
            <w:shd w:val="clear" w:color="auto" w:fill="auto"/>
            <w:noWrap/>
            <w:vAlign w:val="bottom"/>
            <w:hideMark/>
          </w:tcPr>
          <w:p w14:paraId="2AC4F7FB" w14:textId="77777777" w:rsidR="005720FB" w:rsidRPr="00A66C9F" w:rsidRDefault="005720FB" w:rsidP="00107D5D">
            <w:pPr>
              <w:suppressAutoHyphens/>
              <w:spacing w:before="81" w:after="81" w:line="160" w:lineRule="exact"/>
              <w:ind w:right="43"/>
              <w:jc w:val="right"/>
              <w:rPr>
                <w:i/>
                <w:sz w:val="14"/>
                <w:lang w:val="fr-FR"/>
              </w:rPr>
            </w:pPr>
            <w:r w:rsidRPr="00A66C9F">
              <w:rPr>
                <w:i/>
                <w:sz w:val="14"/>
                <w:lang w:val="fr-FR"/>
              </w:rPr>
              <w:t>ONU</w:t>
            </w:r>
          </w:p>
        </w:tc>
        <w:tc>
          <w:tcPr>
            <w:tcW w:w="865" w:type="dxa"/>
            <w:tcBorders>
              <w:bottom w:val="single" w:sz="12" w:space="0" w:color="auto"/>
            </w:tcBorders>
            <w:shd w:val="clear" w:color="auto" w:fill="auto"/>
            <w:noWrap/>
            <w:vAlign w:val="bottom"/>
            <w:hideMark/>
          </w:tcPr>
          <w:p w14:paraId="616A1D57" w14:textId="77777777" w:rsidR="005720FB" w:rsidRPr="00A66C9F" w:rsidRDefault="005720FB" w:rsidP="00107D5D">
            <w:pPr>
              <w:suppressAutoHyphens/>
              <w:spacing w:before="81" w:after="81" w:line="160" w:lineRule="exact"/>
              <w:ind w:right="43"/>
              <w:jc w:val="right"/>
              <w:rPr>
                <w:i/>
                <w:sz w:val="14"/>
                <w:lang w:val="fr-FR"/>
              </w:rPr>
            </w:pPr>
            <w:r w:rsidRPr="00A66C9F">
              <w:rPr>
                <w:i/>
                <w:sz w:val="14"/>
                <w:lang w:val="fr-FR"/>
              </w:rPr>
              <w:t>Total</w:t>
            </w:r>
          </w:p>
        </w:tc>
        <w:tc>
          <w:tcPr>
            <w:tcW w:w="865" w:type="dxa"/>
            <w:gridSpan w:val="2"/>
            <w:tcBorders>
              <w:bottom w:val="single" w:sz="12" w:space="0" w:color="auto"/>
            </w:tcBorders>
            <w:shd w:val="clear" w:color="auto" w:fill="auto"/>
            <w:noWrap/>
            <w:vAlign w:val="bottom"/>
            <w:hideMark/>
          </w:tcPr>
          <w:p w14:paraId="3EF4858C" w14:textId="77777777" w:rsidR="005720FB" w:rsidRPr="00A66C9F" w:rsidRDefault="005720FB" w:rsidP="00107D5D">
            <w:pPr>
              <w:suppressAutoHyphens/>
              <w:spacing w:before="81" w:after="81" w:line="160" w:lineRule="exact"/>
              <w:ind w:right="43"/>
              <w:jc w:val="right"/>
              <w:rPr>
                <w:i/>
                <w:sz w:val="14"/>
                <w:lang w:val="fr-FR"/>
              </w:rPr>
            </w:pPr>
            <w:r w:rsidRPr="00A66C9F">
              <w:rPr>
                <w:i/>
                <w:sz w:val="14"/>
                <w:lang w:val="fr-FR"/>
              </w:rPr>
              <w:t>Caisse des pensions</w:t>
            </w:r>
          </w:p>
        </w:tc>
        <w:tc>
          <w:tcPr>
            <w:tcW w:w="707" w:type="dxa"/>
            <w:tcBorders>
              <w:bottom w:val="single" w:sz="12" w:space="0" w:color="auto"/>
            </w:tcBorders>
            <w:shd w:val="clear" w:color="auto" w:fill="auto"/>
            <w:noWrap/>
            <w:vAlign w:val="bottom"/>
            <w:hideMark/>
          </w:tcPr>
          <w:p w14:paraId="45B417C3" w14:textId="77777777" w:rsidR="005720FB" w:rsidRPr="00A66C9F" w:rsidRDefault="005720FB" w:rsidP="00107D5D">
            <w:pPr>
              <w:suppressAutoHyphens/>
              <w:spacing w:before="81" w:after="81" w:line="160" w:lineRule="exact"/>
              <w:ind w:right="43"/>
              <w:jc w:val="right"/>
              <w:rPr>
                <w:i/>
                <w:sz w:val="14"/>
                <w:lang w:val="fr-FR"/>
              </w:rPr>
            </w:pPr>
            <w:r w:rsidRPr="00A66C9F">
              <w:rPr>
                <w:i/>
                <w:sz w:val="14"/>
                <w:lang w:val="fr-FR"/>
              </w:rPr>
              <w:t>ONU</w:t>
            </w:r>
          </w:p>
        </w:tc>
        <w:tc>
          <w:tcPr>
            <w:tcW w:w="900" w:type="dxa"/>
            <w:tcBorders>
              <w:bottom w:val="single" w:sz="12" w:space="0" w:color="auto"/>
            </w:tcBorders>
            <w:shd w:val="clear" w:color="auto" w:fill="auto"/>
            <w:noWrap/>
            <w:vAlign w:val="bottom"/>
            <w:hideMark/>
          </w:tcPr>
          <w:p w14:paraId="29006DC1" w14:textId="77777777" w:rsidR="005720FB" w:rsidRPr="00A66C9F" w:rsidRDefault="005720FB" w:rsidP="00107D5D">
            <w:pPr>
              <w:suppressAutoHyphens/>
              <w:spacing w:before="81" w:after="81" w:line="160" w:lineRule="exact"/>
              <w:ind w:right="43"/>
              <w:jc w:val="right"/>
              <w:rPr>
                <w:i/>
                <w:sz w:val="14"/>
                <w:lang w:val="fr-FR"/>
              </w:rPr>
            </w:pPr>
            <w:r w:rsidRPr="00A66C9F">
              <w:rPr>
                <w:i/>
                <w:sz w:val="14"/>
                <w:lang w:val="fr-FR"/>
              </w:rPr>
              <w:t>Total</w:t>
            </w:r>
          </w:p>
        </w:tc>
        <w:tc>
          <w:tcPr>
            <w:tcW w:w="900" w:type="dxa"/>
            <w:tcBorders>
              <w:bottom w:val="single" w:sz="12" w:space="0" w:color="auto"/>
            </w:tcBorders>
            <w:shd w:val="clear" w:color="auto" w:fill="auto"/>
            <w:noWrap/>
            <w:vAlign w:val="bottom"/>
          </w:tcPr>
          <w:p w14:paraId="107F5DC2" w14:textId="77777777" w:rsidR="005720FB" w:rsidRPr="00A66C9F" w:rsidRDefault="005720FB" w:rsidP="00107D5D">
            <w:pPr>
              <w:suppressAutoHyphens/>
              <w:spacing w:before="81" w:after="81" w:line="160" w:lineRule="exact"/>
              <w:ind w:right="43"/>
              <w:jc w:val="right"/>
              <w:rPr>
                <w:i/>
                <w:sz w:val="14"/>
                <w:lang w:val="fr-FR"/>
              </w:rPr>
            </w:pPr>
            <w:r w:rsidRPr="00A66C9F">
              <w:rPr>
                <w:i/>
                <w:sz w:val="14"/>
                <w:lang w:val="fr-FR"/>
              </w:rPr>
              <w:t>Pourcentage</w:t>
            </w:r>
          </w:p>
        </w:tc>
      </w:tr>
      <w:tr w:rsidR="005720FB" w:rsidRPr="00A66C9F" w14:paraId="678DBE11" w14:textId="77777777" w:rsidTr="00225C0F">
        <w:trPr>
          <w:cantSplit/>
          <w:trHeight w:hRule="exact" w:val="115"/>
          <w:tblHeader/>
        </w:trPr>
        <w:tc>
          <w:tcPr>
            <w:tcW w:w="270" w:type="dxa"/>
            <w:tcBorders>
              <w:top w:val="single" w:sz="12" w:space="0" w:color="auto"/>
            </w:tcBorders>
            <w:shd w:val="clear" w:color="auto" w:fill="auto"/>
            <w:noWrap/>
            <w:vAlign w:val="bottom"/>
          </w:tcPr>
          <w:p w14:paraId="0A95A034" w14:textId="77777777" w:rsidR="005720FB" w:rsidRPr="00A66C9F" w:rsidRDefault="005720FB" w:rsidP="00107D5D">
            <w:pPr>
              <w:suppressAutoHyphens/>
              <w:spacing w:before="40" w:after="40" w:line="210" w:lineRule="exact"/>
              <w:ind w:right="40"/>
              <w:rPr>
                <w:sz w:val="17"/>
                <w:lang w:val="fr-FR"/>
              </w:rPr>
            </w:pPr>
          </w:p>
        </w:tc>
        <w:tc>
          <w:tcPr>
            <w:tcW w:w="1800" w:type="dxa"/>
            <w:tcBorders>
              <w:top w:val="single" w:sz="12" w:space="0" w:color="auto"/>
            </w:tcBorders>
            <w:shd w:val="clear" w:color="auto" w:fill="auto"/>
            <w:noWrap/>
            <w:vAlign w:val="bottom"/>
          </w:tcPr>
          <w:p w14:paraId="292FB320" w14:textId="77777777" w:rsidR="005720FB" w:rsidRPr="00A66C9F" w:rsidRDefault="005720FB" w:rsidP="00107D5D">
            <w:pPr>
              <w:suppressAutoHyphens/>
              <w:spacing w:before="40" w:after="40" w:line="210" w:lineRule="exact"/>
              <w:ind w:right="43"/>
              <w:rPr>
                <w:sz w:val="17"/>
                <w:lang w:val="fr-FR"/>
              </w:rPr>
            </w:pPr>
          </w:p>
        </w:tc>
        <w:tc>
          <w:tcPr>
            <w:tcW w:w="865" w:type="dxa"/>
            <w:tcBorders>
              <w:top w:val="single" w:sz="12" w:space="0" w:color="auto"/>
            </w:tcBorders>
            <w:shd w:val="clear" w:color="auto" w:fill="auto"/>
            <w:noWrap/>
            <w:vAlign w:val="bottom"/>
          </w:tcPr>
          <w:p w14:paraId="25F79580" w14:textId="77777777" w:rsidR="005720FB" w:rsidRPr="00A66C9F" w:rsidRDefault="005720FB" w:rsidP="00107D5D">
            <w:pPr>
              <w:suppressAutoHyphens/>
              <w:spacing w:before="40" w:after="40" w:line="210" w:lineRule="exact"/>
              <w:ind w:right="43"/>
              <w:jc w:val="right"/>
              <w:rPr>
                <w:sz w:val="17"/>
                <w:lang w:val="fr-FR"/>
              </w:rPr>
            </w:pPr>
          </w:p>
        </w:tc>
        <w:tc>
          <w:tcPr>
            <w:tcW w:w="865" w:type="dxa"/>
            <w:tcBorders>
              <w:top w:val="single" w:sz="12" w:space="0" w:color="auto"/>
            </w:tcBorders>
            <w:shd w:val="clear" w:color="auto" w:fill="auto"/>
            <w:noWrap/>
            <w:vAlign w:val="bottom"/>
          </w:tcPr>
          <w:p w14:paraId="262F1A8B" w14:textId="77777777" w:rsidR="005720FB" w:rsidRPr="00A66C9F" w:rsidRDefault="005720FB" w:rsidP="00107D5D">
            <w:pPr>
              <w:suppressAutoHyphens/>
              <w:spacing w:before="40" w:after="40" w:line="210" w:lineRule="exact"/>
              <w:ind w:right="43"/>
              <w:jc w:val="right"/>
              <w:rPr>
                <w:sz w:val="17"/>
                <w:lang w:val="fr-FR"/>
              </w:rPr>
            </w:pPr>
          </w:p>
        </w:tc>
        <w:tc>
          <w:tcPr>
            <w:tcW w:w="866" w:type="dxa"/>
            <w:tcBorders>
              <w:top w:val="single" w:sz="12" w:space="0" w:color="auto"/>
            </w:tcBorders>
            <w:shd w:val="clear" w:color="auto" w:fill="auto"/>
            <w:noWrap/>
            <w:vAlign w:val="bottom"/>
          </w:tcPr>
          <w:p w14:paraId="781A09D1" w14:textId="77777777" w:rsidR="005720FB" w:rsidRPr="00A66C9F" w:rsidRDefault="005720FB" w:rsidP="00107D5D">
            <w:pPr>
              <w:suppressAutoHyphens/>
              <w:spacing w:before="40" w:after="40" w:line="210" w:lineRule="exact"/>
              <w:ind w:right="43"/>
              <w:jc w:val="right"/>
              <w:rPr>
                <w:sz w:val="17"/>
                <w:lang w:val="fr-FR"/>
              </w:rPr>
            </w:pPr>
          </w:p>
        </w:tc>
        <w:tc>
          <w:tcPr>
            <w:tcW w:w="865" w:type="dxa"/>
            <w:gridSpan w:val="2"/>
            <w:tcBorders>
              <w:top w:val="single" w:sz="12" w:space="0" w:color="auto"/>
            </w:tcBorders>
            <w:shd w:val="clear" w:color="auto" w:fill="auto"/>
            <w:noWrap/>
            <w:vAlign w:val="bottom"/>
          </w:tcPr>
          <w:p w14:paraId="19F78BC7" w14:textId="77777777" w:rsidR="005720FB" w:rsidRPr="00A66C9F" w:rsidRDefault="005720FB" w:rsidP="00107D5D">
            <w:pPr>
              <w:suppressAutoHyphens/>
              <w:spacing w:before="40" w:after="40" w:line="210" w:lineRule="exact"/>
              <w:ind w:right="43"/>
              <w:jc w:val="right"/>
              <w:rPr>
                <w:sz w:val="17"/>
                <w:lang w:val="fr-FR"/>
              </w:rPr>
            </w:pPr>
          </w:p>
        </w:tc>
        <w:tc>
          <w:tcPr>
            <w:tcW w:w="865" w:type="dxa"/>
            <w:tcBorders>
              <w:top w:val="single" w:sz="12" w:space="0" w:color="auto"/>
            </w:tcBorders>
            <w:shd w:val="clear" w:color="auto" w:fill="auto"/>
            <w:noWrap/>
            <w:vAlign w:val="bottom"/>
          </w:tcPr>
          <w:p w14:paraId="48BA224A" w14:textId="77777777" w:rsidR="005720FB" w:rsidRPr="00A66C9F" w:rsidRDefault="005720FB" w:rsidP="00107D5D">
            <w:pPr>
              <w:suppressAutoHyphens/>
              <w:spacing w:before="40" w:after="40" w:line="210" w:lineRule="exact"/>
              <w:ind w:right="43"/>
              <w:jc w:val="right"/>
              <w:rPr>
                <w:sz w:val="17"/>
                <w:lang w:val="fr-FR"/>
              </w:rPr>
            </w:pPr>
          </w:p>
        </w:tc>
        <w:tc>
          <w:tcPr>
            <w:tcW w:w="866" w:type="dxa"/>
            <w:tcBorders>
              <w:top w:val="single" w:sz="12" w:space="0" w:color="auto"/>
            </w:tcBorders>
            <w:shd w:val="clear" w:color="auto" w:fill="auto"/>
            <w:noWrap/>
            <w:vAlign w:val="bottom"/>
          </w:tcPr>
          <w:p w14:paraId="27C25849" w14:textId="77777777" w:rsidR="005720FB" w:rsidRPr="00A66C9F" w:rsidRDefault="005720FB" w:rsidP="00107D5D">
            <w:pPr>
              <w:suppressAutoHyphens/>
              <w:spacing w:before="40" w:after="40" w:line="210" w:lineRule="exact"/>
              <w:ind w:right="43"/>
              <w:jc w:val="right"/>
              <w:rPr>
                <w:sz w:val="17"/>
                <w:lang w:val="fr-FR"/>
              </w:rPr>
            </w:pPr>
          </w:p>
        </w:tc>
        <w:tc>
          <w:tcPr>
            <w:tcW w:w="865" w:type="dxa"/>
            <w:gridSpan w:val="2"/>
            <w:tcBorders>
              <w:top w:val="single" w:sz="12" w:space="0" w:color="auto"/>
            </w:tcBorders>
            <w:shd w:val="clear" w:color="auto" w:fill="auto"/>
            <w:noWrap/>
            <w:vAlign w:val="bottom"/>
          </w:tcPr>
          <w:p w14:paraId="65C1B578" w14:textId="77777777" w:rsidR="005720FB" w:rsidRPr="00A66C9F" w:rsidRDefault="005720FB" w:rsidP="00107D5D">
            <w:pPr>
              <w:suppressAutoHyphens/>
              <w:spacing w:before="40" w:after="40" w:line="210" w:lineRule="exact"/>
              <w:ind w:right="43"/>
              <w:jc w:val="right"/>
              <w:rPr>
                <w:sz w:val="17"/>
                <w:lang w:val="fr-FR"/>
              </w:rPr>
            </w:pPr>
          </w:p>
        </w:tc>
        <w:tc>
          <w:tcPr>
            <w:tcW w:w="866" w:type="dxa"/>
            <w:tcBorders>
              <w:top w:val="single" w:sz="12" w:space="0" w:color="auto"/>
            </w:tcBorders>
            <w:shd w:val="clear" w:color="auto" w:fill="auto"/>
            <w:noWrap/>
            <w:vAlign w:val="bottom"/>
          </w:tcPr>
          <w:p w14:paraId="535BAB56" w14:textId="77777777" w:rsidR="005720FB" w:rsidRPr="00A66C9F" w:rsidRDefault="005720FB" w:rsidP="00107D5D">
            <w:pPr>
              <w:suppressAutoHyphens/>
              <w:spacing w:before="40" w:after="40" w:line="210" w:lineRule="exact"/>
              <w:ind w:right="43"/>
              <w:jc w:val="right"/>
              <w:rPr>
                <w:sz w:val="17"/>
                <w:lang w:val="fr-FR"/>
              </w:rPr>
            </w:pPr>
          </w:p>
        </w:tc>
        <w:tc>
          <w:tcPr>
            <w:tcW w:w="865" w:type="dxa"/>
            <w:tcBorders>
              <w:top w:val="single" w:sz="12" w:space="0" w:color="auto"/>
            </w:tcBorders>
            <w:shd w:val="clear" w:color="auto" w:fill="auto"/>
            <w:noWrap/>
            <w:vAlign w:val="bottom"/>
          </w:tcPr>
          <w:p w14:paraId="7EC8EDE9" w14:textId="77777777" w:rsidR="005720FB" w:rsidRPr="00A66C9F" w:rsidRDefault="005720FB" w:rsidP="00107D5D">
            <w:pPr>
              <w:suppressAutoHyphens/>
              <w:spacing w:before="40" w:after="40" w:line="210" w:lineRule="exact"/>
              <w:ind w:right="43"/>
              <w:jc w:val="right"/>
              <w:rPr>
                <w:sz w:val="17"/>
                <w:lang w:val="fr-FR"/>
              </w:rPr>
            </w:pPr>
          </w:p>
        </w:tc>
        <w:tc>
          <w:tcPr>
            <w:tcW w:w="865" w:type="dxa"/>
            <w:gridSpan w:val="2"/>
            <w:tcBorders>
              <w:top w:val="single" w:sz="12" w:space="0" w:color="auto"/>
            </w:tcBorders>
            <w:shd w:val="clear" w:color="auto" w:fill="auto"/>
            <w:noWrap/>
            <w:vAlign w:val="bottom"/>
          </w:tcPr>
          <w:p w14:paraId="7D5C0485" w14:textId="77777777" w:rsidR="005720FB" w:rsidRPr="00A66C9F" w:rsidRDefault="005720FB" w:rsidP="00107D5D">
            <w:pPr>
              <w:suppressAutoHyphens/>
              <w:spacing w:before="40" w:after="40" w:line="210" w:lineRule="exact"/>
              <w:ind w:right="43"/>
              <w:jc w:val="right"/>
              <w:rPr>
                <w:sz w:val="17"/>
                <w:lang w:val="fr-FR"/>
              </w:rPr>
            </w:pPr>
          </w:p>
        </w:tc>
        <w:tc>
          <w:tcPr>
            <w:tcW w:w="707" w:type="dxa"/>
            <w:tcBorders>
              <w:top w:val="single" w:sz="12" w:space="0" w:color="auto"/>
            </w:tcBorders>
            <w:shd w:val="clear" w:color="auto" w:fill="auto"/>
            <w:noWrap/>
            <w:vAlign w:val="bottom"/>
          </w:tcPr>
          <w:p w14:paraId="4E264C57" w14:textId="77777777" w:rsidR="005720FB" w:rsidRPr="00A66C9F" w:rsidRDefault="005720FB" w:rsidP="00107D5D">
            <w:pPr>
              <w:suppressAutoHyphens/>
              <w:spacing w:before="40" w:after="40" w:line="210" w:lineRule="exact"/>
              <w:ind w:right="43"/>
              <w:jc w:val="right"/>
              <w:rPr>
                <w:sz w:val="17"/>
                <w:lang w:val="fr-FR"/>
              </w:rPr>
            </w:pPr>
          </w:p>
        </w:tc>
        <w:tc>
          <w:tcPr>
            <w:tcW w:w="900" w:type="dxa"/>
            <w:tcBorders>
              <w:top w:val="single" w:sz="12" w:space="0" w:color="auto"/>
            </w:tcBorders>
            <w:shd w:val="clear" w:color="auto" w:fill="auto"/>
            <w:noWrap/>
            <w:vAlign w:val="bottom"/>
          </w:tcPr>
          <w:p w14:paraId="2E4B8058" w14:textId="77777777" w:rsidR="005720FB" w:rsidRPr="00A66C9F" w:rsidRDefault="005720FB" w:rsidP="00107D5D">
            <w:pPr>
              <w:suppressAutoHyphens/>
              <w:spacing w:before="40" w:after="40" w:line="210" w:lineRule="exact"/>
              <w:ind w:right="43"/>
              <w:jc w:val="right"/>
              <w:rPr>
                <w:sz w:val="17"/>
                <w:lang w:val="fr-FR"/>
              </w:rPr>
            </w:pPr>
          </w:p>
        </w:tc>
        <w:tc>
          <w:tcPr>
            <w:tcW w:w="900" w:type="dxa"/>
            <w:tcBorders>
              <w:top w:val="single" w:sz="12" w:space="0" w:color="auto"/>
            </w:tcBorders>
            <w:shd w:val="clear" w:color="auto" w:fill="auto"/>
            <w:noWrap/>
            <w:vAlign w:val="bottom"/>
          </w:tcPr>
          <w:p w14:paraId="21878889" w14:textId="77777777" w:rsidR="005720FB" w:rsidRPr="00A66C9F" w:rsidRDefault="005720FB" w:rsidP="00107D5D">
            <w:pPr>
              <w:suppressAutoHyphens/>
              <w:spacing w:before="40" w:after="40" w:line="210" w:lineRule="exact"/>
              <w:ind w:right="43"/>
              <w:jc w:val="right"/>
              <w:rPr>
                <w:sz w:val="17"/>
                <w:lang w:val="fr-FR"/>
              </w:rPr>
            </w:pPr>
          </w:p>
        </w:tc>
      </w:tr>
      <w:tr w:rsidR="005720FB" w:rsidRPr="00A66C9F" w14:paraId="7F8AFF78" w14:textId="77777777" w:rsidTr="00225C0F">
        <w:trPr>
          <w:cantSplit/>
        </w:trPr>
        <w:tc>
          <w:tcPr>
            <w:tcW w:w="4666" w:type="dxa"/>
            <w:gridSpan w:val="5"/>
            <w:shd w:val="clear" w:color="auto" w:fill="auto"/>
            <w:noWrap/>
            <w:vAlign w:val="bottom"/>
          </w:tcPr>
          <w:p w14:paraId="43C18B43"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rPr>
                <w:sz w:val="17"/>
                <w:lang w:val="fr-FR"/>
              </w:rPr>
            </w:pPr>
            <w:r w:rsidRPr="00A66C9F">
              <w:rPr>
                <w:b/>
                <w:bCs/>
                <w:sz w:val="17"/>
                <w:lang w:val="fr-FR"/>
              </w:rPr>
              <w:t>B.</w:t>
            </w:r>
            <w:r w:rsidRPr="00A66C9F">
              <w:rPr>
                <w:b/>
                <w:bCs/>
                <w:sz w:val="17"/>
                <w:lang w:val="fr-FR"/>
              </w:rPr>
              <w:tab/>
              <w:t>Bureau de la gestion des investissements</w:t>
            </w:r>
          </w:p>
        </w:tc>
        <w:tc>
          <w:tcPr>
            <w:tcW w:w="865" w:type="dxa"/>
            <w:gridSpan w:val="2"/>
            <w:shd w:val="clear" w:color="auto" w:fill="auto"/>
            <w:noWrap/>
            <w:vAlign w:val="bottom"/>
            <w:hideMark/>
          </w:tcPr>
          <w:p w14:paraId="73085131"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p>
        </w:tc>
        <w:tc>
          <w:tcPr>
            <w:tcW w:w="865" w:type="dxa"/>
            <w:shd w:val="clear" w:color="auto" w:fill="auto"/>
            <w:noWrap/>
            <w:vAlign w:val="bottom"/>
            <w:hideMark/>
          </w:tcPr>
          <w:p w14:paraId="211FCC6C"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p>
        </w:tc>
        <w:tc>
          <w:tcPr>
            <w:tcW w:w="866" w:type="dxa"/>
            <w:shd w:val="clear" w:color="auto" w:fill="auto"/>
            <w:noWrap/>
            <w:vAlign w:val="bottom"/>
            <w:hideMark/>
          </w:tcPr>
          <w:p w14:paraId="5BF21C61"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p>
        </w:tc>
        <w:tc>
          <w:tcPr>
            <w:tcW w:w="865" w:type="dxa"/>
            <w:gridSpan w:val="2"/>
            <w:shd w:val="clear" w:color="auto" w:fill="auto"/>
            <w:noWrap/>
            <w:vAlign w:val="bottom"/>
            <w:hideMark/>
          </w:tcPr>
          <w:p w14:paraId="7237AA93"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p>
        </w:tc>
        <w:tc>
          <w:tcPr>
            <w:tcW w:w="866" w:type="dxa"/>
            <w:shd w:val="clear" w:color="auto" w:fill="auto"/>
            <w:noWrap/>
            <w:vAlign w:val="bottom"/>
            <w:hideMark/>
          </w:tcPr>
          <w:p w14:paraId="5C97B479"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p>
        </w:tc>
        <w:tc>
          <w:tcPr>
            <w:tcW w:w="865" w:type="dxa"/>
            <w:shd w:val="clear" w:color="auto" w:fill="auto"/>
            <w:noWrap/>
            <w:vAlign w:val="bottom"/>
            <w:hideMark/>
          </w:tcPr>
          <w:p w14:paraId="42F37587"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p>
        </w:tc>
        <w:tc>
          <w:tcPr>
            <w:tcW w:w="865" w:type="dxa"/>
            <w:gridSpan w:val="2"/>
            <w:shd w:val="clear" w:color="auto" w:fill="auto"/>
            <w:noWrap/>
            <w:vAlign w:val="bottom"/>
            <w:hideMark/>
          </w:tcPr>
          <w:p w14:paraId="10F08148"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p>
        </w:tc>
        <w:tc>
          <w:tcPr>
            <w:tcW w:w="707" w:type="dxa"/>
            <w:shd w:val="clear" w:color="auto" w:fill="auto"/>
            <w:noWrap/>
            <w:vAlign w:val="bottom"/>
            <w:hideMark/>
          </w:tcPr>
          <w:p w14:paraId="759C5456"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p>
        </w:tc>
        <w:tc>
          <w:tcPr>
            <w:tcW w:w="900" w:type="dxa"/>
            <w:shd w:val="clear" w:color="auto" w:fill="auto"/>
            <w:noWrap/>
            <w:vAlign w:val="bottom"/>
            <w:hideMark/>
          </w:tcPr>
          <w:p w14:paraId="095C5564"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p>
        </w:tc>
        <w:tc>
          <w:tcPr>
            <w:tcW w:w="900" w:type="dxa"/>
            <w:shd w:val="clear" w:color="auto" w:fill="auto"/>
            <w:noWrap/>
            <w:vAlign w:val="bottom"/>
          </w:tcPr>
          <w:p w14:paraId="36449167"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p>
        </w:tc>
      </w:tr>
      <w:tr w:rsidR="005720FB" w:rsidRPr="00A66C9F" w14:paraId="3D311083" w14:textId="77777777" w:rsidTr="00225C0F">
        <w:trPr>
          <w:cantSplit/>
        </w:trPr>
        <w:tc>
          <w:tcPr>
            <w:tcW w:w="2070" w:type="dxa"/>
            <w:gridSpan w:val="2"/>
            <w:shd w:val="clear" w:color="auto" w:fill="auto"/>
            <w:noWrap/>
            <w:vAlign w:val="bottom"/>
            <w:hideMark/>
          </w:tcPr>
          <w:p w14:paraId="1277A3BF"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rPr>
                <w:sz w:val="17"/>
                <w:lang w:val="fr-FR"/>
              </w:rPr>
            </w:pPr>
            <w:r w:rsidRPr="00A66C9F">
              <w:rPr>
                <w:sz w:val="17"/>
                <w:lang w:val="fr-FR"/>
              </w:rPr>
              <w:tab/>
              <w:t>Postes</w:t>
            </w:r>
          </w:p>
        </w:tc>
        <w:tc>
          <w:tcPr>
            <w:tcW w:w="865" w:type="dxa"/>
            <w:shd w:val="clear" w:color="auto" w:fill="auto"/>
            <w:noWrap/>
            <w:vAlign w:val="bottom"/>
          </w:tcPr>
          <w:p w14:paraId="12D18153"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25 388,5 </w:t>
            </w:r>
          </w:p>
        </w:tc>
        <w:tc>
          <w:tcPr>
            <w:tcW w:w="865" w:type="dxa"/>
            <w:shd w:val="clear" w:color="auto" w:fill="auto"/>
            <w:noWrap/>
            <w:vAlign w:val="bottom"/>
          </w:tcPr>
          <w:p w14:paraId="0A5B03B4"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 </w:t>
            </w:r>
          </w:p>
        </w:tc>
        <w:tc>
          <w:tcPr>
            <w:tcW w:w="866" w:type="dxa"/>
            <w:shd w:val="clear" w:color="auto" w:fill="auto"/>
            <w:noWrap/>
            <w:vAlign w:val="bottom"/>
          </w:tcPr>
          <w:p w14:paraId="60A9CCDB"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25 388,5 </w:t>
            </w:r>
          </w:p>
        </w:tc>
        <w:tc>
          <w:tcPr>
            <w:tcW w:w="865" w:type="dxa"/>
            <w:gridSpan w:val="2"/>
            <w:shd w:val="clear" w:color="auto" w:fill="auto"/>
            <w:noWrap/>
            <w:vAlign w:val="bottom"/>
          </w:tcPr>
          <w:p w14:paraId="6D24DDCC"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26 080,6 </w:t>
            </w:r>
          </w:p>
        </w:tc>
        <w:tc>
          <w:tcPr>
            <w:tcW w:w="865" w:type="dxa"/>
            <w:shd w:val="clear" w:color="auto" w:fill="auto"/>
            <w:noWrap/>
            <w:vAlign w:val="bottom"/>
          </w:tcPr>
          <w:p w14:paraId="3A5DDF0F"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 </w:t>
            </w:r>
          </w:p>
        </w:tc>
        <w:tc>
          <w:tcPr>
            <w:tcW w:w="866" w:type="dxa"/>
            <w:shd w:val="clear" w:color="auto" w:fill="auto"/>
            <w:noWrap/>
            <w:vAlign w:val="bottom"/>
          </w:tcPr>
          <w:p w14:paraId="3E431758"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26 080,6 </w:t>
            </w:r>
          </w:p>
        </w:tc>
        <w:tc>
          <w:tcPr>
            <w:tcW w:w="865" w:type="dxa"/>
            <w:gridSpan w:val="2"/>
            <w:shd w:val="clear" w:color="auto" w:fill="auto"/>
            <w:noWrap/>
            <w:vAlign w:val="bottom"/>
          </w:tcPr>
          <w:p w14:paraId="2EE35D17"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26 692,6 </w:t>
            </w:r>
          </w:p>
        </w:tc>
        <w:tc>
          <w:tcPr>
            <w:tcW w:w="866" w:type="dxa"/>
            <w:shd w:val="clear" w:color="auto" w:fill="auto"/>
            <w:noWrap/>
            <w:vAlign w:val="bottom"/>
          </w:tcPr>
          <w:p w14:paraId="63771831"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 </w:t>
            </w:r>
          </w:p>
        </w:tc>
        <w:tc>
          <w:tcPr>
            <w:tcW w:w="865" w:type="dxa"/>
            <w:shd w:val="clear" w:color="auto" w:fill="auto"/>
            <w:noWrap/>
            <w:vAlign w:val="bottom"/>
          </w:tcPr>
          <w:p w14:paraId="6AE7EBA9"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26 692,6 </w:t>
            </w:r>
          </w:p>
        </w:tc>
        <w:tc>
          <w:tcPr>
            <w:tcW w:w="865" w:type="dxa"/>
            <w:gridSpan w:val="2"/>
            <w:shd w:val="clear" w:color="auto" w:fill="auto"/>
            <w:noWrap/>
            <w:vAlign w:val="bottom"/>
          </w:tcPr>
          <w:p w14:paraId="5E48A6C2"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612,0 </w:t>
            </w:r>
          </w:p>
        </w:tc>
        <w:tc>
          <w:tcPr>
            <w:tcW w:w="707" w:type="dxa"/>
            <w:shd w:val="clear" w:color="auto" w:fill="auto"/>
            <w:noWrap/>
            <w:vAlign w:val="bottom"/>
          </w:tcPr>
          <w:p w14:paraId="24323DC4"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 </w:t>
            </w:r>
          </w:p>
        </w:tc>
        <w:tc>
          <w:tcPr>
            <w:tcW w:w="900" w:type="dxa"/>
            <w:shd w:val="clear" w:color="auto" w:fill="auto"/>
            <w:noWrap/>
            <w:vAlign w:val="bottom"/>
          </w:tcPr>
          <w:p w14:paraId="36784126"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612,0 </w:t>
            </w:r>
          </w:p>
        </w:tc>
        <w:tc>
          <w:tcPr>
            <w:tcW w:w="900" w:type="dxa"/>
            <w:shd w:val="clear" w:color="auto" w:fill="auto"/>
            <w:noWrap/>
            <w:vAlign w:val="bottom"/>
          </w:tcPr>
          <w:p w14:paraId="3E682A71"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2 </w:t>
            </w:r>
          </w:p>
        </w:tc>
      </w:tr>
      <w:tr w:rsidR="005720FB" w:rsidRPr="00A66C9F" w14:paraId="7CAE55DE" w14:textId="77777777" w:rsidTr="00225C0F">
        <w:trPr>
          <w:cantSplit/>
        </w:trPr>
        <w:tc>
          <w:tcPr>
            <w:tcW w:w="2070" w:type="dxa"/>
            <w:gridSpan w:val="2"/>
            <w:shd w:val="clear" w:color="auto" w:fill="auto"/>
            <w:noWrap/>
            <w:vAlign w:val="bottom"/>
            <w:hideMark/>
          </w:tcPr>
          <w:p w14:paraId="1E5334CE" w14:textId="77777777" w:rsidR="005720FB" w:rsidRPr="00A66C9F" w:rsidRDefault="005720FB" w:rsidP="00107D5D">
            <w:pPr>
              <w:tabs>
                <w:tab w:val="left" w:pos="288"/>
                <w:tab w:val="left" w:pos="576"/>
                <w:tab w:val="left" w:pos="864"/>
                <w:tab w:val="left" w:pos="1152"/>
              </w:tabs>
              <w:suppressAutoHyphens/>
              <w:spacing w:before="40" w:after="40" w:line="210" w:lineRule="exact"/>
              <w:ind w:left="288" w:right="43" w:hanging="288"/>
              <w:rPr>
                <w:sz w:val="17"/>
                <w:lang w:val="fr-FR"/>
              </w:rPr>
            </w:pPr>
            <w:r w:rsidRPr="00A66C9F">
              <w:rPr>
                <w:sz w:val="17"/>
                <w:lang w:val="fr-FR"/>
              </w:rPr>
              <w:tab/>
              <w:t>Autres dépenses de personnel</w:t>
            </w:r>
          </w:p>
        </w:tc>
        <w:tc>
          <w:tcPr>
            <w:tcW w:w="865" w:type="dxa"/>
            <w:shd w:val="clear" w:color="auto" w:fill="auto"/>
            <w:noWrap/>
            <w:vAlign w:val="bottom"/>
          </w:tcPr>
          <w:p w14:paraId="791D73B0"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3 501,0 </w:t>
            </w:r>
          </w:p>
        </w:tc>
        <w:tc>
          <w:tcPr>
            <w:tcW w:w="865" w:type="dxa"/>
            <w:shd w:val="clear" w:color="auto" w:fill="auto"/>
            <w:noWrap/>
            <w:vAlign w:val="bottom"/>
          </w:tcPr>
          <w:p w14:paraId="79EC1142"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 </w:t>
            </w:r>
          </w:p>
        </w:tc>
        <w:tc>
          <w:tcPr>
            <w:tcW w:w="866" w:type="dxa"/>
            <w:shd w:val="clear" w:color="auto" w:fill="auto"/>
            <w:noWrap/>
            <w:vAlign w:val="bottom"/>
          </w:tcPr>
          <w:p w14:paraId="705F0796"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3 501,0 </w:t>
            </w:r>
          </w:p>
        </w:tc>
        <w:tc>
          <w:tcPr>
            <w:tcW w:w="865" w:type="dxa"/>
            <w:gridSpan w:val="2"/>
            <w:shd w:val="clear" w:color="auto" w:fill="auto"/>
            <w:noWrap/>
            <w:vAlign w:val="bottom"/>
          </w:tcPr>
          <w:p w14:paraId="08B2F404"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4 109,0 </w:t>
            </w:r>
          </w:p>
        </w:tc>
        <w:tc>
          <w:tcPr>
            <w:tcW w:w="865" w:type="dxa"/>
            <w:shd w:val="clear" w:color="auto" w:fill="auto"/>
            <w:noWrap/>
            <w:vAlign w:val="bottom"/>
          </w:tcPr>
          <w:p w14:paraId="5447EDEE"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 </w:t>
            </w:r>
          </w:p>
        </w:tc>
        <w:tc>
          <w:tcPr>
            <w:tcW w:w="866" w:type="dxa"/>
            <w:shd w:val="clear" w:color="auto" w:fill="auto"/>
            <w:noWrap/>
            <w:vAlign w:val="bottom"/>
          </w:tcPr>
          <w:p w14:paraId="667FB14E"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4 109,0 </w:t>
            </w:r>
          </w:p>
        </w:tc>
        <w:tc>
          <w:tcPr>
            <w:tcW w:w="865" w:type="dxa"/>
            <w:gridSpan w:val="2"/>
            <w:shd w:val="clear" w:color="auto" w:fill="auto"/>
            <w:noWrap/>
            <w:vAlign w:val="bottom"/>
          </w:tcPr>
          <w:p w14:paraId="4BC1E21D"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3 330,4 </w:t>
            </w:r>
          </w:p>
        </w:tc>
        <w:tc>
          <w:tcPr>
            <w:tcW w:w="866" w:type="dxa"/>
            <w:shd w:val="clear" w:color="auto" w:fill="auto"/>
            <w:noWrap/>
            <w:vAlign w:val="bottom"/>
          </w:tcPr>
          <w:p w14:paraId="680C5823"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 </w:t>
            </w:r>
          </w:p>
        </w:tc>
        <w:tc>
          <w:tcPr>
            <w:tcW w:w="865" w:type="dxa"/>
            <w:shd w:val="clear" w:color="auto" w:fill="auto"/>
            <w:noWrap/>
            <w:vAlign w:val="bottom"/>
          </w:tcPr>
          <w:p w14:paraId="3C9E1C3E"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3 330,4 </w:t>
            </w:r>
          </w:p>
        </w:tc>
        <w:tc>
          <w:tcPr>
            <w:tcW w:w="865" w:type="dxa"/>
            <w:gridSpan w:val="2"/>
            <w:shd w:val="clear" w:color="auto" w:fill="auto"/>
            <w:noWrap/>
            <w:vAlign w:val="bottom"/>
          </w:tcPr>
          <w:p w14:paraId="18AE5516"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(778,6)</w:t>
            </w:r>
          </w:p>
        </w:tc>
        <w:tc>
          <w:tcPr>
            <w:tcW w:w="707" w:type="dxa"/>
            <w:shd w:val="clear" w:color="auto" w:fill="auto"/>
            <w:noWrap/>
            <w:vAlign w:val="bottom"/>
          </w:tcPr>
          <w:p w14:paraId="7302E94F"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 </w:t>
            </w:r>
          </w:p>
        </w:tc>
        <w:tc>
          <w:tcPr>
            <w:tcW w:w="900" w:type="dxa"/>
            <w:shd w:val="clear" w:color="auto" w:fill="auto"/>
            <w:noWrap/>
            <w:vAlign w:val="bottom"/>
          </w:tcPr>
          <w:p w14:paraId="51BD5E01"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(778,6)</w:t>
            </w:r>
          </w:p>
        </w:tc>
        <w:tc>
          <w:tcPr>
            <w:tcW w:w="900" w:type="dxa"/>
            <w:shd w:val="clear" w:color="auto" w:fill="auto"/>
            <w:noWrap/>
            <w:vAlign w:val="bottom"/>
          </w:tcPr>
          <w:p w14:paraId="68CC3230"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(19)</w:t>
            </w:r>
          </w:p>
        </w:tc>
      </w:tr>
      <w:tr w:rsidR="005720FB" w:rsidRPr="00A66C9F" w14:paraId="0C135F81" w14:textId="77777777" w:rsidTr="00225C0F">
        <w:trPr>
          <w:cantSplit/>
        </w:trPr>
        <w:tc>
          <w:tcPr>
            <w:tcW w:w="2070" w:type="dxa"/>
            <w:gridSpan w:val="2"/>
            <w:shd w:val="clear" w:color="auto" w:fill="auto"/>
            <w:noWrap/>
            <w:vAlign w:val="bottom"/>
            <w:hideMark/>
          </w:tcPr>
          <w:p w14:paraId="47211E35"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rPr>
                <w:sz w:val="17"/>
                <w:lang w:val="fr-FR"/>
              </w:rPr>
            </w:pPr>
            <w:r w:rsidRPr="00A66C9F">
              <w:rPr>
                <w:sz w:val="17"/>
                <w:lang w:val="fr-FR"/>
              </w:rPr>
              <w:tab/>
              <w:t>Frais de représentation</w:t>
            </w:r>
          </w:p>
        </w:tc>
        <w:tc>
          <w:tcPr>
            <w:tcW w:w="865" w:type="dxa"/>
            <w:shd w:val="clear" w:color="auto" w:fill="auto"/>
            <w:noWrap/>
            <w:vAlign w:val="bottom"/>
          </w:tcPr>
          <w:p w14:paraId="5C90BB22"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28,1</w:t>
            </w:r>
          </w:p>
        </w:tc>
        <w:tc>
          <w:tcPr>
            <w:tcW w:w="865" w:type="dxa"/>
            <w:shd w:val="clear" w:color="auto" w:fill="auto"/>
            <w:noWrap/>
            <w:vAlign w:val="bottom"/>
          </w:tcPr>
          <w:p w14:paraId="3767E610"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w:t>
            </w:r>
          </w:p>
        </w:tc>
        <w:tc>
          <w:tcPr>
            <w:tcW w:w="866" w:type="dxa"/>
            <w:shd w:val="clear" w:color="auto" w:fill="auto"/>
            <w:noWrap/>
            <w:vAlign w:val="bottom"/>
          </w:tcPr>
          <w:p w14:paraId="27F1BE11"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28,1</w:t>
            </w:r>
          </w:p>
        </w:tc>
        <w:tc>
          <w:tcPr>
            <w:tcW w:w="865" w:type="dxa"/>
            <w:gridSpan w:val="2"/>
            <w:shd w:val="clear" w:color="auto" w:fill="auto"/>
            <w:noWrap/>
            <w:vAlign w:val="bottom"/>
          </w:tcPr>
          <w:p w14:paraId="00156C3E"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28,1</w:t>
            </w:r>
          </w:p>
        </w:tc>
        <w:tc>
          <w:tcPr>
            <w:tcW w:w="865" w:type="dxa"/>
            <w:shd w:val="clear" w:color="auto" w:fill="auto"/>
            <w:noWrap/>
            <w:vAlign w:val="bottom"/>
          </w:tcPr>
          <w:p w14:paraId="50E646BC"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w:t>
            </w:r>
          </w:p>
        </w:tc>
        <w:tc>
          <w:tcPr>
            <w:tcW w:w="866" w:type="dxa"/>
            <w:shd w:val="clear" w:color="auto" w:fill="auto"/>
            <w:noWrap/>
            <w:vAlign w:val="bottom"/>
          </w:tcPr>
          <w:p w14:paraId="2D348DB0"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28,1</w:t>
            </w:r>
          </w:p>
        </w:tc>
        <w:tc>
          <w:tcPr>
            <w:tcW w:w="865" w:type="dxa"/>
            <w:gridSpan w:val="2"/>
            <w:shd w:val="clear" w:color="auto" w:fill="auto"/>
            <w:noWrap/>
            <w:vAlign w:val="bottom"/>
          </w:tcPr>
          <w:p w14:paraId="542C75EC"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9,9</w:t>
            </w:r>
          </w:p>
        </w:tc>
        <w:tc>
          <w:tcPr>
            <w:tcW w:w="866" w:type="dxa"/>
            <w:shd w:val="clear" w:color="auto" w:fill="auto"/>
            <w:noWrap/>
            <w:vAlign w:val="bottom"/>
          </w:tcPr>
          <w:p w14:paraId="48B4C888"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 </w:t>
            </w:r>
          </w:p>
        </w:tc>
        <w:tc>
          <w:tcPr>
            <w:tcW w:w="865" w:type="dxa"/>
            <w:shd w:val="clear" w:color="auto" w:fill="auto"/>
            <w:noWrap/>
            <w:vAlign w:val="bottom"/>
          </w:tcPr>
          <w:p w14:paraId="5A7DF587"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9,9</w:t>
            </w:r>
          </w:p>
        </w:tc>
        <w:tc>
          <w:tcPr>
            <w:tcW w:w="865" w:type="dxa"/>
            <w:gridSpan w:val="2"/>
            <w:shd w:val="clear" w:color="auto" w:fill="auto"/>
            <w:noWrap/>
            <w:vAlign w:val="bottom"/>
          </w:tcPr>
          <w:p w14:paraId="2D411A01"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(18,2)</w:t>
            </w:r>
          </w:p>
        </w:tc>
        <w:tc>
          <w:tcPr>
            <w:tcW w:w="707" w:type="dxa"/>
            <w:shd w:val="clear" w:color="auto" w:fill="auto"/>
            <w:noWrap/>
            <w:vAlign w:val="bottom"/>
          </w:tcPr>
          <w:p w14:paraId="358F69A9"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w:t>
            </w:r>
          </w:p>
        </w:tc>
        <w:tc>
          <w:tcPr>
            <w:tcW w:w="900" w:type="dxa"/>
            <w:shd w:val="clear" w:color="auto" w:fill="auto"/>
            <w:noWrap/>
            <w:vAlign w:val="bottom"/>
          </w:tcPr>
          <w:p w14:paraId="59D5554E"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(18,2)</w:t>
            </w:r>
          </w:p>
        </w:tc>
        <w:tc>
          <w:tcPr>
            <w:tcW w:w="900" w:type="dxa"/>
            <w:shd w:val="clear" w:color="auto" w:fill="auto"/>
            <w:noWrap/>
            <w:vAlign w:val="bottom"/>
          </w:tcPr>
          <w:p w14:paraId="6836742A"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(65)</w:t>
            </w:r>
          </w:p>
        </w:tc>
      </w:tr>
      <w:tr w:rsidR="005720FB" w:rsidRPr="00A66C9F" w14:paraId="422D6D58" w14:textId="77777777" w:rsidTr="00225C0F">
        <w:trPr>
          <w:cantSplit/>
        </w:trPr>
        <w:tc>
          <w:tcPr>
            <w:tcW w:w="2070" w:type="dxa"/>
            <w:gridSpan w:val="2"/>
            <w:shd w:val="clear" w:color="auto" w:fill="auto"/>
            <w:noWrap/>
            <w:vAlign w:val="bottom"/>
            <w:hideMark/>
          </w:tcPr>
          <w:p w14:paraId="5E438F15"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rPr>
                <w:sz w:val="17"/>
                <w:lang w:val="fr-FR"/>
              </w:rPr>
            </w:pPr>
            <w:r w:rsidRPr="00A66C9F">
              <w:rPr>
                <w:sz w:val="17"/>
                <w:lang w:val="fr-FR"/>
              </w:rPr>
              <w:tab/>
              <w:t>Consultants</w:t>
            </w:r>
          </w:p>
        </w:tc>
        <w:tc>
          <w:tcPr>
            <w:tcW w:w="865" w:type="dxa"/>
            <w:shd w:val="clear" w:color="auto" w:fill="auto"/>
            <w:noWrap/>
            <w:vAlign w:val="bottom"/>
          </w:tcPr>
          <w:p w14:paraId="60D513CF"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1 125,8 </w:t>
            </w:r>
          </w:p>
        </w:tc>
        <w:tc>
          <w:tcPr>
            <w:tcW w:w="865" w:type="dxa"/>
            <w:shd w:val="clear" w:color="auto" w:fill="auto"/>
            <w:noWrap/>
            <w:vAlign w:val="bottom"/>
          </w:tcPr>
          <w:p w14:paraId="6965DDB7"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 </w:t>
            </w:r>
          </w:p>
        </w:tc>
        <w:tc>
          <w:tcPr>
            <w:tcW w:w="866" w:type="dxa"/>
            <w:shd w:val="clear" w:color="auto" w:fill="auto"/>
            <w:noWrap/>
            <w:vAlign w:val="bottom"/>
          </w:tcPr>
          <w:p w14:paraId="03F79671"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1 125,8 </w:t>
            </w:r>
          </w:p>
        </w:tc>
        <w:tc>
          <w:tcPr>
            <w:tcW w:w="865" w:type="dxa"/>
            <w:gridSpan w:val="2"/>
            <w:shd w:val="clear" w:color="auto" w:fill="auto"/>
            <w:noWrap/>
            <w:vAlign w:val="bottom"/>
          </w:tcPr>
          <w:p w14:paraId="4C53222D"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918,3 </w:t>
            </w:r>
          </w:p>
        </w:tc>
        <w:tc>
          <w:tcPr>
            <w:tcW w:w="865" w:type="dxa"/>
            <w:shd w:val="clear" w:color="auto" w:fill="auto"/>
            <w:noWrap/>
            <w:vAlign w:val="bottom"/>
          </w:tcPr>
          <w:p w14:paraId="2C52E9DF"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 </w:t>
            </w:r>
          </w:p>
        </w:tc>
        <w:tc>
          <w:tcPr>
            <w:tcW w:w="866" w:type="dxa"/>
            <w:shd w:val="clear" w:color="auto" w:fill="auto"/>
            <w:noWrap/>
            <w:vAlign w:val="bottom"/>
          </w:tcPr>
          <w:p w14:paraId="03E2DB78"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918,3 </w:t>
            </w:r>
          </w:p>
        </w:tc>
        <w:tc>
          <w:tcPr>
            <w:tcW w:w="865" w:type="dxa"/>
            <w:gridSpan w:val="2"/>
            <w:shd w:val="clear" w:color="auto" w:fill="auto"/>
            <w:noWrap/>
            <w:vAlign w:val="bottom"/>
          </w:tcPr>
          <w:p w14:paraId="310A3AB3"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551,6 </w:t>
            </w:r>
          </w:p>
        </w:tc>
        <w:tc>
          <w:tcPr>
            <w:tcW w:w="866" w:type="dxa"/>
            <w:shd w:val="clear" w:color="auto" w:fill="auto"/>
            <w:noWrap/>
            <w:vAlign w:val="bottom"/>
          </w:tcPr>
          <w:p w14:paraId="707AB007"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 </w:t>
            </w:r>
          </w:p>
        </w:tc>
        <w:tc>
          <w:tcPr>
            <w:tcW w:w="865" w:type="dxa"/>
            <w:shd w:val="clear" w:color="auto" w:fill="auto"/>
            <w:noWrap/>
            <w:vAlign w:val="bottom"/>
          </w:tcPr>
          <w:p w14:paraId="2DBFF5EE"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551,6 </w:t>
            </w:r>
          </w:p>
        </w:tc>
        <w:tc>
          <w:tcPr>
            <w:tcW w:w="865" w:type="dxa"/>
            <w:gridSpan w:val="2"/>
            <w:shd w:val="clear" w:color="auto" w:fill="auto"/>
            <w:noWrap/>
            <w:vAlign w:val="bottom"/>
          </w:tcPr>
          <w:p w14:paraId="384A68D4"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(366,7)</w:t>
            </w:r>
          </w:p>
        </w:tc>
        <w:tc>
          <w:tcPr>
            <w:tcW w:w="707" w:type="dxa"/>
            <w:shd w:val="clear" w:color="auto" w:fill="auto"/>
            <w:noWrap/>
            <w:vAlign w:val="bottom"/>
          </w:tcPr>
          <w:p w14:paraId="19A45DCA"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 </w:t>
            </w:r>
          </w:p>
        </w:tc>
        <w:tc>
          <w:tcPr>
            <w:tcW w:w="900" w:type="dxa"/>
            <w:shd w:val="clear" w:color="auto" w:fill="auto"/>
            <w:noWrap/>
            <w:vAlign w:val="bottom"/>
          </w:tcPr>
          <w:p w14:paraId="51AEE0E1"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(366,7)</w:t>
            </w:r>
          </w:p>
        </w:tc>
        <w:tc>
          <w:tcPr>
            <w:tcW w:w="900" w:type="dxa"/>
            <w:shd w:val="clear" w:color="auto" w:fill="auto"/>
            <w:noWrap/>
            <w:vAlign w:val="bottom"/>
          </w:tcPr>
          <w:p w14:paraId="3CF5F10E"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(40)</w:t>
            </w:r>
          </w:p>
        </w:tc>
      </w:tr>
      <w:tr w:rsidR="005720FB" w:rsidRPr="00A66C9F" w14:paraId="4D917C1B" w14:textId="77777777" w:rsidTr="00225C0F">
        <w:trPr>
          <w:cantSplit/>
        </w:trPr>
        <w:tc>
          <w:tcPr>
            <w:tcW w:w="2070" w:type="dxa"/>
            <w:gridSpan w:val="2"/>
            <w:shd w:val="clear" w:color="auto" w:fill="auto"/>
            <w:noWrap/>
            <w:vAlign w:val="bottom"/>
            <w:hideMark/>
          </w:tcPr>
          <w:p w14:paraId="63C898D7" w14:textId="77777777" w:rsidR="005720FB" w:rsidRPr="00A66C9F" w:rsidRDefault="005720FB" w:rsidP="00107D5D">
            <w:pPr>
              <w:tabs>
                <w:tab w:val="left" w:pos="288"/>
                <w:tab w:val="left" w:pos="576"/>
                <w:tab w:val="left" w:pos="864"/>
                <w:tab w:val="left" w:pos="1152"/>
              </w:tabs>
              <w:suppressAutoHyphens/>
              <w:spacing w:before="40" w:after="40" w:line="210" w:lineRule="exact"/>
              <w:ind w:left="288" w:right="43" w:hanging="288"/>
              <w:rPr>
                <w:sz w:val="17"/>
                <w:lang w:val="fr-FR"/>
              </w:rPr>
            </w:pPr>
            <w:r w:rsidRPr="00A66C9F">
              <w:rPr>
                <w:sz w:val="17"/>
                <w:lang w:val="fr-FR"/>
              </w:rPr>
              <w:tab/>
              <w:t>Voyages des représentants</w:t>
            </w:r>
            <w:r w:rsidRPr="00A66C9F">
              <w:rPr>
                <w:i/>
                <w:iCs/>
                <w:sz w:val="17"/>
                <w:vertAlign w:val="superscript"/>
                <w:lang w:val="fr-FR"/>
              </w:rPr>
              <w:t>b</w:t>
            </w:r>
          </w:p>
        </w:tc>
        <w:tc>
          <w:tcPr>
            <w:tcW w:w="865" w:type="dxa"/>
            <w:shd w:val="clear" w:color="auto" w:fill="auto"/>
            <w:noWrap/>
            <w:vAlign w:val="bottom"/>
          </w:tcPr>
          <w:p w14:paraId="219C6213"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711,5 </w:t>
            </w:r>
          </w:p>
        </w:tc>
        <w:tc>
          <w:tcPr>
            <w:tcW w:w="865" w:type="dxa"/>
            <w:shd w:val="clear" w:color="auto" w:fill="auto"/>
            <w:noWrap/>
            <w:vAlign w:val="bottom"/>
          </w:tcPr>
          <w:p w14:paraId="076B30F2"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w:t>
            </w:r>
          </w:p>
        </w:tc>
        <w:tc>
          <w:tcPr>
            <w:tcW w:w="866" w:type="dxa"/>
            <w:shd w:val="clear" w:color="auto" w:fill="auto"/>
            <w:noWrap/>
            <w:vAlign w:val="bottom"/>
          </w:tcPr>
          <w:p w14:paraId="364176AD"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711,5 </w:t>
            </w:r>
          </w:p>
        </w:tc>
        <w:tc>
          <w:tcPr>
            <w:tcW w:w="865" w:type="dxa"/>
            <w:gridSpan w:val="2"/>
            <w:shd w:val="clear" w:color="auto" w:fill="auto"/>
            <w:noWrap/>
            <w:vAlign w:val="bottom"/>
          </w:tcPr>
          <w:p w14:paraId="08729E9F"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613,3 </w:t>
            </w:r>
          </w:p>
        </w:tc>
        <w:tc>
          <w:tcPr>
            <w:tcW w:w="865" w:type="dxa"/>
            <w:shd w:val="clear" w:color="auto" w:fill="auto"/>
            <w:noWrap/>
            <w:vAlign w:val="bottom"/>
          </w:tcPr>
          <w:p w14:paraId="303BF016"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w:t>
            </w:r>
          </w:p>
        </w:tc>
        <w:tc>
          <w:tcPr>
            <w:tcW w:w="866" w:type="dxa"/>
            <w:shd w:val="clear" w:color="auto" w:fill="auto"/>
            <w:noWrap/>
            <w:vAlign w:val="bottom"/>
          </w:tcPr>
          <w:p w14:paraId="067649EC"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613,3 </w:t>
            </w:r>
          </w:p>
        </w:tc>
        <w:tc>
          <w:tcPr>
            <w:tcW w:w="865" w:type="dxa"/>
            <w:gridSpan w:val="2"/>
            <w:shd w:val="clear" w:color="auto" w:fill="auto"/>
            <w:noWrap/>
            <w:vAlign w:val="bottom"/>
          </w:tcPr>
          <w:p w14:paraId="02FE929E"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268,2</w:t>
            </w:r>
          </w:p>
        </w:tc>
        <w:tc>
          <w:tcPr>
            <w:tcW w:w="866" w:type="dxa"/>
            <w:shd w:val="clear" w:color="auto" w:fill="auto"/>
            <w:noWrap/>
            <w:vAlign w:val="bottom"/>
          </w:tcPr>
          <w:p w14:paraId="7B4B6D7E"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w:t>
            </w:r>
          </w:p>
        </w:tc>
        <w:tc>
          <w:tcPr>
            <w:tcW w:w="865" w:type="dxa"/>
            <w:shd w:val="clear" w:color="auto" w:fill="auto"/>
            <w:noWrap/>
            <w:vAlign w:val="bottom"/>
          </w:tcPr>
          <w:p w14:paraId="17B48087"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268,2</w:t>
            </w:r>
          </w:p>
        </w:tc>
        <w:tc>
          <w:tcPr>
            <w:tcW w:w="865" w:type="dxa"/>
            <w:gridSpan w:val="2"/>
            <w:shd w:val="clear" w:color="auto" w:fill="auto"/>
            <w:noWrap/>
            <w:vAlign w:val="bottom"/>
          </w:tcPr>
          <w:p w14:paraId="02B367EE"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(345,1)</w:t>
            </w:r>
          </w:p>
        </w:tc>
        <w:tc>
          <w:tcPr>
            <w:tcW w:w="707" w:type="dxa"/>
            <w:shd w:val="clear" w:color="auto" w:fill="auto"/>
            <w:noWrap/>
            <w:vAlign w:val="bottom"/>
          </w:tcPr>
          <w:p w14:paraId="37A6C15F"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w:t>
            </w:r>
          </w:p>
        </w:tc>
        <w:tc>
          <w:tcPr>
            <w:tcW w:w="900" w:type="dxa"/>
            <w:shd w:val="clear" w:color="auto" w:fill="auto"/>
            <w:noWrap/>
            <w:vAlign w:val="bottom"/>
          </w:tcPr>
          <w:p w14:paraId="13551DED"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(345,1)</w:t>
            </w:r>
          </w:p>
        </w:tc>
        <w:tc>
          <w:tcPr>
            <w:tcW w:w="900" w:type="dxa"/>
            <w:shd w:val="clear" w:color="auto" w:fill="auto"/>
            <w:noWrap/>
            <w:vAlign w:val="bottom"/>
          </w:tcPr>
          <w:p w14:paraId="4369D15C"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(56)</w:t>
            </w:r>
          </w:p>
        </w:tc>
      </w:tr>
      <w:tr w:rsidR="005720FB" w:rsidRPr="00A66C9F" w14:paraId="28894A14" w14:textId="77777777" w:rsidTr="00225C0F">
        <w:trPr>
          <w:cantSplit/>
        </w:trPr>
        <w:tc>
          <w:tcPr>
            <w:tcW w:w="2070" w:type="dxa"/>
            <w:gridSpan w:val="2"/>
            <w:shd w:val="clear" w:color="auto" w:fill="auto"/>
            <w:noWrap/>
            <w:vAlign w:val="bottom"/>
            <w:hideMark/>
          </w:tcPr>
          <w:p w14:paraId="6152EECC"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rPr>
                <w:sz w:val="17"/>
                <w:lang w:val="fr-FR"/>
              </w:rPr>
            </w:pPr>
            <w:r w:rsidRPr="00A66C9F">
              <w:rPr>
                <w:sz w:val="17"/>
                <w:lang w:val="fr-FR"/>
              </w:rPr>
              <w:tab/>
              <w:t>Voyages du personnel</w:t>
            </w:r>
          </w:p>
        </w:tc>
        <w:tc>
          <w:tcPr>
            <w:tcW w:w="865" w:type="dxa"/>
            <w:shd w:val="clear" w:color="auto" w:fill="auto"/>
            <w:noWrap/>
            <w:vAlign w:val="bottom"/>
          </w:tcPr>
          <w:p w14:paraId="45A003E4"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1 551,6 </w:t>
            </w:r>
          </w:p>
        </w:tc>
        <w:tc>
          <w:tcPr>
            <w:tcW w:w="865" w:type="dxa"/>
            <w:shd w:val="clear" w:color="auto" w:fill="auto"/>
            <w:noWrap/>
            <w:vAlign w:val="bottom"/>
          </w:tcPr>
          <w:p w14:paraId="26C21E5E"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w:t>
            </w:r>
          </w:p>
        </w:tc>
        <w:tc>
          <w:tcPr>
            <w:tcW w:w="866" w:type="dxa"/>
            <w:shd w:val="clear" w:color="auto" w:fill="auto"/>
            <w:noWrap/>
            <w:vAlign w:val="bottom"/>
          </w:tcPr>
          <w:p w14:paraId="0013BC24"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1 551,6 </w:t>
            </w:r>
          </w:p>
        </w:tc>
        <w:tc>
          <w:tcPr>
            <w:tcW w:w="865" w:type="dxa"/>
            <w:gridSpan w:val="2"/>
            <w:shd w:val="clear" w:color="auto" w:fill="auto"/>
            <w:noWrap/>
            <w:vAlign w:val="bottom"/>
          </w:tcPr>
          <w:p w14:paraId="10256934"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1 551,6 </w:t>
            </w:r>
          </w:p>
        </w:tc>
        <w:tc>
          <w:tcPr>
            <w:tcW w:w="865" w:type="dxa"/>
            <w:shd w:val="clear" w:color="auto" w:fill="auto"/>
            <w:noWrap/>
            <w:vAlign w:val="bottom"/>
          </w:tcPr>
          <w:p w14:paraId="0641A53F"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w:t>
            </w:r>
          </w:p>
        </w:tc>
        <w:tc>
          <w:tcPr>
            <w:tcW w:w="866" w:type="dxa"/>
            <w:shd w:val="clear" w:color="auto" w:fill="auto"/>
            <w:noWrap/>
            <w:vAlign w:val="bottom"/>
          </w:tcPr>
          <w:p w14:paraId="1F6D093F"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1 551,6 </w:t>
            </w:r>
          </w:p>
        </w:tc>
        <w:tc>
          <w:tcPr>
            <w:tcW w:w="865" w:type="dxa"/>
            <w:gridSpan w:val="2"/>
            <w:shd w:val="clear" w:color="auto" w:fill="auto"/>
            <w:noWrap/>
            <w:vAlign w:val="bottom"/>
          </w:tcPr>
          <w:p w14:paraId="35086F60"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1 164,3 </w:t>
            </w:r>
          </w:p>
        </w:tc>
        <w:tc>
          <w:tcPr>
            <w:tcW w:w="866" w:type="dxa"/>
            <w:shd w:val="clear" w:color="auto" w:fill="auto"/>
            <w:noWrap/>
            <w:vAlign w:val="bottom"/>
          </w:tcPr>
          <w:p w14:paraId="1FA59410"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w:t>
            </w:r>
          </w:p>
        </w:tc>
        <w:tc>
          <w:tcPr>
            <w:tcW w:w="865" w:type="dxa"/>
            <w:shd w:val="clear" w:color="auto" w:fill="auto"/>
            <w:noWrap/>
            <w:vAlign w:val="bottom"/>
          </w:tcPr>
          <w:p w14:paraId="2E2DE9A7"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1 164,3 </w:t>
            </w:r>
          </w:p>
        </w:tc>
        <w:tc>
          <w:tcPr>
            <w:tcW w:w="865" w:type="dxa"/>
            <w:gridSpan w:val="2"/>
            <w:shd w:val="clear" w:color="auto" w:fill="auto"/>
            <w:noWrap/>
            <w:vAlign w:val="bottom"/>
          </w:tcPr>
          <w:p w14:paraId="32697C38"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(387,3)</w:t>
            </w:r>
          </w:p>
        </w:tc>
        <w:tc>
          <w:tcPr>
            <w:tcW w:w="707" w:type="dxa"/>
            <w:shd w:val="clear" w:color="auto" w:fill="auto"/>
            <w:noWrap/>
            <w:vAlign w:val="bottom"/>
          </w:tcPr>
          <w:p w14:paraId="13CF2DF0"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w:t>
            </w:r>
          </w:p>
        </w:tc>
        <w:tc>
          <w:tcPr>
            <w:tcW w:w="900" w:type="dxa"/>
            <w:shd w:val="clear" w:color="auto" w:fill="auto"/>
            <w:noWrap/>
            <w:vAlign w:val="bottom"/>
          </w:tcPr>
          <w:p w14:paraId="0E220F81"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(387,3)</w:t>
            </w:r>
          </w:p>
        </w:tc>
        <w:tc>
          <w:tcPr>
            <w:tcW w:w="900" w:type="dxa"/>
            <w:shd w:val="clear" w:color="auto" w:fill="auto"/>
            <w:noWrap/>
            <w:vAlign w:val="bottom"/>
          </w:tcPr>
          <w:p w14:paraId="4BB98DFF"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(25)</w:t>
            </w:r>
          </w:p>
        </w:tc>
      </w:tr>
      <w:tr w:rsidR="005720FB" w:rsidRPr="00A66C9F" w14:paraId="488A666B" w14:textId="77777777" w:rsidTr="00225C0F">
        <w:trPr>
          <w:cantSplit/>
        </w:trPr>
        <w:tc>
          <w:tcPr>
            <w:tcW w:w="2070" w:type="dxa"/>
            <w:gridSpan w:val="2"/>
            <w:shd w:val="clear" w:color="auto" w:fill="auto"/>
            <w:noWrap/>
            <w:vAlign w:val="bottom"/>
            <w:hideMark/>
          </w:tcPr>
          <w:p w14:paraId="35EB9DF5"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rPr>
                <w:sz w:val="17"/>
                <w:lang w:val="fr-FR"/>
              </w:rPr>
            </w:pPr>
            <w:r w:rsidRPr="00A66C9F">
              <w:rPr>
                <w:sz w:val="17"/>
                <w:lang w:val="fr-FR"/>
              </w:rPr>
              <w:tab/>
              <w:t xml:space="preserve">Services contractuels </w:t>
            </w:r>
          </w:p>
        </w:tc>
        <w:tc>
          <w:tcPr>
            <w:tcW w:w="865" w:type="dxa"/>
            <w:shd w:val="clear" w:color="auto" w:fill="auto"/>
            <w:noWrap/>
            <w:vAlign w:val="bottom"/>
          </w:tcPr>
          <w:p w14:paraId="2B179ECA"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45 265,5 </w:t>
            </w:r>
          </w:p>
        </w:tc>
        <w:tc>
          <w:tcPr>
            <w:tcW w:w="865" w:type="dxa"/>
            <w:shd w:val="clear" w:color="auto" w:fill="auto"/>
            <w:noWrap/>
            <w:vAlign w:val="bottom"/>
          </w:tcPr>
          <w:p w14:paraId="44337C9B"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w:t>
            </w:r>
          </w:p>
        </w:tc>
        <w:tc>
          <w:tcPr>
            <w:tcW w:w="866" w:type="dxa"/>
            <w:shd w:val="clear" w:color="auto" w:fill="auto"/>
            <w:noWrap/>
            <w:vAlign w:val="bottom"/>
          </w:tcPr>
          <w:p w14:paraId="06401C41"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45 265,5 </w:t>
            </w:r>
          </w:p>
        </w:tc>
        <w:tc>
          <w:tcPr>
            <w:tcW w:w="865" w:type="dxa"/>
            <w:gridSpan w:val="2"/>
            <w:shd w:val="clear" w:color="auto" w:fill="auto"/>
            <w:noWrap/>
            <w:vAlign w:val="bottom"/>
          </w:tcPr>
          <w:p w14:paraId="6488AA33"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38 804,6 </w:t>
            </w:r>
          </w:p>
        </w:tc>
        <w:tc>
          <w:tcPr>
            <w:tcW w:w="865" w:type="dxa"/>
            <w:shd w:val="clear" w:color="auto" w:fill="auto"/>
            <w:noWrap/>
            <w:vAlign w:val="bottom"/>
          </w:tcPr>
          <w:p w14:paraId="69F65665"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w:t>
            </w:r>
          </w:p>
        </w:tc>
        <w:tc>
          <w:tcPr>
            <w:tcW w:w="866" w:type="dxa"/>
            <w:shd w:val="clear" w:color="auto" w:fill="auto"/>
            <w:noWrap/>
            <w:vAlign w:val="bottom"/>
          </w:tcPr>
          <w:p w14:paraId="2A5D41CD"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38 804,6 </w:t>
            </w:r>
          </w:p>
        </w:tc>
        <w:tc>
          <w:tcPr>
            <w:tcW w:w="865" w:type="dxa"/>
            <w:gridSpan w:val="2"/>
            <w:shd w:val="clear" w:color="auto" w:fill="auto"/>
            <w:noWrap/>
            <w:vAlign w:val="bottom"/>
          </w:tcPr>
          <w:p w14:paraId="56B21888"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31 350,9 </w:t>
            </w:r>
          </w:p>
        </w:tc>
        <w:tc>
          <w:tcPr>
            <w:tcW w:w="866" w:type="dxa"/>
            <w:shd w:val="clear" w:color="auto" w:fill="auto"/>
            <w:noWrap/>
            <w:vAlign w:val="bottom"/>
          </w:tcPr>
          <w:p w14:paraId="0964090E"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w:t>
            </w:r>
          </w:p>
        </w:tc>
        <w:tc>
          <w:tcPr>
            <w:tcW w:w="865" w:type="dxa"/>
            <w:shd w:val="clear" w:color="auto" w:fill="auto"/>
            <w:noWrap/>
            <w:vAlign w:val="bottom"/>
          </w:tcPr>
          <w:p w14:paraId="5DBC03EC"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31 350,9 </w:t>
            </w:r>
          </w:p>
        </w:tc>
        <w:tc>
          <w:tcPr>
            <w:tcW w:w="865" w:type="dxa"/>
            <w:gridSpan w:val="2"/>
            <w:shd w:val="clear" w:color="auto" w:fill="auto"/>
            <w:noWrap/>
            <w:vAlign w:val="bottom"/>
          </w:tcPr>
          <w:p w14:paraId="10EF6A86"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(7 453,7)</w:t>
            </w:r>
          </w:p>
        </w:tc>
        <w:tc>
          <w:tcPr>
            <w:tcW w:w="707" w:type="dxa"/>
            <w:shd w:val="clear" w:color="auto" w:fill="auto"/>
            <w:noWrap/>
            <w:vAlign w:val="bottom"/>
          </w:tcPr>
          <w:p w14:paraId="4BD65ED6"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w:t>
            </w:r>
          </w:p>
        </w:tc>
        <w:tc>
          <w:tcPr>
            <w:tcW w:w="900" w:type="dxa"/>
            <w:shd w:val="clear" w:color="auto" w:fill="auto"/>
            <w:noWrap/>
            <w:vAlign w:val="bottom"/>
          </w:tcPr>
          <w:p w14:paraId="7A010E82"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(7 453,7)</w:t>
            </w:r>
          </w:p>
        </w:tc>
        <w:tc>
          <w:tcPr>
            <w:tcW w:w="900" w:type="dxa"/>
            <w:shd w:val="clear" w:color="auto" w:fill="auto"/>
            <w:noWrap/>
            <w:vAlign w:val="bottom"/>
          </w:tcPr>
          <w:p w14:paraId="1596781B"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(19)</w:t>
            </w:r>
          </w:p>
        </w:tc>
      </w:tr>
      <w:tr w:rsidR="005720FB" w:rsidRPr="00A66C9F" w14:paraId="4363831D" w14:textId="77777777" w:rsidTr="00225C0F">
        <w:trPr>
          <w:cantSplit/>
        </w:trPr>
        <w:tc>
          <w:tcPr>
            <w:tcW w:w="2070" w:type="dxa"/>
            <w:gridSpan w:val="2"/>
            <w:shd w:val="clear" w:color="auto" w:fill="auto"/>
            <w:noWrap/>
            <w:vAlign w:val="bottom"/>
            <w:hideMark/>
          </w:tcPr>
          <w:p w14:paraId="00880312" w14:textId="77777777" w:rsidR="005720FB" w:rsidRPr="00A66C9F" w:rsidRDefault="005720FB" w:rsidP="00107D5D">
            <w:pPr>
              <w:tabs>
                <w:tab w:val="left" w:pos="288"/>
                <w:tab w:val="left" w:pos="576"/>
                <w:tab w:val="left" w:pos="864"/>
                <w:tab w:val="left" w:pos="1152"/>
              </w:tabs>
              <w:suppressAutoHyphens/>
              <w:spacing w:before="40" w:after="40" w:line="210" w:lineRule="exact"/>
              <w:ind w:left="288" w:right="43" w:hanging="288"/>
              <w:rPr>
                <w:sz w:val="17"/>
                <w:lang w:val="fr-FR"/>
              </w:rPr>
            </w:pPr>
            <w:r w:rsidRPr="00A66C9F">
              <w:rPr>
                <w:sz w:val="17"/>
                <w:lang w:val="fr-FR"/>
              </w:rPr>
              <w:tab/>
              <w:t xml:space="preserve">Frais généraux de fonctionnement </w:t>
            </w:r>
          </w:p>
        </w:tc>
        <w:tc>
          <w:tcPr>
            <w:tcW w:w="865" w:type="dxa"/>
            <w:shd w:val="clear" w:color="auto" w:fill="auto"/>
            <w:noWrap/>
            <w:vAlign w:val="bottom"/>
          </w:tcPr>
          <w:p w14:paraId="7CEA881A"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8 226,2 </w:t>
            </w:r>
          </w:p>
        </w:tc>
        <w:tc>
          <w:tcPr>
            <w:tcW w:w="865" w:type="dxa"/>
            <w:shd w:val="clear" w:color="auto" w:fill="auto"/>
            <w:noWrap/>
            <w:vAlign w:val="bottom"/>
          </w:tcPr>
          <w:p w14:paraId="4C7440FC"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w:t>
            </w:r>
          </w:p>
        </w:tc>
        <w:tc>
          <w:tcPr>
            <w:tcW w:w="866" w:type="dxa"/>
            <w:shd w:val="clear" w:color="auto" w:fill="auto"/>
            <w:noWrap/>
            <w:vAlign w:val="bottom"/>
          </w:tcPr>
          <w:p w14:paraId="22EDEC60"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8 226,2 </w:t>
            </w:r>
          </w:p>
        </w:tc>
        <w:tc>
          <w:tcPr>
            <w:tcW w:w="865" w:type="dxa"/>
            <w:gridSpan w:val="2"/>
            <w:shd w:val="clear" w:color="auto" w:fill="auto"/>
            <w:noWrap/>
            <w:vAlign w:val="bottom"/>
          </w:tcPr>
          <w:p w14:paraId="1C91D6C6"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6 152,9 </w:t>
            </w:r>
          </w:p>
        </w:tc>
        <w:tc>
          <w:tcPr>
            <w:tcW w:w="865" w:type="dxa"/>
            <w:shd w:val="clear" w:color="auto" w:fill="auto"/>
            <w:noWrap/>
            <w:vAlign w:val="bottom"/>
          </w:tcPr>
          <w:p w14:paraId="21E930BD"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w:t>
            </w:r>
          </w:p>
        </w:tc>
        <w:tc>
          <w:tcPr>
            <w:tcW w:w="866" w:type="dxa"/>
            <w:shd w:val="clear" w:color="auto" w:fill="auto"/>
            <w:noWrap/>
            <w:vAlign w:val="bottom"/>
          </w:tcPr>
          <w:p w14:paraId="09FF8F17"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6 152,9 </w:t>
            </w:r>
          </w:p>
        </w:tc>
        <w:tc>
          <w:tcPr>
            <w:tcW w:w="865" w:type="dxa"/>
            <w:gridSpan w:val="2"/>
            <w:shd w:val="clear" w:color="auto" w:fill="auto"/>
            <w:noWrap/>
            <w:vAlign w:val="bottom"/>
          </w:tcPr>
          <w:p w14:paraId="2C212353"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4 835,4 </w:t>
            </w:r>
          </w:p>
        </w:tc>
        <w:tc>
          <w:tcPr>
            <w:tcW w:w="866" w:type="dxa"/>
            <w:shd w:val="clear" w:color="auto" w:fill="auto"/>
            <w:noWrap/>
            <w:vAlign w:val="bottom"/>
          </w:tcPr>
          <w:p w14:paraId="0E54E2F3"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w:t>
            </w:r>
          </w:p>
        </w:tc>
        <w:tc>
          <w:tcPr>
            <w:tcW w:w="865" w:type="dxa"/>
            <w:shd w:val="clear" w:color="auto" w:fill="auto"/>
            <w:noWrap/>
            <w:vAlign w:val="bottom"/>
          </w:tcPr>
          <w:p w14:paraId="699335CE"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4 835,4 </w:t>
            </w:r>
          </w:p>
        </w:tc>
        <w:tc>
          <w:tcPr>
            <w:tcW w:w="865" w:type="dxa"/>
            <w:gridSpan w:val="2"/>
            <w:shd w:val="clear" w:color="auto" w:fill="auto"/>
            <w:noWrap/>
            <w:vAlign w:val="bottom"/>
          </w:tcPr>
          <w:p w14:paraId="4F83FC26"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(1 317,5)</w:t>
            </w:r>
          </w:p>
        </w:tc>
        <w:tc>
          <w:tcPr>
            <w:tcW w:w="707" w:type="dxa"/>
            <w:shd w:val="clear" w:color="auto" w:fill="auto"/>
            <w:noWrap/>
            <w:vAlign w:val="bottom"/>
          </w:tcPr>
          <w:p w14:paraId="156D0F41"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 </w:t>
            </w:r>
          </w:p>
        </w:tc>
        <w:tc>
          <w:tcPr>
            <w:tcW w:w="900" w:type="dxa"/>
            <w:shd w:val="clear" w:color="auto" w:fill="auto"/>
            <w:noWrap/>
            <w:vAlign w:val="bottom"/>
          </w:tcPr>
          <w:p w14:paraId="13EEF51A"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(1 317,5)</w:t>
            </w:r>
          </w:p>
        </w:tc>
        <w:tc>
          <w:tcPr>
            <w:tcW w:w="900" w:type="dxa"/>
            <w:shd w:val="clear" w:color="auto" w:fill="auto"/>
            <w:noWrap/>
            <w:vAlign w:val="bottom"/>
          </w:tcPr>
          <w:p w14:paraId="513D9AAB"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(21)</w:t>
            </w:r>
          </w:p>
        </w:tc>
      </w:tr>
      <w:tr w:rsidR="005720FB" w:rsidRPr="00A66C9F" w14:paraId="17332204" w14:textId="77777777" w:rsidTr="00225C0F">
        <w:trPr>
          <w:cantSplit/>
        </w:trPr>
        <w:tc>
          <w:tcPr>
            <w:tcW w:w="2070" w:type="dxa"/>
            <w:gridSpan w:val="2"/>
            <w:shd w:val="clear" w:color="auto" w:fill="auto"/>
            <w:noWrap/>
            <w:vAlign w:val="bottom"/>
          </w:tcPr>
          <w:p w14:paraId="5BA9C613" w14:textId="77777777" w:rsidR="005720FB" w:rsidRPr="00A66C9F" w:rsidRDefault="005720FB" w:rsidP="00107D5D">
            <w:pPr>
              <w:tabs>
                <w:tab w:val="left" w:pos="288"/>
                <w:tab w:val="left" w:pos="576"/>
                <w:tab w:val="left" w:pos="864"/>
                <w:tab w:val="left" w:pos="1152"/>
              </w:tabs>
              <w:suppressAutoHyphens/>
              <w:spacing w:before="40" w:after="40" w:line="210" w:lineRule="exact"/>
              <w:ind w:left="288" w:right="43" w:hanging="288"/>
              <w:rPr>
                <w:sz w:val="17"/>
                <w:lang w:val="fr-FR"/>
              </w:rPr>
            </w:pPr>
            <w:r w:rsidRPr="00A66C9F">
              <w:rPr>
                <w:sz w:val="17"/>
                <w:lang w:val="fr-FR"/>
              </w:rPr>
              <w:tab/>
              <w:t>Fournitures et accessoires</w:t>
            </w:r>
          </w:p>
        </w:tc>
        <w:tc>
          <w:tcPr>
            <w:tcW w:w="865" w:type="dxa"/>
            <w:shd w:val="clear" w:color="auto" w:fill="auto"/>
            <w:noWrap/>
            <w:vAlign w:val="bottom"/>
          </w:tcPr>
          <w:p w14:paraId="1B20BF3D"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62,6</w:t>
            </w:r>
          </w:p>
        </w:tc>
        <w:tc>
          <w:tcPr>
            <w:tcW w:w="865" w:type="dxa"/>
            <w:shd w:val="clear" w:color="auto" w:fill="auto"/>
            <w:noWrap/>
            <w:vAlign w:val="bottom"/>
          </w:tcPr>
          <w:p w14:paraId="5255560F"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w:t>
            </w:r>
          </w:p>
        </w:tc>
        <w:tc>
          <w:tcPr>
            <w:tcW w:w="866" w:type="dxa"/>
            <w:shd w:val="clear" w:color="auto" w:fill="auto"/>
            <w:noWrap/>
            <w:vAlign w:val="bottom"/>
          </w:tcPr>
          <w:p w14:paraId="2ED3618E"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62,6</w:t>
            </w:r>
          </w:p>
        </w:tc>
        <w:tc>
          <w:tcPr>
            <w:tcW w:w="865" w:type="dxa"/>
            <w:gridSpan w:val="2"/>
            <w:shd w:val="clear" w:color="auto" w:fill="auto"/>
            <w:noWrap/>
            <w:vAlign w:val="bottom"/>
          </w:tcPr>
          <w:p w14:paraId="7E5251D5"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63,1</w:t>
            </w:r>
          </w:p>
        </w:tc>
        <w:tc>
          <w:tcPr>
            <w:tcW w:w="865" w:type="dxa"/>
            <w:shd w:val="clear" w:color="auto" w:fill="auto"/>
            <w:noWrap/>
            <w:vAlign w:val="bottom"/>
          </w:tcPr>
          <w:p w14:paraId="371A62FF"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w:t>
            </w:r>
          </w:p>
        </w:tc>
        <w:tc>
          <w:tcPr>
            <w:tcW w:w="866" w:type="dxa"/>
            <w:shd w:val="clear" w:color="auto" w:fill="auto"/>
            <w:noWrap/>
            <w:vAlign w:val="bottom"/>
          </w:tcPr>
          <w:p w14:paraId="0A54ABFA"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63,1</w:t>
            </w:r>
          </w:p>
        </w:tc>
        <w:tc>
          <w:tcPr>
            <w:tcW w:w="865" w:type="dxa"/>
            <w:gridSpan w:val="2"/>
            <w:shd w:val="clear" w:color="auto" w:fill="auto"/>
            <w:noWrap/>
            <w:vAlign w:val="bottom"/>
          </w:tcPr>
          <w:p w14:paraId="6D565967"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46,6</w:t>
            </w:r>
          </w:p>
        </w:tc>
        <w:tc>
          <w:tcPr>
            <w:tcW w:w="866" w:type="dxa"/>
            <w:shd w:val="clear" w:color="auto" w:fill="auto"/>
            <w:noWrap/>
            <w:vAlign w:val="bottom"/>
          </w:tcPr>
          <w:p w14:paraId="24B0BE7A"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 </w:t>
            </w:r>
          </w:p>
        </w:tc>
        <w:tc>
          <w:tcPr>
            <w:tcW w:w="865" w:type="dxa"/>
            <w:shd w:val="clear" w:color="auto" w:fill="auto"/>
            <w:noWrap/>
            <w:vAlign w:val="bottom"/>
          </w:tcPr>
          <w:p w14:paraId="2B88241D"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46,6</w:t>
            </w:r>
          </w:p>
        </w:tc>
        <w:tc>
          <w:tcPr>
            <w:tcW w:w="865" w:type="dxa"/>
            <w:gridSpan w:val="2"/>
            <w:shd w:val="clear" w:color="auto" w:fill="auto"/>
            <w:noWrap/>
            <w:vAlign w:val="bottom"/>
          </w:tcPr>
          <w:p w14:paraId="20DE458D"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(16,5)</w:t>
            </w:r>
          </w:p>
        </w:tc>
        <w:tc>
          <w:tcPr>
            <w:tcW w:w="707" w:type="dxa"/>
            <w:shd w:val="clear" w:color="auto" w:fill="auto"/>
            <w:noWrap/>
            <w:vAlign w:val="bottom"/>
          </w:tcPr>
          <w:p w14:paraId="0A1F03F9"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w:t>
            </w:r>
          </w:p>
        </w:tc>
        <w:tc>
          <w:tcPr>
            <w:tcW w:w="900" w:type="dxa"/>
            <w:shd w:val="clear" w:color="auto" w:fill="auto"/>
            <w:noWrap/>
            <w:vAlign w:val="bottom"/>
          </w:tcPr>
          <w:p w14:paraId="62E82173"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(16,5)</w:t>
            </w:r>
          </w:p>
        </w:tc>
        <w:tc>
          <w:tcPr>
            <w:tcW w:w="900" w:type="dxa"/>
            <w:shd w:val="clear" w:color="auto" w:fill="auto"/>
            <w:noWrap/>
            <w:vAlign w:val="bottom"/>
          </w:tcPr>
          <w:p w14:paraId="7E58293E"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(26)</w:t>
            </w:r>
          </w:p>
        </w:tc>
      </w:tr>
      <w:tr w:rsidR="005720FB" w:rsidRPr="00A66C9F" w14:paraId="01BDEAD2" w14:textId="77777777" w:rsidTr="00225C0F">
        <w:trPr>
          <w:cantSplit/>
        </w:trPr>
        <w:tc>
          <w:tcPr>
            <w:tcW w:w="2070" w:type="dxa"/>
            <w:gridSpan w:val="2"/>
            <w:tcBorders>
              <w:bottom w:val="single" w:sz="4" w:space="0" w:color="auto"/>
            </w:tcBorders>
            <w:shd w:val="clear" w:color="auto" w:fill="auto"/>
            <w:noWrap/>
            <w:vAlign w:val="bottom"/>
            <w:hideMark/>
          </w:tcPr>
          <w:p w14:paraId="1FACBBE9" w14:textId="77777777" w:rsidR="005720FB" w:rsidRPr="00A66C9F" w:rsidRDefault="005720FB" w:rsidP="00107D5D">
            <w:pPr>
              <w:tabs>
                <w:tab w:val="left" w:pos="288"/>
                <w:tab w:val="left" w:pos="576"/>
                <w:tab w:val="left" w:pos="864"/>
                <w:tab w:val="left" w:pos="1152"/>
              </w:tabs>
              <w:suppressAutoHyphens/>
              <w:spacing w:before="40" w:after="81" w:line="210" w:lineRule="exact"/>
              <w:ind w:right="43"/>
              <w:rPr>
                <w:sz w:val="17"/>
                <w:lang w:val="fr-FR"/>
              </w:rPr>
            </w:pPr>
            <w:r w:rsidRPr="00A66C9F">
              <w:rPr>
                <w:sz w:val="17"/>
                <w:lang w:val="fr-FR"/>
              </w:rPr>
              <w:tab/>
              <w:t>Mobilier et matériel</w:t>
            </w:r>
          </w:p>
        </w:tc>
        <w:tc>
          <w:tcPr>
            <w:tcW w:w="865" w:type="dxa"/>
            <w:tcBorders>
              <w:bottom w:val="single" w:sz="4" w:space="0" w:color="auto"/>
            </w:tcBorders>
            <w:shd w:val="clear" w:color="auto" w:fill="auto"/>
            <w:noWrap/>
            <w:vAlign w:val="bottom"/>
          </w:tcPr>
          <w:p w14:paraId="40B1A5EC" w14:textId="77777777" w:rsidR="005720FB" w:rsidRPr="00A66C9F" w:rsidRDefault="005720FB"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1 409,0 </w:t>
            </w:r>
          </w:p>
        </w:tc>
        <w:tc>
          <w:tcPr>
            <w:tcW w:w="865" w:type="dxa"/>
            <w:tcBorders>
              <w:bottom w:val="single" w:sz="4" w:space="0" w:color="auto"/>
            </w:tcBorders>
            <w:shd w:val="clear" w:color="auto" w:fill="auto"/>
            <w:noWrap/>
            <w:vAlign w:val="bottom"/>
          </w:tcPr>
          <w:p w14:paraId="7A372520" w14:textId="77777777" w:rsidR="005720FB" w:rsidRPr="00A66C9F" w:rsidRDefault="005720FB"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 </w:t>
            </w:r>
          </w:p>
        </w:tc>
        <w:tc>
          <w:tcPr>
            <w:tcW w:w="866" w:type="dxa"/>
            <w:tcBorders>
              <w:bottom w:val="single" w:sz="4" w:space="0" w:color="auto"/>
            </w:tcBorders>
            <w:shd w:val="clear" w:color="auto" w:fill="auto"/>
            <w:noWrap/>
            <w:vAlign w:val="bottom"/>
          </w:tcPr>
          <w:p w14:paraId="30982706" w14:textId="77777777" w:rsidR="005720FB" w:rsidRPr="00A66C9F" w:rsidRDefault="005720FB"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1 409,0 </w:t>
            </w:r>
          </w:p>
        </w:tc>
        <w:tc>
          <w:tcPr>
            <w:tcW w:w="865" w:type="dxa"/>
            <w:gridSpan w:val="2"/>
            <w:tcBorders>
              <w:bottom w:val="single" w:sz="4" w:space="0" w:color="auto"/>
            </w:tcBorders>
            <w:shd w:val="clear" w:color="auto" w:fill="auto"/>
            <w:noWrap/>
            <w:vAlign w:val="bottom"/>
          </w:tcPr>
          <w:p w14:paraId="581DE852" w14:textId="77777777" w:rsidR="005720FB" w:rsidRPr="00A66C9F" w:rsidRDefault="005720FB"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809,0 </w:t>
            </w:r>
          </w:p>
        </w:tc>
        <w:tc>
          <w:tcPr>
            <w:tcW w:w="865" w:type="dxa"/>
            <w:tcBorders>
              <w:bottom w:val="single" w:sz="4" w:space="0" w:color="auto"/>
            </w:tcBorders>
            <w:shd w:val="clear" w:color="auto" w:fill="auto"/>
            <w:noWrap/>
            <w:vAlign w:val="bottom"/>
          </w:tcPr>
          <w:p w14:paraId="0E667526" w14:textId="77777777" w:rsidR="005720FB" w:rsidRPr="00A66C9F" w:rsidRDefault="005720FB"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w:t>
            </w:r>
          </w:p>
        </w:tc>
        <w:tc>
          <w:tcPr>
            <w:tcW w:w="866" w:type="dxa"/>
            <w:tcBorders>
              <w:bottom w:val="single" w:sz="4" w:space="0" w:color="auto"/>
            </w:tcBorders>
            <w:shd w:val="clear" w:color="auto" w:fill="auto"/>
            <w:noWrap/>
            <w:vAlign w:val="bottom"/>
          </w:tcPr>
          <w:p w14:paraId="0BA8E0BD" w14:textId="77777777" w:rsidR="005720FB" w:rsidRPr="00A66C9F" w:rsidRDefault="005720FB"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809,0 </w:t>
            </w:r>
          </w:p>
        </w:tc>
        <w:tc>
          <w:tcPr>
            <w:tcW w:w="865" w:type="dxa"/>
            <w:gridSpan w:val="2"/>
            <w:tcBorders>
              <w:bottom w:val="single" w:sz="4" w:space="0" w:color="auto"/>
            </w:tcBorders>
            <w:shd w:val="clear" w:color="auto" w:fill="auto"/>
            <w:noWrap/>
            <w:vAlign w:val="bottom"/>
          </w:tcPr>
          <w:p w14:paraId="68C27365" w14:textId="77777777" w:rsidR="005720FB" w:rsidRPr="00A66C9F" w:rsidRDefault="005720FB"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633,4 </w:t>
            </w:r>
          </w:p>
        </w:tc>
        <w:tc>
          <w:tcPr>
            <w:tcW w:w="866" w:type="dxa"/>
            <w:tcBorders>
              <w:bottom w:val="single" w:sz="4" w:space="0" w:color="auto"/>
            </w:tcBorders>
            <w:shd w:val="clear" w:color="auto" w:fill="auto"/>
            <w:noWrap/>
            <w:vAlign w:val="bottom"/>
          </w:tcPr>
          <w:p w14:paraId="06D1E780" w14:textId="77777777" w:rsidR="005720FB" w:rsidRPr="00A66C9F" w:rsidRDefault="005720FB"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w:t>
            </w:r>
          </w:p>
        </w:tc>
        <w:tc>
          <w:tcPr>
            <w:tcW w:w="865" w:type="dxa"/>
            <w:tcBorders>
              <w:bottom w:val="single" w:sz="4" w:space="0" w:color="auto"/>
            </w:tcBorders>
            <w:shd w:val="clear" w:color="auto" w:fill="auto"/>
            <w:noWrap/>
            <w:vAlign w:val="bottom"/>
          </w:tcPr>
          <w:p w14:paraId="3DAACC01" w14:textId="77777777" w:rsidR="005720FB" w:rsidRPr="00A66C9F" w:rsidRDefault="005720FB"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633,4 </w:t>
            </w:r>
          </w:p>
        </w:tc>
        <w:tc>
          <w:tcPr>
            <w:tcW w:w="865" w:type="dxa"/>
            <w:gridSpan w:val="2"/>
            <w:tcBorders>
              <w:bottom w:val="single" w:sz="4" w:space="0" w:color="auto"/>
            </w:tcBorders>
            <w:shd w:val="clear" w:color="auto" w:fill="auto"/>
            <w:noWrap/>
            <w:vAlign w:val="bottom"/>
          </w:tcPr>
          <w:p w14:paraId="5C61062C" w14:textId="77777777" w:rsidR="005720FB" w:rsidRPr="00A66C9F" w:rsidRDefault="005720FB"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(175,6)</w:t>
            </w:r>
          </w:p>
        </w:tc>
        <w:tc>
          <w:tcPr>
            <w:tcW w:w="707" w:type="dxa"/>
            <w:tcBorders>
              <w:bottom w:val="single" w:sz="4" w:space="0" w:color="auto"/>
            </w:tcBorders>
            <w:shd w:val="clear" w:color="auto" w:fill="auto"/>
            <w:noWrap/>
            <w:vAlign w:val="bottom"/>
          </w:tcPr>
          <w:p w14:paraId="1136AE96" w14:textId="77777777" w:rsidR="005720FB" w:rsidRPr="00A66C9F" w:rsidRDefault="005720FB"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w:t>
            </w:r>
          </w:p>
        </w:tc>
        <w:tc>
          <w:tcPr>
            <w:tcW w:w="900" w:type="dxa"/>
            <w:tcBorders>
              <w:bottom w:val="single" w:sz="4" w:space="0" w:color="auto"/>
            </w:tcBorders>
            <w:shd w:val="clear" w:color="auto" w:fill="auto"/>
            <w:noWrap/>
            <w:vAlign w:val="bottom"/>
          </w:tcPr>
          <w:p w14:paraId="79D479D8" w14:textId="77777777" w:rsidR="005720FB" w:rsidRPr="00A66C9F" w:rsidRDefault="005720FB"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(175,6)</w:t>
            </w:r>
          </w:p>
        </w:tc>
        <w:tc>
          <w:tcPr>
            <w:tcW w:w="900" w:type="dxa"/>
            <w:tcBorders>
              <w:bottom w:val="single" w:sz="4" w:space="0" w:color="auto"/>
            </w:tcBorders>
            <w:shd w:val="clear" w:color="auto" w:fill="auto"/>
            <w:noWrap/>
            <w:vAlign w:val="bottom"/>
          </w:tcPr>
          <w:p w14:paraId="67534D00" w14:textId="77777777" w:rsidR="005720FB" w:rsidRPr="00A66C9F" w:rsidRDefault="005720FB"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(22)</w:t>
            </w:r>
          </w:p>
        </w:tc>
      </w:tr>
      <w:tr w:rsidR="005720FB" w:rsidRPr="00A66C9F" w14:paraId="5576599A" w14:textId="77777777" w:rsidTr="00225C0F">
        <w:trPr>
          <w:cantSplit/>
        </w:trPr>
        <w:tc>
          <w:tcPr>
            <w:tcW w:w="2070" w:type="dxa"/>
            <w:gridSpan w:val="2"/>
            <w:tcBorders>
              <w:top w:val="single" w:sz="4" w:space="0" w:color="auto"/>
              <w:bottom w:val="single" w:sz="4" w:space="0" w:color="auto"/>
            </w:tcBorders>
            <w:shd w:val="clear" w:color="auto" w:fill="auto"/>
            <w:noWrap/>
            <w:vAlign w:val="bottom"/>
            <w:hideMark/>
          </w:tcPr>
          <w:p w14:paraId="6DE62A64" w14:textId="77777777" w:rsidR="005720FB" w:rsidRPr="00A66C9F" w:rsidRDefault="005720FB" w:rsidP="00107D5D">
            <w:pPr>
              <w:tabs>
                <w:tab w:val="left" w:pos="288"/>
                <w:tab w:val="left" w:pos="576"/>
                <w:tab w:val="left" w:pos="864"/>
                <w:tab w:val="left" w:pos="1152"/>
              </w:tabs>
              <w:suppressAutoHyphens/>
              <w:spacing w:before="81" w:after="81" w:line="210" w:lineRule="exact"/>
              <w:ind w:right="40"/>
              <w:rPr>
                <w:b/>
                <w:sz w:val="17"/>
                <w:lang w:val="fr-FR"/>
              </w:rPr>
            </w:pPr>
            <w:r w:rsidRPr="00A66C9F">
              <w:rPr>
                <w:b/>
                <w:sz w:val="17"/>
                <w:lang w:val="fr-FR"/>
              </w:rPr>
              <w:tab/>
              <w:t>Total partiel</w:t>
            </w:r>
          </w:p>
        </w:tc>
        <w:tc>
          <w:tcPr>
            <w:tcW w:w="865" w:type="dxa"/>
            <w:tcBorders>
              <w:top w:val="single" w:sz="4" w:space="0" w:color="auto"/>
              <w:bottom w:val="single" w:sz="4" w:space="0" w:color="auto"/>
            </w:tcBorders>
            <w:shd w:val="clear" w:color="auto" w:fill="auto"/>
            <w:noWrap/>
            <w:vAlign w:val="bottom"/>
          </w:tcPr>
          <w:p w14:paraId="31F52FB3" w14:textId="77777777" w:rsidR="005720FB" w:rsidRPr="00A66C9F" w:rsidRDefault="005720FB"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87 269,8 </w:t>
            </w:r>
          </w:p>
        </w:tc>
        <w:tc>
          <w:tcPr>
            <w:tcW w:w="865" w:type="dxa"/>
            <w:tcBorders>
              <w:top w:val="single" w:sz="4" w:space="0" w:color="auto"/>
              <w:bottom w:val="single" w:sz="4" w:space="0" w:color="auto"/>
            </w:tcBorders>
            <w:shd w:val="clear" w:color="auto" w:fill="auto"/>
            <w:noWrap/>
            <w:vAlign w:val="bottom"/>
          </w:tcPr>
          <w:p w14:paraId="2633A9B1" w14:textId="77777777" w:rsidR="005720FB" w:rsidRPr="00A66C9F" w:rsidRDefault="005720FB"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w:t>
            </w:r>
          </w:p>
        </w:tc>
        <w:tc>
          <w:tcPr>
            <w:tcW w:w="866" w:type="dxa"/>
            <w:tcBorders>
              <w:top w:val="single" w:sz="4" w:space="0" w:color="auto"/>
              <w:bottom w:val="single" w:sz="4" w:space="0" w:color="auto"/>
            </w:tcBorders>
            <w:shd w:val="clear" w:color="auto" w:fill="auto"/>
            <w:noWrap/>
            <w:vAlign w:val="bottom"/>
          </w:tcPr>
          <w:p w14:paraId="27019F9A" w14:textId="77777777" w:rsidR="005720FB" w:rsidRPr="00A66C9F" w:rsidRDefault="005720FB"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87 269,8 </w:t>
            </w:r>
          </w:p>
        </w:tc>
        <w:tc>
          <w:tcPr>
            <w:tcW w:w="865" w:type="dxa"/>
            <w:gridSpan w:val="2"/>
            <w:tcBorders>
              <w:top w:val="single" w:sz="4" w:space="0" w:color="auto"/>
              <w:bottom w:val="single" w:sz="4" w:space="0" w:color="auto"/>
            </w:tcBorders>
            <w:shd w:val="clear" w:color="auto" w:fill="auto"/>
            <w:noWrap/>
            <w:vAlign w:val="bottom"/>
          </w:tcPr>
          <w:p w14:paraId="0454A88C" w14:textId="77777777" w:rsidR="005720FB" w:rsidRPr="00A66C9F" w:rsidRDefault="005720FB"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79 130,5 </w:t>
            </w:r>
          </w:p>
        </w:tc>
        <w:tc>
          <w:tcPr>
            <w:tcW w:w="865" w:type="dxa"/>
            <w:tcBorders>
              <w:top w:val="single" w:sz="4" w:space="0" w:color="auto"/>
              <w:bottom w:val="single" w:sz="4" w:space="0" w:color="auto"/>
            </w:tcBorders>
            <w:shd w:val="clear" w:color="auto" w:fill="auto"/>
            <w:noWrap/>
            <w:vAlign w:val="bottom"/>
          </w:tcPr>
          <w:p w14:paraId="3ED2AEEB" w14:textId="77777777" w:rsidR="005720FB" w:rsidRPr="00A66C9F" w:rsidRDefault="005720FB"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w:t>
            </w:r>
          </w:p>
        </w:tc>
        <w:tc>
          <w:tcPr>
            <w:tcW w:w="866" w:type="dxa"/>
            <w:tcBorders>
              <w:top w:val="single" w:sz="4" w:space="0" w:color="auto"/>
              <w:bottom w:val="single" w:sz="4" w:space="0" w:color="auto"/>
            </w:tcBorders>
            <w:shd w:val="clear" w:color="auto" w:fill="auto"/>
            <w:noWrap/>
            <w:vAlign w:val="bottom"/>
          </w:tcPr>
          <w:p w14:paraId="338D3FB8" w14:textId="77777777" w:rsidR="005720FB" w:rsidRPr="00A66C9F" w:rsidRDefault="005720FB"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79 130,5 </w:t>
            </w:r>
          </w:p>
        </w:tc>
        <w:tc>
          <w:tcPr>
            <w:tcW w:w="865" w:type="dxa"/>
            <w:gridSpan w:val="2"/>
            <w:tcBorders>
              <w:top w:val="single" w:sz="4" w:space="0" w:color="auto"/>
              <w:bottom w:val="single" w:sz="4" w:space="0" w:color="auto"/>
            </w:tcBorders>
            <w:shd w:val="clear" w:color="auto" w:fill="auto"/>
            <w:noWrap/>
            <w:vAlign w:val="bottom"/>
          </w:tcPr>
          <w:p w14:paraId="4CD24139" w14:textId="77777777" w:rsidR="005720FB" w:rsidRPr="00A66C9F" w:rsidRDefault="005720FB"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68 883,3 </w:t>
            </w:r>
          </w:p>
        </w:tc>
        <w:tc>
          <w:tcPr>
            <w:tcW w:w="866" w:type="dxa"/>
            <w:tcBorders>
              <w:top w:val="single" w:sz="4" w:space="0" w:color="auto"/>
              <w:bottom w:val="single" w:sz="4" w:space="0" w:color="auto"/>
            </w:tcBorders>
            <w:shd w:val="clear" w:color="auto" w:fill="auto"/>
            <w:noWrap/>
            <w:vAlign w:val="bottom"/>
          </w:tcPr>
          <w:p w14:paraId="391CF735" w14:textId="77777777" w:rsidR="005720FB" w:rsidRPr="00A66C9F" w:rsidRDefault="005720FB"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w:t>
            </w:r>
          </w:p>
        </w:tc>
        <w:tc>
          <w:tcPr>
            <w:tcW w:w="865" w:type="dxa"/>
            <w:tcBorders>
              <w:top w:val="single" w:sz="4" w:space="0" w:color="auto"/>
              <w:bottom w:val="single" w:sz="4" w:space="0" w:color="auto"/>
            </w:tcBorders>
            <w:shd w:val="clear" w:color="auto" w:fill="auto"/>
            <w:noWrap/>
            <w:vAlign w:val="bottom"/>
          </w:tcPr>
          <w:p w14:paraId="27447B61" w14:textId="77777777" w:rsidR="005720FB" w:rsidRPr="00A66C9F" w:rsidRDefault="005720FB"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68 883,3 </w:t>
            </w:r>
          </w:p>
        </w:tc>
        <w:tc>
          <w:tcPr>
            <w:tcW w:w="865" w:type="dxa"/>
            <w:gridSpan w:val="2"/>
            <w:tcBorders>
              <w:top w:val="single" w:sz="4" w:space="0" w:color="auto"/>
              <w:bottom w:val="single" w:sz="4" w:space="0" w:color="auto"/>
            </w:tcBorders>
            <w:shd w:val="clear" w:color="auto" w:fill="auto"/>
            <w:noWrap/>
            <w:vAlign w:val="bottom"/>
          </w:tcPr>
          <w:p w14:paraId="093E0AE3" w14:textId="77777777" w:rsidR="005720FB" w:rsidRPr="00A66C9F" w:rsidRDefault="005720FB"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(10 247,2)</w:t>
            </w:r>
          </w:p>
        </w:tc>
        <w:tc>
          <w:tcPr>
            <w:tcW w:w="707" w:type="dxa"/>
            <w:tcBorders>
              <w:top w:val="single" w:sz="4" w:space="0" w:color="auto"/>
              <w:bottom w:val="single" w:sz="4" w:space="0" w:color="auto"/>
            </w:tcBorders>
            <w:shd w:val="clear" w:color="auto" w:fill="auto"/>
            <w:noWrap/>
            <w:vAlign w:val="bottom"/>
          </w:tcPr>
          <w:p w14:paraId="2C34675B" w14:textId="77777777" w:rsidR="005720FB" w:rsidRPr="00A66C9F" w:rsidRDefault="005720FB"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w:t>
            </w:r>
          </w:p>
        </w:tc>
        <w:tc>
          <w:tcPr>
            <w:tcW w:w="900" w:type="dxa"/>
            <w:tcBorders>
              <w:top w:val="single" w:sz="4" w:space="0" w:color="auto"/>
              <w:bottom w:val="single" w:sz="4" w:space="0" w:color="auto"/>
            </w:tcBorders>
            <w:shd w:val="clear" w:color="auto" w:fill="auto"/>
            <w:noWrap/>
            <w:vAlign w:val="bottom"/>
          </w:tcPr>
          <w:p w14:paraId="716DCD12" w14:textId="77777777" w:rsidR="005720FB" w:rsidRPr="00A66C9F" w:rsidRDefault="005720FB"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(10 247,2)</w:t>
            </w:r>
          </w:p>
        </w:tc>
        <w:tc>
          <w:tcPr>
            <w:tcW w:w="900" w:type="dxa"/>
            <w:tcBorders>
              <w:top w:val="single" w:sz="4" w:space="0" w:color="auto"/>
              <w:bottom w:val="single" w:sz="4" w:space="0" w:color="auto"/>
            </w:tcBorders>
            <w:shd w:val="clear" w:color="auto" w:fill="auto"/>
            <w:noWrap/>
            <w:vAlign w:val="bottom"/>
          </w:tcPr>
          <w:p w14:paraId="1C612287" w14:textId="77777777" w:rsidR="005720FB" w:rsidRPr="00A66C9F" w:rsidRDefault="005720FB"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(13)</w:t>
            </w:r>
          </w:p>
        </w:tc>
      </w:tr>
      <w:tr w:rsidR="005720FB" w:rsidRPr="00A66C9F" w14:paraId="4F831AA4" w14:textId="77777777" w:rsidTr="00225C0F">
        <w:trPr>
          <w:cantSplit/>
        </w:trPr>
        <w:tc>
          <w:tcPr>
            <w:tcW w:w="2070" w:type="dxa"/>
            <w:gridSpan w:val="2"/>
            <w:tcBorders>
              <w:top w:val="single" w:sz="4" w:space="0" w:color="auto"/>
            </w:tcBorders>
            <w:shd w:val="clear" w:color="auto" w:fill="auto"/>
            <w:noWrap/>
            <w:vAlign w:val="bottom"/>
          </w:tcPr>
          <w:p w14:paraId="38584A81" w14:textId="77777777" w:rsidR="005720FB" w:rsidRPr="00A66C9F" w:rsidRDefault="005720FB" w:rsidP="00107D5D">
            <w:pPr>
              <w:tabs>
                <w:tab w:val="left" w:pos="288"/>
                <w:tab w:val="left" w:pos="576"/>
                <w:tab w:val="left" w:pos="864"/>
                <w:tab w:val="left" w:pos="1152"/>
              </w:tabs>
              <w:suppressAutoHyphens/>
              <w:spacing w:before="81" w:after="40" w:line="210" w:lineRule="exact"/>
              <w:ind w:right="43"/>
              <w:rPr>
                <w:b/>
                <w:bCs/>
                <w:sz w:val="17"/>
                <w:lang w:val="fr-FR"/>
              </w:rPr>
            </w:pPr>
            <w:r w:rsidRPr="00A66C9F">
              <w:rPr>
                <w:b/>
                <w:bCs/>
                <w:sz w:val="17"/>
                <w:lang w:val="fr-FR"/>
              </w:rPr>
              <w:t>C.</w:t>
            </w:r>
            <w:r w:rsidRPr="00A66C9F">
              <w:rPr>
                <w:b/>
                <w:bCs/>
                <w:sz w:val="17"/>
                <w:lang w:val="fr-FR"/>
              </w:rPr>
              <w:tab/>
              <w:t>Audit</w:t>
            </w:r>
          </w:p>
        </w:tc>
        <w:tc>
          <w:tcPr>
            <w:tcW w:w="865" w:type="dxa"/>
            <w:tcBorders>
              <w:top w:val="single" w:sz="4" w:space="0" w:color="auto"/>
            </w:tcBorders>
            <w:shd w:val="clear" w:color="auto" w:fill="auto"/>
            <w:noWrap/>
            <w:vAlign w:val="bottom"/>
          </w:tcPr>
          <w:p w14:paraId="2E2EFD5F" w14:textId="77777777" w:rsidR="005720FB" w:rsidRPr="00A66C9F" w:rsidRDefault="005720FB" w:rsidP="00107D5D">
            <w:pPr>
              <w:tabs>
                <w:tab w:val="left" w:pos="288"/>
                <w:tab w:val="left" w:pos="576"/>
                <w:tab w:val="left" w:pos="864"/>
                <w:tab w:val="left" w:pos="1152"/>
              </w:tabs>
              <w:suppressAutoHyphens/>
              <w:spacing w:before="81" w:after="40" w:line="210" w:lineRule="exact"/>
              <w:ind w:right="43"/>
              <w:jc w:val="right"/>
              <w:rPr>
                <w:sz w:val="17"/>
                <w:lang w:val="fr-FR"/>
              </w:rPr>
            </w:pPr>
          </w:p>
        </w:tc>
        <w:tc>
          <w:tcPr>
            <w:tcW w:w="865" w:type="dxa"/>
            <w:tcBorders>
              <w:top w:val="single" w:sz="4" w:space="0" w:color="auto"/>
            </w:tcBorders>
            <w:shd w:val="clear" w:color="auto" w:fill="auto"/>
            <w:noWrap/>
            <w:vAlign w:val="bottom"/>
          </w:tcPr>
          <w:p w14:paraId="5BBAFC6D" w14:textId="77777777" w:rsidR="005720FB" w:rsidRPr="00A66C9F" w:rsidRDefault="005720FB" w:rsidP="00107D5D">
            <w:pPr>
              <w:tabs>
                <w:tab w:val="left" w:pos="288"/>
                <w:tab w:val="left" w:pos="576"/>
                <w:tab w:val="left" w:pos="864"/>
                <w:tab w:val="left" w:pos="1152"/>
              </w:tabs>
              <w:suppressAutoHyphens/>
              <w:spacing w:before="81" w:after="40" w:line="210" w:lineRule="exact"/>
              <w:ind w:right="43"/>
              <w:jc w:val="right"/>
              <w:rPr>
                <w:sz w:val="17"/>
                <w:lang w:val="fr-FR"/>
              </w:rPr>
            </w:pPr>
          </w:p>
        </w:tc>
        <w:tc>
          <w:tcPr>
            <w:tcW w:w="866" w:type="dxa"/>
            <w:tcBorders>
              <w:top w:val="single" w:sz="4" w:space="0" w:color="auto"/>
            </w:tcBorders>
            <w:shd w:val="clear" w:color="auto" w:fill="auto"/>
            <w:noWrap/>
            <w:vAlign w:val="bottom"/>
          </w:tcPr>
          <w:p w14:paraId="2F72D66A" w14:textId="77777777" w:rsidR="005720FB" w:rsidRPr="00A66C9F" w:rsidRDefault="005720FB" w:rsidP="00107D5D">
            <w:pPr>
              <w:tabs>
                <w:tab w:val="left" w:pos="288"/>
                <w:tab w:val="left" w:pos="576"/>
                <w:tab w:val="left" w:pos="864"/>
                <w:tab w:val="left" w:pos="1152"/>
              </w:tabs>
              <w:suppressAutoHyphens/>
              <w:spacing w:before="81" w:after="40" w:line="210" w:lineRule="exact"/>
              <w:ind w:right="43"/>
              <w:jc w:val="right"/>
              <w:rPr>
                <w:sz w:val="17"/>
                <w:lang w:val="fr-FR"/>
              </w:rPr>
            </w:pPr>
          </w:p>
        </w:tc>
        <w:tc>
          <w:tcPr>
            <w:tcW w:w="865" w:type="dxa"/>
            <w:gridSpan w:val="2"/>
            <w:tcBorders>
              <w:top w:val="single" w:sz="4" w:space="0" w:color="auto"/>
            </w:tcBorders>
            <w:shd w:val="clear" w:color="auto" w:fill="auto"/>
            <w:noWrap/>
            <w:vAlign w:val="bottom"/>
          </w:tcPr>
          <w:p w14:paraId="63985ACD" w14:textId="77777777" w:rsidR="005720FB" w:rsidRPr="00A66C9F" w:rsidRDefault="005720FB" w:rsidP="00107D5D">
            <w:pPr>
              <w:tabs>
                <w:tab w:val="left" w:pos="288"/>
                <w:tab w:val="left" w:pos="576"/>
                <w:tab w:val="left" w:pos="864"/>
                <w:tab w:val="left" w:pos="1152"/>
              </w:tabs>
              <w:suppressAutoHyphens/>
              <w:spacing w:before="81" w:after="40" w:line="210" w:lineRule="exact"/>
              <w:ind w:right="43"/>
              <w:jc w:val="right"/>
              <w:rPr>
                <w:sz w:val="17"/>
                <w:lang w:val="fr-FR"/>
              </w:rPr>
            </w:pPr>
          </w:p>
        </w:tc>
        <w:tc>
          <w:tcPr>
            <w:tcW w:w="865" w:type="dxa"/>
            <w:tcBorders>
              <w:top w:val="single" w:sz="4" w:space="0" w:color="auto"/>
            </w:tcBorders>
            <w:shd w:val="clear" w:color="auto" w:fill="auto"/>
            <w:noWrap/>
            <w:vAlign w:val="bottom"/>
          </w:tcPr>
          <w:p w14:paraId="66E05073" w14:textId="77777777" w:rsidR="005720FB" w:rsidRPr="00A66C9F" w:rsidRDefault="005720FB" w:rsidP="00107D5D">
            <w:pPr>
              <w:tabs>
                <w:tab w:val="left" w:pos="288"/>
                <w:tab w:val="left" w:pos="576"/>
                <w:tab w:val="left" w:pos="864"/>
                <w:tab w:val="left" w:pos="1152"/>
              </w:tabs>
              <w:suppressAutoHyphens/>
              <w:spacing w:before="81" w:after="40" w:line="210" w:lineRule="exact"/>
              <w:ind w:right="43"/>
              <w:jc w:val="right"/>
              <w:rPr>
                <w:sz w:val="17"/>
                <w:lang w:val="fr-FR"/>
              </w:rPr>
            </w:pPr>
          </w:p>
        </w:tc>
        <w:tc>
          <w:tcPr>
            <w:tcW w:w="866" w:type="dxa"/>
            <w:tcBorders>
              <w:top w:val="single" w:sz="4" w:space="0" w:color="auto"/>
            </w:tcBorders>
            <w:shd w:val="clear" w:color="auto" w:fill="auto"/>
            <w:noWrap/>
            <w:vAlign w:val="bottom"/>
          </w:tcPr>
          <w:p w14:paraId="467B2DC9" w14:textId="77777777" w:rsidR="005720FB" w:rsidRPr="00A66C9F" w:rsidRDefault="005720FB" w:rsidP="00107D5D">
            <w:pPr>
              <w:tabs>
                <w:tab w:val="left" w:pos="288"/>
                <w:tab w:val="left" w:pos="576"/>
                <w:tab w:val="left" w:pos="864"/>
                <w:tab w:val="left" w:pos="1152"/>
              </w:tabs>
              <w:suppressAutoHyphens/>
              <w:spacing w:before="81" w:after="40" w:line="210" w:lineRule="exact"/>
              <w:ind w:right="43"/>
              <w:jc w:val="right"/>
              <w:rPr>
                <w:sz w:val="17"/>
                <w:lang w:val="fr-FR"/>
              </w:rPr>
            </w:pPr>
          </w:p>
        </w:tc>
        <w:tc>
          <w:tcPr>
            <w:tcW w:w="865" w:type="dxa"/>
            <w:gridSpan w:val="2"/>
            <w:tcBorders>
              <w:top w:val="single" w:sz="4" w:space="0" w:color="auto"/>
            </w:tcBorders>
            <w:shd w:val="clear" w:color="auto" w:fill="auto"/>
            <w:noWrap/>
            <w:vAlign w:val="bottom"/>
          </w:tcPr>
          <w:p w14:paraId="7E9841F8" w14:textId="77777777" w:rsidR="005720FB" w:rsidRPr="00A66C9F" w:rsidRDefault="005720FB" w:rsidP="00107D5D">
            <w:pPr>
              <w:tabs>
                <w:tab w:val="left" w:pos="288"/>
                <w:tab w:val="left" w:pos="576"/>
                <w:tab w:val="left" w:pos="864"/>
                <w:tab w:val="left" w:pos="1152"/>
              </w:tabs>
              <w:suppressAutoHyphens/>
              <w:spacing w:before="81" w:after="40" w:line="210" w:lineRule="exact"/>
              <w:ind w:right="43"/>
              <w:jc w:val="right"/>
              <w:rPr>
                <w:sz w:val="17"/>
                <w:lang w:val="fr-FR"/>
              </w:rPr>
            </w:pPr>
          </w:p>
        </w:tc>
        <w:tc>
          <w:tcPr>
            <w:tcW w:w="866" w:type="dxa"/>
            <w:tcBorders>
              <w:top w:val="single" w:sz="4" w:space="0" w:color="auto"/>
            </w:tcBorders>
            <w:shd w:val="clear" w:color="auto" w:fill="auto"/>
            <w:noWrap/>
            <w:vAlign w:val="bottom"/>
          </w:tcPr>
          <w:p w14:paraId="3227D203" w14:textId="77777777" w:rsidR="005720FB" w:rsidRPr="00A66C9F" w:rsidRDefault="005720FB" w:rsidP="00107D5D">
            <w:pPr>
              <w:tabs>
                <w:tab w:val="left" w:pos="288"/>
                <w:tab w:val="left" w:pos="576"/>
                <w:tab w:val="left" w:pos="864"/>
                <w:tab w:val="left" w:pos="1152"/>
              </w:tabs>
              <w:suppressAutoHyphens/>
              <w:spacing w:before="81" w:after="40" w:line="210" w:lineRule="exact"/>
              <w:ind w:right="43"/>
              <w:jc w:val="right"/>
              <w:rPr>
                <w:sz w:val="17"/>
                <w:lang w:val="fr-FR"/>
              </w:rPr>
            </w:pPr>
          </w:p>
        </w:tc>
        <w:tc>
          <w:tcPr>
            <w:tcW w:w="865" w:type="dxa"/>
            <w:tcBorders>
              <w:top w:val="single" w:sz="4" w:space="0" w:color="auto"/>
            </w:tcBorders>
            <w:shd w:val="clear" w:color="auto" w:fill="auto"/>
            <w:noWrap/>
            <w:vAlign w:val="bottom"/>
          </w:tcPr>
          <w:p w14:paraId="3CB08DF0" w14:textId="77777777" w:rsidR="005720FB" w:rsidRPr="00A66C9F" w:rsidRDefault="005720FB" w:rsidP="00107D5D">
            <w:pPr>
              <w:tabs>
                <w:tab w:val="left" w:pos="288"/>
                <w:tab w:val="left" w:pos="576"/>
                <w:tab w:val="left" w:pos="864"/>
                <w:tab w:val="left" w:pos="1152"/>
              </w:tabs>
              <w:suppressAutoHyphens/>
              <w:spacing w:before="81" w:after="40" w:line="210" w:lineRule="exact"/>
              <w:ind w:right="43"/>
              <w:jc w:val="right"/>
              <w:rPr>
                <w:sz w:val="17"/>
                <w:lang w:val="fr-FR"/>
              </w:rPr>
            </w:pPr>
          </w:p>
        </w:tc>
        <w:tc>
          <w:tcPr>
            <w:tcW w:w="865" w:type="dxa"/>
            <w:gridSpan w:val="2"/>
            <w:tcBorders>
              <w:top w:val="single" w:sz="4" w:space="0" w:color="auto"/>
            </w:tcBorders>
            <w:shd w:val="clear" w:color="auto" w:fill="auto"/>
            <w:noWrap/>
            <w:vAlign w:val="bottom"/>
          </w:tcPr>
          <w:p w14:paraId="5C4209A7" w14:textId="77777777" w:rsidR="005720FB" w:rsidRPr="00A66C9F" w:rsidRDefault="005720FB" w:rsidP="00107D5D">
            <w:pPr>
              <w:tabs>
                <w:tab w:val="left" w:pos="288"/>
                <w:tab w:val="left" w:pos="576"/>
                <w:tab w:val="left" w:pos="864"/>
                <w:tab w:val="left" w:pos="1152"/>
              </w:tabs>
              <w:suppressAutoHyphens/>
              <w:spacing w:before="81" w:after="40" w:line="210" w:lineRule="exact"/>
              <w:ind w:right="43"/>
              <w:jc w:val="right"/>
              <w:rPr>
                <w:sz w:val="17"/>
                <w:lang w:val="fr-FR"/>
              </w:rPr>
            </w:pPr>
          </w:p>
        </w:tc>
        <w:tc>
          <w:tcPr>
            <w:tcW w:w="707" w:type="dxa"/>
            <w:tcBorders>
              <w:top w:val="single" w:sz="4" w:space="0" w:color="auto"/>
            </w:tcBorders>
            <w:shd w:val="clear" w:color="auto" w:fill="auto"/>
            <w:noWrap/>
            <w:vAlign w:val="bottom"/>
          </w:tcPr>
          <w:p w14:paraId="6C7920DC" w14:textId="77777777" w:rsidR="005720FB" w:rsidRPr="00A66C9F" w:rsidRDefault="005720FB" w:rsidP="00107D5D">
            <w:pPr>
              <w:tabs>
                <w:tab w:val="left" w:pos="288"/>
                <w:tab w:val="left" w:pos="576"/>
                <w:tab w:val="left" w:pos="864"/>
                <w:tab w:val="left" w:pos="1152"/>
              </w:tabs>
              <w:suppressAutoHyphens/>
              <w:spacing w:before="81" w:after="40" w:line="210" w:lineRule="exact"/>
              <w:ind w:right="43"/>
              <w:jc w:val="right"/>
              <w:rPr>
                <w:sz w:val="17"/>
                <w:lang w:val="fr-FR"/>
              </w:rPr>
            </w:pPr>
          </w:p>
        </w:tc>
        <w:tc>
          <w:tcPr>
            <w:tcW w:w="900" w:type="dxa"/>
            <w:tcBorders>
              <w:top w:val="single" w:sz="4" w:space="0" w:color="auto"/>
            </w:tcBorders>
            <w:shd w:val="clear" w:color="auto" w:fill="auto"/>
            <w:noWrap/>
            <w:vAlign w:val="bottom"/>
          </w:tcPr>
          <w:p w14:paraId="7DEE85EA" w14:textId="77777777" w:rsidR="005720FB" w:rsidRPr="00A66C9F" w:rsidRDefault="005720FB" w:rsidP="00107D5D">
            <w:pPr>
              <w:tabs>
                <w:tab w:val="left" w:pos="288"/>
                <w:tab w:val="left" w:pos="576"/>
                <w:tab w:val="left" w:pos="864"/>
                <w:tab w:val="left" w:pos="1152"/>
              </w:tabs>
              <w:suppressAutoHyphens/>
              <w:spacing w:before="81" w:after="40" w:line="210" w:lineRule="exact"/>
              <w:ind w:right="43"/>
              <w:jc w:val="right"/>
              <w:rPr>
                <w:sz w:val="17"/>
                <w:lang w:val="fr-FR"/>
              </w:rPr>
            </w:pPr>
          </w:p>
        </w:tc>
        <w:tc>
          <w:tcPr>
            <w:tcW w:w="900" w:type="dxa"/>
            <w:tcBorders>
              <w:top w:val="single" w:sz="4" w:space="0" w:color="auto"/>
            </w:tcBorders>
            <w:shd w:val="clear" w:color="auto" w:fill="auto"/>
            <w:noWrap/>
            <w:vAlign w:val="bottom"/>
          </w:tcPr>
          <w:p w14:paraId="429454B9" w14:textId="77777777" w:rsidR="005720FB" w:rsidRPr="00A66C9F" w:rsidRDefault="005720FB" w:rsidP="00107D5D">
            <w:pPr>
              <w:tabs>
                <w:tab w:val="left" w:pos="288"/>
                <w:tab w:val="left" w:pos="576"/>
                <w:tab w:val="left" w:pos="864"/>
                <w:tab w:val="left" w:pos="1152"/>
              </w:tabs>
              <w:suppressAutoHyphens/>
              <w:spacing w:before="81" w:after="40" w:line="210" w:lineRule="exact"/>
              <w:ind w:right="43"/>
              <w:jc w:val="right"/>
              <w:rPr>
                <w:sz w:val="17"/>
                <w:lang w:val="fr-FR"/>
              </w:rPr>
            </w:pPr>
          </w:p>
        </w:tc>
      </w:tr>
      <w:tr w:rsidR="005720FB" w:rsidRPr="00A66C9F" w14:paraId="19CAEBBA" w14:textId="77777777" w:rsidTr="00225C0F">
        <w:trPr>
          <w:cantSplit/>
        </w:trPr>
        <w:tc>
          <w:tcPr>
            <w:tcW w:w="2070" w:type="dxa"/>
            <w:gridSpan w:val="2"/>
            <w:shd w:val="clear" w:color="auto" w:fill="auto"/>
            <w:noWrap/>
            <w:vAlign w:val="bottom"/>
            <w:hideMark/>
          </w:tcPr>
          <w:p w14:paraId="73A1F2D2"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rPr>
                <w:sz w:val="17"/>
                <w:lang w:val="fr-FR"/>
              </w:rPr>
            </w:pPr>
            <w:r w:rsidRPr="00A66C9F">
              <w:rPr>
                <w:sz w:val="17"/>
                <w:lang w:val="fr-FR"/>
              </w:rPr>
              <w:tab/>
              <w:t>Audit externe</w:t>
            </w:r>
          </w:p>
        </w:tc>
        <w:tc>
          <w:tcPr>
            <w:tcW w:w="865" w:type="dxa"/>
            <w:shd w:val="clear" w:color="auto" w:fill="auto"/>
            <w:noWrap/>
            <w:vAlign w:val="bottom"/>
          </w:tcPr>
          <w:p w14:paraId="26ED5C0D"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655,3 </w:t>
            </w:r>
          </w:p>
        </w:tc>
        <w:tc>
          <w:tcPr>
            <w:tcW w:w="865" w:type="dxa"/>
            <w:shd w:val="clear" w:color="auto" w:fill="auto"/>
            <w:noWrap/>
            <w:vAlign w:val="bottom"/>
          </w:tcPr>
          <w:p w14:paraId="7AF118A4"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131,1</w:t>
            </w:r>
          </w:p>
        </w:tc>
        <w:tc>
          <w:tcPr>
            <w:tcW w:w="866" w:type="dxa"/>
            <w:shd w:val="clear" w:color="auto" w:fill="auto"/>
            <w:noWrap/>
            <w:vAlign w:val="bottom"/>
          </w:tcPr>
          <w:p w14:paraId="0E4B3515"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786,4 </w:t>
            </w:r>
          </w:p>
        </w:tc>
        <w:tc>
          <w:tcPr>
            <w:tcW w:w="865" w:type="dxa"/>
            <w:gridSpan w:val="2"/>
            <w:shd w:val="clear" w:color="auto" w:fill="auto"/>
            <w:noWrap/>
            <w:vAlign w:val="bottom"/>
          </w:tcPr>
          <w:p w14:paraId="76401083"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655,3 </w:t>
            </w:r>
          </w:p>
        </w:tc>
        <w:tc>
          <w:tcPr>
            <w:tcW w:w="865" w:type="dxa"/>
            <w:shd w:val="clear" w:color="auto" w:fill="auto"/>
            <w:noWrap/>
            <w:vAlign w:val="bottom"/>
          </w:tcPr>
          <w:p w14:paraId="12C6600A"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131,1</w:t>
            </w:r>
          </w:p>
        </w:tc>
        <w:tc>
          <w:tcPr>
            <w:tcW w:w="866" w:type="dxa"/>
            <w:shd w:val="clear" w:color="auto" w:fill="auto"/>
            <w:noWrap/>
            <w:vAlign w:val="bottom"/>
          </w:tcPr>
          <w:p w14:paraId="5F5F0937"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786,4 </w:t>
            </w:r>
          </w:p>
        </w:tc>
        <w:tc>
          <w:tcPr>
            <w:tcW w:w="865" w:type="dxa"/>
            <w:gridSpan w:val="2"/>
            <w:shd w:val="clear" w:color="auto" w:fill="auto"/>
            <w:noWrap/>
            <w:vAlign w:val="bottom"/>
          </w:tcPr>
          <w:p w14:paraId="5BF17BEA"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655,3 </w:t>
            </w:r>
          </w:p>
        </w:tc>
        <w:tc>
          <w:tcPr>
            <w:tcW w:w="866" w:type="dxa"/>
            <w:shd w:val="clear" w:color="auto" w:fill="auto"/>
            <w:noWrap/>
            <w:vAlign w:val="bottom"/>
          </w:tcPr>
          <w:p w14:paraId="5A2BA04A"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131,0</w:t>
            </w:r>
          </w:p>
        </w:tc>
        <w:tc>
          <w:tcPr>
            <w:tcW w:w="865" w:type="dxa"/>
            <w:shd w:val="clear" w:color="auto" w:fill="auto"/>
            <w:noWrap/>
            <w:vAlign w:val="bottom"/>
          </w:tcPr>
          <w:p w14:paraId="56B12061"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786,3 </w:t>
            </w:r>
          </w:p>
        </w:tc>
        <w:tc>
          <w:tcPr>
            <w:tcW w:w="865" w:type="dxa"/>
            <w:gridSpan w:val="2"/>
            <w:shd w:val="clear" w:color="auto" w:fill="auto"/>
            <w:noWrap/>
            <w:vAlign w:val="bottom"/>
          </w:tcPr>
          <w:p w14:paraId="64341FD9"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w:t>
            </w:r>
          </w:p>
        </w:tc>
        <w:tc>
          <w:tcPr>
            <w:tcW w:w="707" w:type="dxa"/>
            <w:shd w:val="clear" w:color="auto" w:fill="auto"/>
            <w:noWrap/>
            <w:vAlign w:val="bottom"/>
          </w:tcPr>
          <w:p w14:paraId="3EB6B647"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(0,1)</w:t>
            </w:r>
          </w:p>
        </w:tc>
        <w:tc>
          <w:tcPr>
            <w:tcW w:w="900" w:type="dxa"/>
            <w:shd w:val="clear" w:color="auto" w:fill="auto"/>
            <w:noWrap/>
            <w:vAlign w:val="bottom"/>
          </w:tcPr>
          <w:p w14:paraId="027B9198"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(0,1)</w:t>
            </w:r>
          </w:p>
        </w:tc>
        <w:tc>
          <w:tcPr>
            <w:tcW w:w="900" w:type="dxa"/>
            <w:shd w:val="clear" w:color="auto" w:fill="auto"/>
            <w:noWrap/>
            <w:vAlign w:val="bottom"/>
          </w:tcPr>
          <w:p w14:paraId="598D38DA" w14:textId="77777777" w:rsidR="005720FB" w:rsidRPr="00A66C9F" w:rsidRDefault="005720FB"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(0)</w:t>
            </w:r>
          </w:p>
        </w:tc>
      </w:tr>
      <w:tr w:rsidR="005720FB" w:rsidRPr="00A66C9F" w14:paraId="5A3BC961" w14:textId="77777777" w:rsidTr="00225C0F">
        <w:trPr>
          <w:cantSplit/>
        </w:trPr>
        <w:tc>
          <w:tcPr>
            <w:tcW w:w="2070" w:type="dxa"/>
            <w:gridSpan w:val="2"/>
            <w:tcBorders>
              <w:bottom w:val="single" w:sz="4" w:space="0" w:color="auto"/>
            </w:tcBorders>
            <w:shd w:val="clear" w:color="auto" w:fill="auto"/>
            <w:noWrap/>
            <w:vAlign w:val="bottom"/>
            <w:hideMark/>
          </w:tcPr>
          <w:p w14:paraId="18C1F199" w14:textId="77777777" w:rsidR="005720FB" w:rsidRPr="00A66C9F" w:rsidRDefault="005720FB" w:rsidP="00107D5D">
            <w:pPr>
              <w:tabs>
                <w:tab w:val="left" w:pos="288"/>
                <w:tab w:val="left" w:pos="576"/>
                <w:tab w:val="left" w:pos="864"/>
                <w:tab w:val="left" w:pos="1152"/>
              </w:tabs>
              <w:suppressAutoHyphens/>
              <w:spacing w:before="40" w:after="81" w:line="210" w:lineRule="exact"/>
              <w:ind w:right="43"/>
              <w:rPr>
                <w:sz w:val="17"/>
                <w:lang w:val="fr-FR"/>
              </w:rPr>
            </w:pPr>
            <w:r w:rsidRPr="00A66C9F">
              <w:rPr>
                <w:sz w:val="17"/>
                <w:lang w:val="fr-FR"/>
              </w:rPr>
              <w:tab/>
              <w:t>Audit interne</w:t>
            </w:r>
          </w:p>
        </w:tc>
        <w:tc>
          <w:tcPr>
            <w:tcW w:w="865" w:type="dxa"/>
            <w:tcBorders>
              <w:bottom w:val="single" w:sz="4" w:space="0" w:color="auto"/>
            </w:tcBorders>
            <w:shd w:val="clear" w:color="auto" w:fill="auto"/>
            <w:noWrap/>
            <w:vAlign w:val="bottom"/>
          </w:tcPr>
          <w:p w14:paraId="635E48CE" w14:textId="77777777" w:rsidR="005720FB" w:rsidRPr="00A66C9F" w:rsidRDefault="005720FB"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1 766,3 </w:t>
            </w:r>
          </w:p>
        </w:tc>
        <w:tc>
          <w:tcPr>
            <w:tcW w:w="865" w:type="dxa"/>
            <w:tcBorders>
              <w:bottom w:val="single" w:sz="4" w:space="0" w:color="auto"/>
            </w:tcBorders>
            <w:shd w:val="clear" w:color="auto" w:fill="auto"/>
            <w:noWrap/>
            <w:vAlign w:val="bottom"/>
          </w:tcPr>
          <w:p w14:paraId="331BF8F4" w14:textId="77777777" w:rsidR="005720FB" w:rsidRPr="00A66C9F" w:rsidRDefault="005720FB"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353,3</w:t>
            </w:r>
          </w:p>
        </w:tc>
        <w:tc>
          <w:tcPr>
            <w:tcW w:w="866" w:type="dxa"/>
            <w:tcBorders>
              <w:bottom w:val="single" w:sz="4" w:space="0" w:color="auto"/>
            </w:tcBorders>
            <w:shd w:val="clear" w:color="auto" w:fill="auto"/>
            <w:noWrap/>
            <w:vAlign w:val="bottom"/>
          </w:tcPr>
          <w:p w14:paraId="532A749E" w14:textId="77777777" w:rsidR="005720FB" w:rsidRPr="00A66C9F" w:rsidRDefault="005720FB"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2 119,6 </w:t>
            </w:r>
          </w:p>
        </w:tc>
        <w:tc>
          <w:tcPr>
            <w:tcW w:w="865" w:type="dxa"/>
            <w:gridSpan w:val="2"/>
            <w:tcBorders>
              <w:bottom w:val="single" w:sz="4" w:space="0" w:color="auto"/>
            </w:tcBorders>
            <w:shd w:val="clear" w:color="auto" w:fill="auto"/>
            <w:noWrap/>
            <w:vAlign w:val="bottom"/>
          </w:tcPr>
          <w:p w14:paraId="1EC8B248" w14:textId="77777777" w:rsidR="005720FB" w:rsidRPr="00A66C9F" w:rsidRDefault="005720FB"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2 125,2 </w:t>
            </w:r>
          </w:p>
        </w:tc>
        <w:tc>
          <w:tcPr>
            <w:tcW w:w="865" w:type="dxa"/>
            <w:tcBorders>
              <w:bottom w:val="single" w:sz="4" w:space="0" w:color="auto"/>
            </w:tcBorders>
            <w:shd w:val="clear" w:color="auto" w:fill="auto"/>
            <w:noWrap/>
            <w:vAlign w:val="bottom"/>
          </w:tcPr>
          <w:p w14:paraId="146C48AE" w14:textId="77777777" w:rsidR="005720FB" w:rsidRPr="00A66C9F" w:rsidRDefault="005720FB"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425,1</w:t>
            </w:r>
          </w:p>
        </w:tc>
        <w:tc>
          <w:tcPr>
            <w:tcW w:w="866" w:type="dxa"/>
            <w:tcBorders>
              <w:bottom w:val="single" w:sz="4" w:space="0" w:color="auto"/>
            </w:tcBorders>
            <w:shd w:val="clear" w:color="auto" w:fill="auto"/>
            <w:noWrap/>
            <w:vAlign w:val="bottom"/>
          </w:tcPr>
          <w:p w14:paraId="192CEA7E" w14:textId="77777777" w:rsidR="005720FB" w:rsidRPr="00A66C9F" w:rsidRDefault="005720FB"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2 550,3 </w:t>
            </w:r>
          </w:p>
        </w:tc>
        <w:tc>
          <w:tcPr>
            <w:tcW w:w="865" w:type="dxa"/>
            <w:gridSpan w:val="2"/>
            <w:tcBorders>
              <w:bottom w:val="single" w:sz="4" w:space="0" w:color="auto"/>
            </w:tcBorders>
            <w:shd w:val="clear" w:color="auto" w:fill="auto"/>
            <w:noWrap/>
            <w:vAlign w:val="bottom"/>
          </w:tcPr>
          <w:p w14:paraId="6B2CAED9" w14:textId="77777777" w:rsidR="005720FB" w:rsidRPr="00A66C9F" w:rsidRDefault="005720FB"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2 030,8 </w:t>
            </w:r>
          </w:p>
        </w:tc>
        <w:tc>
          <w:tcPr>
            <w:tcW w:w="866" w:type="dxa"/>
            <w:tcBorders>
              <w:bottom w:val="single" w:sz="4" w:space="0" w:color="auto"/>
            </w:tcBorders>
            <w:shd w:val="clear" w:color="auto" w:fill="auto"/>
            <w:noWrap/>
            <w:vAlign w:val="bottom"/>
          </w:tcPr>
          <w:p w14:paraId="2C3CBB30" w14:textId="77777777" w:rsidR="005720FB" w:rsidRPr="00A66C9F" w:rsidRDefault="005720FB"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406,1</w:t>
            </w:r>
          </w:p>
        </w:tc>
        <w:tc>
          <w:tcPr>
            <w:tcW w:w="865" w:type="dxa"/>
            <w:tcBorders>
              <w:bottom w:val="single" w:sz="4" w:space="0" w:color="auto"/>
            </w:tcBorders>
            <w:shd w:val="clear" w:color="auto" w:fill="auto"/>
            <w:noWrap/>
            <w:vAlign w:val="bottom"/>
          </w:tcPr>
          <w:p w14:paraId="30E5D9C2" w14:textId="77777777" w:rsidR="005720FB" w:rsidRPr="00A66C9F" w:rsidRDefault="005720FB"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2 436,9 </w:t>
            </w:r>
          </w:p>
        </w:tc>
        <w:tc>
          <w:tcPr>
            <w:tcW w:w="865" w:type="dxa"/>
            <w:gridSpan w:val="2"/>
            <w:tcBorders>
              <w:bottom w:val="single" w:sz="4" w:space="0" w:color="auto"/>
            </w:tcBorders>
            <w:shd w:val="clear" w:color="auto" w:fill="auto"/>
            <w:noWrap/>
            <w:vAlign w:val="bottom"/>
          </w:tcPr>
          <w:p w14:paraId="7CDFBF97" w14:textId="77777777" w:rsidR="005720FB" w:rsidRPr="00A66C9F" w:rsidRDefault="005720FB"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(94,4)</w:t>
            </w:r>
          </w:p>
        </w:tc>
        <w:tc>
          <w:tcPr>
            <w:tcW w:w="707" w:type="dxa"/>
            <w:tcBorders>
              <w:bottom w:val="single" w:sz="4" w:space="0" w:color="auto"/>
            </w:tcBorders>
            <w:shd w:val="clear" w:color="auto" w:fill="auto"/>
            <w:noWrap/>
            <w:vAlign w:val="bottom"/>
          </w:tcPr>
          <w:p w14:paraId="2EC5F513" w14:textId="77777777" w:rsidR="005720FB" w:rsidRPr="00A66C9F" w:rsidRDefault="005720FB"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(19,0)</w:t>
            </w:r>
          </w:p>
        </w:tc>
        <w:tc>
          <w:tcPr>
            <w:tcW w:w="900" w:type="dxa"/>
            <w:tcBorders>
              <w:bottom w:val="single" w:sz="4" w:space="0" w:color="auto"/>
            </w:tcBorders>
            <w:shd w:val="clear" w:color="auto" w:fill="auto"/>
            <w:noWrap/>
            <w:vAlign w:val="bottom"/>
          </w:tcPr>
          <w:p w14:paraId="7B579F0F" w14:textId="77777777" w:rsidR="005720FB" w:rsidRPr="00A66C9F" w:rsidRDefault="005720FB"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(113,4)</w:t>
            </w:r>
          </w:p>
        </w:tc>
        <w:tc>
          <w:tcPr>
            <w:tcW w:w="900" w:type="dxa"/>
            <w:tcBorders>
              <w:bottom w:val="single" w:sz="4" w:space="0" w:color="auto"/>
            </w:tcBorders>
            <w:shd w:val="clear" w:color="auto" w:fill="auto"/>
            <w:noWrap/>
            <w:vAlign w:val="bottom"/>
          </w:tcPr>
          <w:p w14:paraId="6B7DF563" w14:textId="77777777" w:rsidR="005720FB" w:rsidRPr="00A66C9F" w:rsidRDefault="005720FB"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(4)</w:t>
            </w:r>
          </w:p>
        </w:tc>
      </w:tr>
      <w:tr w:rsidR="005720FB" w:rsidRPr="00A66C9F" w14:paraId="384746CD" w14:textId="77777777" w:rsidTr="00225C0F">
        <w:trPr>
          <w:cantSplit/>
        </w:trPr>
        <w:tc>
          <w:tcPr>
            <w:tcW w:w="2070" w:type="dxa"/>
            <w:gridSpan w:val="2"/>
            <w:tcBorders>
              <w:top w:val="single" w:sz="4" w:space="0" w:color="auto"/>
              <w:bottom w:val="single" w:sz="12" w:space="0" w:color="auto"/>
            </w:tcBorders>
            <w:shd w:val="clear" w:color="auto" w:fill="auto"/>
            <w:noWrap/>
            <w:vAlign w:val="bottom"/>
          </w:tcPr>
          <w:p w14:paraId="42A9762A" w14:textId="77777777" w:rsidR="005720FB" w:rsidRPr="00A66C9F" w:rsidRDefault="005720FB" w:rsidP="00107D5D">
            <w:pPr>
              <w:tabs>
                <w:tab w:val="left" w:pos="288"/>
                <w:tab w:val="left" w:pos="576"/>
                <w:tab w:val="left" w:pos="864"/>
                <w:tab w:val="left" w:pos="1152"/>
              </w:tabs>
              <w:suppressAutoHyphens/>
              <w:spacing w:before="81" w:after="81" w:line="210" w:lineRule="exact"/>
              <w:ind w:right="43"/>
              <w:rPr>
                <w:b/>
                <w:sz w:val="17"/>
                <w:lang w:val="fr-FR"/>
              </w:rPr>
            </w:pPr>
            <w:r w:rsidRPr="00A66C9F">
              <w:rPr>
                <w:b/>
                <w:sz w:val="17"/>
                <w:lang w:val="fr-FR"/>
              </w:rPr>
              <w:tab/>
              <w:t>Total partiel</w:t>
            </w:r>
          </w:p>
        </w:tc>
        <w:tc>
          <w:tcPr>
            <w:tcW w:w="865" w:type="dxa"/>
            <w:tcBorders>
              <w:top w:val="single" w:sz="4" w:space="0" w:color="auto"/>
              <w:bottom w:val="single" w:sz="12" w:space="0" w:color="auto"/>
            </w:tcBorders>
            <w:shd w:val="clear" w:color="auto" w:fill="auto"/>
            <w:noWrap/>
            <w:vAlign w:val="bottom"/>
          </w:tcPr>
          <w:p w14:paraId="7A27009F" w14:textId="77777777" w:rsidR="005720FB" w:rsidRPr="00A66C9F" w:rsidRDefault="005720FB"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2 421,6 </w:t>
            </w:r>
          </w:p>
        </w:tc>
        <w:tc>
          <w:tcPr>
            <w:tcW w:w="865" w:type="dxa"/>
            <w:tcBorders>
              <w:top w:val="single" w:sz="4" w:space="0" w:color="auto"/>
              <w:bottom w:val="single" w:sz="12" w:space="0" w:color="auto"/>
            </w:tcBorders>
            <w:shd w:val="clear" w:color="auto" w:fill="auto"/>
            <w:noWrap/>
            <w:vAlign w:val="bottom"/>
          </w:tcPr>
          <w:p w14:paraId="454FCC06" w14:textId="77777777" w:rsidR="005720FB" w:rsidRPr="00A66C9F" w:rsidRDefault="005720FB"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484,4</w:t>
            </w:r>
          </w:p>
        </w:tc>
        <w:tc>
          <w:tcPr>
            <w:tcW w:w="866" w:type="dxa"/>
            <w:tcBorders>
              <w:top w:val="single" w:sz="4" w:space="0" w:color="auto"/>
              <w:bottom w:val="single" w:sz="12" w:space="0" w:color="auto"/>
            </w:tcBorders>
            <w:shd w:val="clear" w:color="auto" w:fill="auto"/>
            <w:noWrap/>
            <w:vAlign w:val="bottom"/>
          </w:tcPr>
          <w:p w14:paraId="2152CA30" w14:textId="77777777" w:rsidR="005720FB" w:rsidRPr="00A66C9F" w:rsidRDefault="005720FB"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2 906,0 </w:t>
            </w:r>
          </w:p>
        </w:tc>
        <w:tc>
          <w:tcPr>
            <w:tcW w:w="865" w:type="dxa"/>
            <w:gridSpan w:val="2"/>
            <w:tcBorders>
              <w:top w:val="single" w:sz="4" w:space="0" w:color="auto"/>
              <w:bottom w:val="single" w:sz="12" w:space="0" w:color="auto"/>
            </w:tcBorders>
            <w:shd w:val="clear" w:color="auto" w:fill="auto"/>
            <w:noWrap/>
            <w:vAlign w:val="bottom"/>
          </w:tcPr>
          <w:p w14:paraId="00235C46" w14:textId="77777777" w:rsidR="005720FB" w:rsidRPr="00A66C9F" w:rsidRDefault="005720FB"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2 780,5 </w:t>
            </w:r>
          </w:p>
        </w:tc>
        <w:tc>
          <w:tcPr>
            <w:tcW w:w="865" w:type="dxa"/>
            <w:tcBorders>
              <w:top w:val="single" w:sz="4" w:space="0" w:color="auto"/>
              <w:bottom w:val="single" w:sz="12" w:space="0" w:color="auto"/>
            </w:tcBorders>
            <w:shd w:val="clear" w:color="auto" w:fill="auto"/>
            <w:noWrap/>
            <w:vAlign w:val="bottom"/>
          </w:tcPr>
          <w:p w14:paraId="67978BD2" w14:textId="77777777" w:rsidR="005720FB" w:rsidRPr="00A66C9F" w:rsidRDefault="005720FB"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556,2 </w:t>
            </w:r>
          </w:p>
        </w:tc>
        <w:tc>
          <w:tcPr>
            <w:tcW w:w="866" w:type="dxa"/>
            <w:tcBorders>
              <w:top w:val="single" w:sz="4" w:space="0" w:color="auto"/>
              <w:bottom w:val="single" w:sz="12" w:space="0" w:color="auto"/>
            </w:tcBorders>
            <w:shd w:val="clear" w:color="auto" w:fill="auto"/>
            <w:noWrap/>
            <w:vAlign w:val="bottom"/>
          </w:tcPr>
          <w:p w14:paraId="3BDBDF71" w14:textId="77777777" w:rsidR="005720FB" w:rsidRPr="00A66C9F" w:rsidRDefault="005720FB"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3 336,7 </w:t>
            </w:r>
          </w:p>
        </w:tc>
        <w:tc>
          <w:tcPr>
            <w:tcW w:w="865" w:type="dxa"/>
            <w:gridSpan w:val="2"/>
            <w:tcBorders>
              <w:top w:val="single" w:sz="4" w:space="0" w:color="auto"/>
              <w:bottom w:val="single" w:sz="12" w:space="0" w:color="auto"/>
            </w:tcBorders>
            <w:shd w:val="clear" w:color="auto" w:fill="auto"/>
            <w:noWrap/>
            <w:vAlign w:val="bottom"/>
          </w:tcPr>
          <w:p w14:paraId="7D17C657" w14:textId="77777777" w:rsidR="005720FB" w:rsidRPr="00A66C9F" w:rsidRDefault="005720FB"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2 686,1 </w:t>
            </w:r>
          </w:p>
        </w:tc>
        <w:tc>
          <w:tcPr>
            <w:tcW w:w="866" w:type="dxa"/>
            <w:tcBorders>
              <w:top w:val="single" w:sz="4" w:space="0" w:color="auto"/>
              <w:bottom w:val="single" w:sz="12" w:space="0" w:color="auto"/>
            </w:tcBorders>
            <w:shd w:val="clear" w:color="auto" w:fill="auto"/>
            <w:noWrap/>
            <w:vAlign w:val="bottom"/>
          </w:tcPr>
          <w:p w14:paraId="14210513" w14:textId="77777777" w:rsidR="005720FB" w:rsidRPr="00A66C9F" w:rsidRDefault="005720FB"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537,1 </w:t>
            </w:r>
          </w:p>
        </w:tc>
        <w:tc>
          <w:tcPr>
            <w:tcW w:w="865" w:type="dxa"/>
            <w:tcBorders>
              <w:top w:val="single" w:sz="4" w:space="0" w:color="auto"/>
              <w:bottom w:val="single" w:sz="12" w:space="0" w:color="auto"/>
            </w:tcBorders>
            <w:shd w:val="clear" w:color="auto" w:fill="auto"/>
            <w:noWrap/>
            <w:vAlign w:val="bottom"/>
          </w:tcPr>
          <w:p w14:paraId="51CC5AFB" w14:textId="77777777" w:rsidR="005720FB" w:rsidRPr="00A66C9F" w:rsidRDefault="005720FB"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3 223,2 </w:t>
            </w:r>
          </w:p>
        </w:tc>
        <w:tc>
          <w:tcPr>
            <w:tcW w:w="865" w:type="dxa"/>
            <w:gridSpan w:val="2"/>
            <w:tcBorders>
              <w:top w:val="single" w:sz="4" w:space="0" w:color="auto"/>
              <w:bottom w:val="single" w:sz="12" w:space="0" w:color="auto"/>
            </w:tcBorders>
            <w:shd w:val="clear" w:color="auto" w:fill="auto"/>
            <w:noWrap/>
            <w:vAlign w:val="bottom"/>
          </w:tcPr>
          <w:p w14:paraId="27CB280D" w14:textId="77777777" w:rsidR="005720FB" w:rsidRPr="00A66C9F" w:rsidRDefault="005720FB"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(94,4)</w:t>
            </w:r>
          </w:p>
        </w:tc>
        <w:tc>
          <w:tcPr>
            <w:tcW w:w="707" w:type="dxa"/>
            <w:tcBorders>
              <w:top w:val="single" w:sz="4" w:space="0" w:color="auto"/>
              <w:bottom w:val="single" w:sz="12" w:space="0" w:color="auto"/>
            </w:tcBorders>
            <w:shd w:val="clear" w:color="auto" w:fill="auto"/>
            <w:noWrap/>
            <w:vAlign w:val="bottom"/>
          </w:tcPr>
          <w:p w14:paraId="37CC3E89" w14:textId="77777777" w:rsidR="005720FB" w:rsidRPr="00A66C9F" w:rsidRDefault="005720FB"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(19,1)</w:t>
            </w:r>
          </w:p>
        </w:tc>
        <w:tc>
          <w:tcPr>
            <w:tcW w:w="900" w:type="dxa"/>
            <w:tcBorders>
              <w:top w:val="single" w:sz="4" w:space="0" w:color="auto"/>
              <w:bottom w:val="single" w:sz="12" w:space="0" w:color="auto"/>
            </w:tcBorders>
            <w:shd w:val="clear" w:color="auto" w:fill="auto"/>
            <w:noWrap/>
            <w:vAlign w:val="bottom"/>
          </w:tcPr>
          <w:p w14:paraId="3187D002" w14:textId="77777777" w:rsidR="005720FB" w:rsidRPr="00A66C9F" w:rsidRDefault="005720FB"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(113,5)</w:t>
            </w:r>
          </w:p>
        </w:tc>
        <w:tc>
          <w:tcPr>
            <w:tcW w:w="900" w:type="dxa"/>
            <w:tcBorders>
              <w:top w:val="single" w:sz="4" w:space="0" w:color="auto"/>
              <w:bottom w:val="single" w:sz="12" w:space="0" w:color="auto"/>
            </w:tcBorders>
            <w:shd w:val="clear" w:color="auto" w:fill="auto"/>
            <w:noWrap/>
            <w:vAlign w:val="bottom"/>
          </w:tcPr>
          <w:p w14:paraId="4243A615" w14:textId="77777777" w:rsidR="005720FB" w:rsidRPr="00A66C9F" w:rsidRDefault="005720FB"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(3)</w:t>
            </w:r>
          </w:p>
        </w:tc>
      </w:tr>
    </w:tbl>
    <w:p w14:paraId="2173F1C7" w14:textId="77777777" w:rsidR="005720FB" w:rsidRPr="00A66C9F" w:rsidRDefault="005720FB" w:rsidP="005720FB">
      <w:pPr>
        <w:rPr>
          <w:lang w:val="fr-FR"/>
        </w:rPr>
      </w:pPr>
    </w:p>
    <w:p w14:paraId="780F27D2" w14:textId="77777777" w:rsidR="005720FB" w:rsidRPr="00A66C9F" w:rsidRDefault="005720FB" w:rsidP="005720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lastRenderedPageBreak/>
        <w:t>Caisse commune des pensions du personnel des Nations Unies</w:t>
      </w:r>
    </w:p>
    <w:p w14:paraId="78779CE5" w14:textId="77777777" w:rsidR="005720FB" w:rsidRPr="00A66C9F" w:rsidRDefault="005720FB" w:rsidP="005720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fr-FR"/>
        </w:rPr>
      </w:pPr>
      <w:r w:rsidRPr="00A66C9F">
        <w:rPr>
          <w:lang w:val="fr-FR"/>
        </w:rPr>
        <w:t xml:space="preserve">Tableau A </w:t>
      </w:r>
      <w:r w:rsidRPr="00A66C9F">
        <w:rPr>
          <w:b w:val="0"/>
          <w:bCs/>
          <w:lang w:val="fr-FR"/>
        </w:rPr>
        <w:t>(</w:t>
      </w:r>
      <w:r w:rsidRPr="00A66C9F">
        <w:rPr>
          <w:b w:val="0"/>
          <w:bCs/>
          <w:i/>
          <w:iCs/>
          <w:lang w:val="fr-FR"/>
        </w:rPr>
        <w:t>suite</w:t>
      </w:r>
      <w:r w:rsidRPr="00A66C9F">
        <w:rPr>
          <w:b w:val="0"/>
          <w:bCs/>
          <w:lang w:val="fr-FR"/>
        </w:rPr>
        <w:t>)</w:t>
      </w:r>
    </w:p>
    <w:p w14:paraId="1FCAF5E7" w14:textId="77777777" w:rsidR="005720FB" w:rsidRPr="00A66C9F" w:rsidRDefault="005720FB" w:rsidP="005720FB">
      <w:pPr>
        <w:pStyle w:val="SingleTxt"/>
        <w:keepNext/>
        <w:spacing w:after="0" w:line="120" w:lineRule="exact"/>
        <w:rPr>
          <w:sz w:val="10"/>
          <w:lang w:val="fr-FR"/>
        </w:rPr>
      </w:pPr>
    </w:p>
    <w:p w14:paraId="48486A5F" w14:textId="77777777" w:rsidR="005720FB" w:rsidRPr="00A66C9F" w:rsidRDefault="005720FB" w:rsidP="005720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b w:val="0"/>
          <w:lang w:val="fr-FR"/>
        </w:rPr>
      </w:pPr>
      <w:r w:rsidRPr="00A66C9F">
        <w:rPr>
          <w:lang w:val="fr-FR"/>
        </w:rPr>
        <w:tab/>
        <w:t xml:space="preserve">IV. État comparatif des montants inscrits au budget et des montants effectifs sur une base comparable ; dépenses d’administration de l’exercice biennal 2018-2019 </w:t>
      </w:r>
      <w:r w:rsidRPr="00A66C9F">
        <w:rPr>
          <w:b w:val="0"/>
          <w:lang w:val="fr-FR"/>
        </w:rPr>
        <w:t>(</w:t>
      </w:r>
      <w:r w:rsidRPr="00A66C9F">
        <w:rPr>
          <w:b w:val="0"/>
          <w:i/>
          <w:iCs/>
          <w:lang w:val="fr-FR"/>
        </w:rPr>
        <w:t>suite</w:t>
      </w:r>
      <w:r w:rsidRPr="00A66C9F">
        <w:rPr>
          <w:b w:val="0"/>
          <w:lang w:val="fr-FR"/>
        </w:rPr>
        <w:t>)</w:t>
      </w:r>
    </w:p>
    <w:p w14:paraId="1D2594FB" w14:textId="77777777" w:rsidR="005720FB" w:rsidRPr="00A66C9F" w:rsidRDefault="005720FB" w:rsidP="005720FB">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sz w:val="14"/>
          <w:szCs w:val="14"/>
          <w:lang w:val="fr-FR"/>
        </w:rPr>
        <w:t>(En milliers de dollars des États-Unis)</w:t>
      </w:r>
    </w:p>
    <w:p w14:paraId="45D12C30" w14:textId="77777777" w:rsidR="005720FB" w:rsidRPr="00A66C9F" w:rsidRDefault="005720FB" w:rsidP="005720FB">
      <w:pPr>
        <w:pStyle w:val="SingleTxt"/>
        <w:spacing w:after="0" w:line="120" w:lineRule="exact"/>
        <w:rPr>
          <w:sz w:val="10"/>
          <w:lang w:val="fr-FR"/>
        </w:rPr>
      </w:pPr>
    </w:p>
    <w:p w14:paraId="04990076" w14:textId="77777777" w:rsidR="005720FB" w:rsidRPr="00A66C9F" w:rsidRDefault="005720FB" w:rsidP="005720FB">
      <w:pPr>
        <w:pStyle w:val="SingleTxt"/>
        <w:spacing w:after="0" w:line="120" w:lineRule="exact"/>
        <w:rPr>
          <w:sz w:val="10"/>
          <w:lang w:val="fr-FR"/>
        </w:rPr>
      </w:pPr>
    </w:p>
    <w:tbl>
      <w:tblPr>
        <w:tblW w:w="13230" w:type="dxa"/>
        <w:tblLayout w:type="fixed"/>
        <w:tblCellMar>
          <w:left w:w="0" w:type="dxa"/>
          <w:right w:w="0" w:type="dxa"/>
        </w:tblCellMar>
        <w:tblLook w:val="04A0" w:firstRow="1" w:lastRow="0" w:firstColumn="1" w:lastColumn="0" w:noHBand="0" w:noVBand="1"/>
      </w:tblPr>
      <w:tblGrid>
        <w:gridCol w:w="270"/>
        <w:gridCol w:w="1800"/>
        <w:gridCol w:w="865"/>
        <w:gridCol w:w="865"/>
        <w:gridCol w:w="866"/>
        <w:gridCol w:w="104"/>
        <w:gridCol w:w="761"/>
        <w:gridCol w:w="865"/>
        <w:gridCol w:w="866"/>
        <w:gridCol w:w="118"/>
        <w:gridCol w:w="747"/>
        <w:gridCol w:w="866"/>
        <w:gridCol w:w="865"/>
        <w:gridCol w:w="132"/>
        <w:gridCol w:w="733"/>
        <w:gridCol w:w="707"/>
        <w:gridCol w:w="900"/>
        <w:gridCol w:w="900"/>
      </w:tblGrid>
      <w:tr w:rsidR="005720FB" w:rsidRPr="00A66C9F" w14:paraId="3B566252" w14:textId="77777777" w:rsidTr="00225C0F">
        <w:trPr>
          <w:cantSplit/>
          <w:tblHeader/>
        </w:trPr>
        <w:tc>
          <w:tcPr>
            <w:tcW w:w="2070" w:type="dxa"/>
            <w:gridSpan w:val="2"/>
            <w:tcBorders>
              <w:top w:val="single" w:sz="4" w:space="0" w:color="auto"/>
            </w:tcBorders>
            <w:shd w:val="clear" w:color="auto" w:fill="auto"/>
            <w:noWrap/>
            <w:vAlign w:val="bottom"/>
            <w:hideMark/>
          </w:tcPr>
          <w:p w14:paraId="7CB36C3B" w14:textId="77777777" w:rsidR="005720FB" w:rsidRPr="00A66C9F" w:rsidRDefault="005720FB" w:rsidP="00107D5D">
            <w:pPr>
              <w:suppressAutoHyphens/>
              <w:spacing w:before="81" w:after="81" w:line="160" w:lineRule="exact"/>
              <w:ind w:right="40"/>
              <w:rPr>
                <w:i/>
                <w:sz w:val="14"/>
                <w:lang w:val="fr-FR"/>
              </w:rPr>
            </w:pPr>
          </w:p>
        </w:tc>
        <w:tc>
          <w:tcPr>
            <w:tcW w:w="2596" w:type="dxa"/>
            <w:gridSpan w:val="3"/>
            <w:tcBorders>
              <w:top w:val="single" w:sz="4" w:space="0" w:color="auto"/>
              <w:bottom w:val="single" w:sz="4" w:space="0" w:color="auto"/>
            </w:tcBorders>
            <w:shd w:val="clear" w:color="auto" w:fill="auto"/>
            <w:noWrap/>
            <w:vAlign w:val="bottom"/>
            <w:hideMark/>
          </w:tcPr>
          <w:p w14:paraId="0A4C0A93" w14:textId="77777777" w:rsidR="005720FB" w:rsidRPr="00A66C9F" w:rsidRDefault="005720FB" w:rsidP="00107D5D">
            <w:pPr>
              <w:suppressAutoHyphens/>
              <w:spacing w:before="81" w:after="81" w:line="160" w:lineRule="exact"/>
              <w:ind w:right="43"/>
              <w:jc w:val="center"/>
              <w:rPr>
                <w:i/>
                <w:sz w:val="14"/>
                <w:lang w:val="fr-FR"/>
              </w:rPr>
            </w:pPr>
            <w:r w:rsidRPr="00A66C9F">
              <w:rPr>
                <w:i/>
                <w:sz w:val="14"/>
                <w:lang w:val="fr-FR"/>
              </w:rPr>
              <w:t>Montant initial des crédits ouverts pour 2018-2019</w:t>
            </w:r>
          </w:p>
        </w:tc>
        <w:tc>
          <w:tcPr>
            <w:tcW w:w="104" w:type="dxa"/>
            <w:tcBorders>
              <w:top w:val="single" w:sz="4" w:space="0" w:color="auto"/>
            </w:tcBorders>
            <w:shd w:val="clear" w:color="auto" w:fill="auto"/>
            <w:noWrap/>
            <w:vAlign w:val="bottom"/>
            <w:hideMark/>
          </w:tcPr>
          <w:p w14:paraId="223E55B0" w14:textId="77777777" w:rsidR="005720FB" w:rsidRPr="00A66C9F" w:rsidRDefault="005720FB" w:rsidP="00107D5D">
            <w:pPr>
              <w:suppressAutoHyphens/>
              <w:spacing w:before="81" w:after="81" w:line="160" w:lineRule="exact"/>
              <w:ind w:right="43"/>
              <w:jc w:val="center"/>
              <w:rPr>
                <w:i/>
                <w:sz w:val="14"/>
                <w:lang w:val="fr-FR"/>
              </w:rPr>
            </w:pPr>
          </w:p>
        </w:tc>
        <w:tc>
          <w:tcPr>
            <w:tcW w:w="2492" w:type="dxa"/>
            <w:gridSpan w:val="3"/>
            <w:tcBorders>
              <w:top w:val="single" w:sz="4" w:space="0" w:color="auto"/>
              <w:bottom w:val="single" w:sz="4" w:space="0" w:color="auto"/>
            </w:tcBorders>
            <w:shd w:val="clear" w:color="auto" w:fill="auto"/>
            <w:vAlign w:val="bottom"/>
          </w:tcPr>
          <w:p w14:paraId="4C6A01D3" w14:textId="77777777" w:rsidR="005720FB" w:rsidRPr="00A66C9F" w:rsidRDefault="005720FB" w:rsidP="00107D5D">
            <w:pPr>
              <w:suppressAutoHyphens/>
              <w:spacing w:before="81" w:after="81" w:line="160" w:lineRule="exact"/>
              <w:ind w:right="43"/>
              <w:jc w:val="center"/>
              <w:rPr>
                <w:i/>
                <w:sz w:val="14"/>
                <w:lang w:val="fr-FR"/>
              </w:rPr>
            </w:pPr>
            <w:r w:rsidRPr="00A66C9F">
              <w:rPr>
                <w:i/>
                <w:sz w:val="14"/>
                <w:lang w:val="fr-FR"/>
              </w:rPr>
              <w:t>Montant définitif des crédits ouverts pour 2018-2019</w:t>
            </w:r>
          </w:p>
        </w:tc>
        <w:tc>
          <w:tcPr>
            <w:tcW w:w="118" w:type="dxa"/>
            <w:tcBorders>
              <w:top w:val="single" w:sz="4" w:space="0" w:color="auto"/>
            </w:tcBorders>
            <w:shd w:val="clear" w:color="auto" w:fill="auto"/>
            <w:noWrap/>
            <w:vAlign w:val="bottom"/>
            <w:hideMark/>
          </w:tcPr>
          <w:p w14:paraId="19D4E108" w14:textId="77777777" w:rsidR="005720FB" w:rsidRPr="00A66C9F" w:rsidRDefault="005720FB" w:rsidP="00107D5D">
            <w:pPr>
              <w:suppressAutoHyphens/>
              <w:spacing w:before="81" w:after="81" w:line="160" w:lineRule="exact"/>
              <w:ind w:right="43"/>
              <w:jc w:val="center"/>
              <w:rPr>
                <w:i/>
                <w:sz w:val="14"/>
                <w:lang w:val="fr-FR"/>
              </w:rPr>
            </w:pPr>
          </w:p>
        </w:tc>
        <w:tc>
          <w:tcPr>
            <w:tcW w:w="2478" w:type="dxa"/>
            <w:gridSpan w:val="3"/>
            <w:tcBorders>
              <w:top w:val="single" w:sz="4" w:space="0" w:color="auto"/>
              <w:bottom w:val="single" w:sz="4" w:space="0" w:color="auto"/>
            </w:tcBorders>
            <w:shd w:val="clear" w:color="auto" w:fill="auto"/>
            <w:vAlign w:val="bottom"/>
          </w:tcPr>
          <w:p w14:paraId="16C9C088" w14:textId="77777777" w:rsidR="005720FB" w:rsidRPr="00A66C9F" w:rsidRDefault="005720FB" w:rsidP="00107D5D">
            <w:pPr>
              <w:suppressAutoHyphens/>
              <w:spacing w:before="81" w:after="81" w:line="160" w:lineRule="exact"/>
              <w:ind w:right="43"/>
              <w:jc w:val="center"/>
              <w:rPr>
                <w:i/>
                <w:sz w:val="14"/>
                <w:lang w:val="fr-FR"/>
              </w:rPr>
            </w:pPr>
            <w:r w:rsidRPr="00A66C9F">
              <w:rPr>
                <w:i/>
                <w:sz w:val="14"/>
                <w:lang w:val="fr-FR"/>
              </w:rPr>
              <w:t>Montants effectifs calculés sur une base comparable pour 2018-2019</w:t>
            </w:r>
          </w:p>
        </w:tc>
        <w:tc>
          <w:tcPr>
            <w:tcW w:w="132" w:type="dxa"/>
            <w:tcBorders>
              <w:top w:val="single" w:sz="4" w:space="0" w:color="auto"/>
            </w:tcBorders>
            <w:shd w:val="clear" w:color="auto" w:fill="auto"/>
            <w:noWrap/>
            <w:vAlign w:val="bottom"/>
            <w:hideMark/>
          </w:tcPr>
          <w:p w14:paraId="54EBE5F7" w14:textId="77777777" w:rsidR="005720FB" w:rsidRPr="00A66C9F" w:rsidRDefault="005720FB" w:rsidP="00107D5D">
            <w:pPr>
              <w:suppressAutoHyphens/>
              <w:spacing w:before="81" w:after="81" w:line="160" w:lineRule="exact"/>
              <w:ind w:right="43"/>
              <w:jc w:val="center"/>
              <w:rPr>
                <w:i/>
                <w:sz w:val="14"/>
                <w:lang w:val="fr-FR"/>
              </w:rPr>
            </w:pPr>
          </w:p>
        </w:tc>
        <w:tc>
          <w:tcPr>
            <w:tcW w:w="2340" w:type="dxa"/>
            <w:gridSpan w:val="3"/>
            <w:tcBorders>
              <w:top w:val="single" w:sz="4" w:space="0" w:color="auto"/>
              <w:bottom w:val="single" w:sz="4" w:space="0" w:color="auto"/>
            </w:tcBorders>
            <w:shd w:val="clear" w:color="auto" w:fill="auto"/>
            <w:vAlign w:val="bottom"/>
          </w:tcPr>
          <w:p w14:paraId="78E21649" w14:textId="77777777" w:rsidR="005720FB" w:rsidRPr="00A66C9F" w:rsidRDefault="005720FB" w:rsidP="00107D5D">
            <w:pPr>
              <w:suppressAutoHyphens/>
              <w:spacing w:before="81" w:after="81" w:line="160" w:lineRule="exact"/>
              <w:ind w:right="43"/>
              <w:jc w:val="center"/>
              <w:rPr>
                <w:i/>
                <w:sz w:val="14"/>
                <w:lang w:val="fr-FR"/>
              </w:rPr>
            </w:pPr>
            <w:r w:rsidRPr="00A66C9F">
              <w:rPr>
                <w:i/>
                <w:sz w:val="14"/>
                <w:lang w:val="fr-FR"/>
              </w:rPr>
              <w:t>Différence</w:t>
            </w:r>
          </w:p>
        </w:tc>
        <w:tc>
          <w:tcPr>
            <w:tcW w:w="900" w:type="dxa"/>
            <w:tcBorders>
              <w:top w:val="single" w:sz="4" w:space="0" w:color="auto"/>
            </w:tcBorders>
            <w:shd w:val="clear" w:color="auto" w:fill="auto"/>
            <w:noWrap/>
            <w:vAlign w:val="bottom"/>
          </w:tcPr>
          <w:p w14:paraId="147DDB65" w14:textId="77777777" w:rsidR="005720FB" w:rsidRPr="00A66C9F" w:rsidRDefault="005720FB" w:rsidP="00107D5D">
            <w:pPr>
              <w:suppressAutoHyphens/>
              <w:spacing w:before="81" w:after="81" w:line="160" w:lineRule="exact"/>
              <w:ind w:right="43"/>
              <w:jc w:val="right"/>
              <w:rPr>
                <w:i/>
                <w:sz w:val="14"/>
                <w:lang w:val="fr-FR"/>
              </w:rPr>
            </w:pPr>
          </w:p>
        </w:tc>
      </w:tr>
      <w:tr w:rsidR="005720FB" w:rsidRPr="00A66C9F" w14:paraId="18788F2E" w14:textId="77777777" w:rsidTr="00225C0F">
        <w:trPr>
          <w:cantSplit/>
          <w:tblHeader/>
        </w:trPr>
        <w:tc>
          <w:tcPr>
            <w:tcW w:w="2070" w:type="dxa"/>
            <w:gridSpan w:val="2"/>
            <w:tcBorders>
              <w:bottom w:val="single" w:sz="12" w:space="0" w:color="auto"/>
            </w:tcBorders>
            <w:shd w:val="clear" w:color="auto" w:fill="auto"/>
            <w:noWrap/>
            <w:vAlign w:val="bottom"/>
            <w:hideMark/>
          </w:tcPr>
          <w:p w14:paraId="7C06B934" w14:textId="77777777" w:rsidR="005720FB" w:rsidRPr="00A66C9F" w:rsidRDefault="005720FB" w:rsidP="00107D5D">
            <w:pPr>
              <w:suppressAutoHyphens/>
              <w:spacing w:before="81" w:after="81" w:line="160" w:lineRule="exact"/>
              <w:ind w:right="40"/>
              <w:rPr>
                <w:i/>
                <w:sz w:val="14"/>
                <w:lang w:val="fr-FR"/>
              </w:rPr>
            </w:pPr>
          </w:p>
        </w:tc>
        <w:tc>
          <w:tcPr>
            <w:tcW w:w="865" w:type="dxa"/>
            <w:tcBorders>
              <w:top w:val="single" w:sz="4" w:space="0" w:color="auto"/>
              <w:bottom w:val="single" w:sz="12" w:space="0" w:color="auto"/>
            </w:tcBorders>
            <w:shd w:val="clear" w:color="auto" w:fill="auto"/>
            <w:noWrap/>
            <w:vAlign w:val="bottom"/>
            <w:hideMark/>
          </w:tcPr>
          <w:p w14:paraId="28FC02CB" w14:textId="77777777" w:rsidR="005720FB" w:rsidRPr="00A66C9F" w:rsidRDefault="005720FB" w:rsidP="00107D5D">
            <w:pPr>
              <w:suppressAutoHyphens/>
              <w:spacing w:before="81" w:after="81" w:line="160" w:lineRule="exact"/>
              <w:ind w:right="43"/>
              <w:jc w:val="right"/>
              <w:rPr>
                <w:i/>
                <w:sz w:val="14"/>
                <w:lang w:val="fr-FR"/>
              </w:rPr>
            </w:pPr>
            <w:r w:rsidRPr="00A66C9F">
              <w:rPr>
                <w:i/>
                <w:sz w:val="14"/>
                <w:lang w:val="fr-FR"/>
              </w:rPr>
              <w:t>Caisse des pensions</w:t>
            </w:r>
          </w:p>
        </w:tc>
        <w:tc>
          <w:tcPr>
            <w:tcW w:w="865" w:type="dxa"/>
            <w:tcBorders>
              <w:top w:val="single" w:sz="4" w:space="0" w:color="auto"/>
              <w:bottom w:val="single" w:sz="12" w:space="0" w:color="auto"/>
            </w:tcBorders>
            <w:shd w:val="clear" w:color="auto" w:fill="auto"/>
            <w:noWrap/>
            <w:vAlign w:val="bottom"/>
            <w:hideMark/>
          </w:tcPr>
          <w:p w14:paraId="6703E5CF" w14:textId="77777777" w:rsidR="005720FB" w:rsidRPr="00A66C9F" w:rsidRDefault="005720FB" w:rsidP="00107D5D">
            <w:pPr>
              <w:suppressAutoHyphens/>
              <w:spacing w:before="81" w:after="81" w:line="160" w:lineRule="exact"/>
              <w:ind w:right="43"/>
              <w:jc w:val="right"/>
              <w:rPr>
                <w:i/>
                <w:sz w:val="14"/>
                <w:lang w:val="fr-FR"/>
              </w:rPr>
            </w:pPr>
            <w:r w:rsidRPr="00A66C9F">
              <w:rPr>
                <w:i/>
                <w:sz w:val="14"/>
                <w:lang w:val="fr-FR"/>
              </w:rPr>
              <w:t>ONU</w:t>
            </w:r>
          </w:p>
        </w:tc>
        <w:tc>
          <w:tcPr>
            <w:tcW w:w="866" w:type="dxa"/>
            <w:tcBorders>
              <w:top w:val="single" w:sz="4" w:space="0" w:color="auto"/>
              <w:bottom w:val="single" w:sz="12" w:space="0" w:color="auto"/>
            </w:tcBorders>
            <w:shd w:val="clear" w:color="auto" w:fill="auto"/>
            <w:noWrap/>
            <w:vAlign w:val="bottom"/>
            <w:hideMark/>
          </w:tcPr>
          <w:p w14:paraId="1B941BA8" w14:textId="77777777" w:rsidR="005720FB" w:rsidRPr="00A66C9F" w:rsidRDefault="005720FB" w:rsidP="00107D5D">
            <w:pPr>
              <w:suppressAutoHyphens/>
              <w:spacing w:before="81" w:after="81" w:line="160" w:lineRule="exact"/>
              <w:ind w:right="43"/>
              <w:jc w:val="right"/>
              <w:rPr>
                <w:i/>
                <w:sz w:val="14"/>
                <w:lang w:val="fr-FR"/>
              </w:rPr>
            </w:pPr>
            <w:r w:rsidRPr="00A66C9F">
              <w:rPr>
                <w:i/>
                <w:sz w:val="14"/>
                <w:lang w:val="fr-FR"/>
              </w:rPr>
              <w:t>Total</w:t>
            </w:r>
          </w:p>
        </w:tc>
        <w:tc>
          <w:tcPr>
            <w:tcW w:w="865" w:type="dxa"/>
            <w:gridSpan w:val="2"/>
            <w:tcBorders>
              <w:bottom w:val="single" w:sz="12" w:space="0" w:color="auto"/>
            </w:tcBorders>
            <w:shd w:val="clear" w:color="auto" w:fill="auto"/>
            <w:noWrap/>
            <w:vAlign w:val="bottom"/>
            <w:hideMark/>
          </w:tcPr>
          <w:p w14:paraId="1BF5AD43" w14:textId="77777777" w:rsidR="005720FB" w:rsidRPr="00A66C9F" w:rsidRDefault="005720FB" w:rsidP="00107D5D">
            <w:pPr>
              <w:suppressAutoHyphens/>
              <w:spacing w:before="81" w:after="81" w:line="160" w:lineRule="exact"/>
              <w:ind w:right="43"/>
              <w:jc w:val="right"/>
              <w:rPr>
                <w:i/>
                <w:sz w:val="14"/>
                <w:lang w:val="fr-FR"/>
              </w:rPr>
            </w:pPr>
            <w:r w:rsidRPr="00A66C9F">
              <w:rPr>
                <w:i/>
                <w:sz w:val="14"/>
                <w:lang w:val="fr-FR"/>
              </w:rPr>
              <w:t>Caisse des pensions</w:t>
            </w:r>
          </w:p>
        </w:tc>
        <w:tc>
          <w:tcPr>
            <w:tcW w:w="865" w:type="dxa"/>
            <w:tcBorders>
              <w:bottom w:val="single" w:sz="12" w:space="0" w:color="auto"/>
            </w:tcBorders>
            <w:shd w:val="clear" w:color="auto" w:fill="auto"/>
            <w:noWrap/>
            <w:vAlign w:val="bottom"/>
            <w:hideMark/>
          </w:tcPr>
          <w:p w14:paraId="3B04A3C7" w14:textId="77777777" w:rsidR="005720FB" w:rsidRPr="00A66C9F" w:rsidRDefault="005720FB" w:rsidP="00107D5D">
            <w:pPr>
              <w:suppressAutoHyphens/>
              <w:spacing w:before="81" w:after="81" w:line="160" w:lineRule="exact"/>
              <w:ind w:right="43"/>
              <w:jc w:val="right"/>
              <w:rPr>
                <w:i/>
                <w:sz w:val="14"/>
                <w:lang w:val="fr-FR"/>
              </w:rPr>
            </w:pPr>
            <w:r w:rsidRPr="00A66C9F">
              <w:rPr>
                <w:i/>
                <w:sz w:val="14"/>
                <w:lang w:val="fr-FR"/>
              </w:rPr>
              <w:t>ONU</w:t>
            </w:r>
          </w:p>
        </w:tc>
        <w:tc>
          <w:tcPr>
            <w:tcW w:w="866" w:type="dxa"/>
            <w:tcBorders>
              <w:bottom w:val="single" w:sz="12" w:space="0" w:color="auto"/>
            </w:tcBorders>
            <w:shd w:val="clear" w:color="auto" w:fill="auto"/>
            <w:noWrap/>
            <w:vAlign w:val="bottom"/>
            <w:hideMark/>
          </w:tcPr>
          <w:p w14:paraId="3C0BEB3A" w14:textId="77777777" w:rsidR="005720FB" w:rsidRPr="00A66C9F" w:rsidRDefault="005720FB" w:rsidP="00107D5D">
            <w:pPr>
              <w:suppressAutoHyphens/>
              <w:spacing w:before="81" w:after="81" w:line="160" w:lineRule="exact"/>
              <w:ind w:right="43"/>
              <w:jc w:val="right"/>
              <w:rPr>
                <w:i/>
                <w:sz w:val="14"/>
                <w:lang w:val="fr-FR"/>
              </w:rPr>
            </w:pPr>
            <w:r w:rsidRPr="00A66C9F">
              <w:rPr>
                <w:i/>
                <w:sz w:val="14"/>
                <w:lang w:val="fr-FR"/>
              </w:rPr>
              <w:t>Total</w:t>
            </w:r>
          </w:p>
        </w:tc>
        <w:tc>
          <w:tcPr>
            <w:tcW w:w="865" w:type="dxa"/>
            <w:gridSpan w:val="2"/>
            <w:tcBorders>
              <w:bottom w:val="single" w:sz="12" w:space="0" w:color="auto"/>
            </w:tcBorders>
            <w:shd w:val="clear" w:color="auto" w:fill="auto"/>
            <w:noWrap/>
            <w:vAlign w:val="bottom"/>
            <w:hideMark/>
          </w:tcPr>
          <w:p w14:paraId="304BD30F" w14:textId="77777777" w:rsidR="005720FB" w:rsidRPr="00A66C9F" w:rsidRDefault="005720FB" w:rsidP="00107D5D">
            <w:pPr>
              <w:suppressAutoHyphens/>
              <w:spacing w:before="81" w:after="81" w:line="160" w:lineRule="exact"/>
              <w:ind w:right="43"/>
              <w:jc w:val="right"/>
              <w:rPr>
                <w:i/>
                <w:sz w:val="14"/>
                <w:lang w:val="fr-FR"/>
              </w:rPr>
            </w:pPr>
            <w:r w:rsidRPr="00A66C9F">
              <w:rPr>
                <w:i/>
                <w:sz w:val="14"/>
                <w:lang w:val="fr-FR"/>
              </w:rPr>
              <w:t>Caisse des pensions</w:t>
            </w:r>
          </w:p>
        </w:tc>
        <w:tc>
          <w:tcPr>
            <w:tcW w:w="866" w:type="dxa"/>
            <w:tcBorders>
              <w:bottom w:val="single" w:sz="12" w:space="0" w:color="auto"/>
            </w:tcBorders>
            <w:shd w:val="clear" w:color="auto" w:fill="auto"/>
            <w:noWrap/>
            <w:vAlign w:val="bottom"/>
            <w:hideMark/>
          </w:tcPr>
          <w:p w14:paraId="67ECA8C2" w14:textId="77777777" w:rsidR="005720FB" w:rsidRPr="00A66C9F" w:rsidRDefault="005720FB" w:rsidP="00107D5D">
            <w:pPr>
              <w:suppressAutoHyphens/>
              <w:spacing w:before="81" w:after="81" w:line="160" w:lineRule="exact"/>
              <w:ind w:right="43"/>
              <w:jc w:val="right"/>
              <w:rPr>
                <w:i/>
                <w:sz w:val="14"/>
                <w:lang w:val="fr-FR"/>
              </w:rPr>
            </w:pPr>
            <w:r w:rsidRPr="00A66C9F">
              <w:rPr>
                <w:i/>
                <w:sz w:val="14"/>
                <w:lang w:val="fr-FR"/>
              </w:rPr>
              <w:t>ONU</w:t>
            </w:r>
          </w:p>
        </w:tc>
        <w:tc>
          <w:tcPr>
            <w:tcW w:w="865" w:type="dxa"/>
            <w:tcBorders>
              <w:bottom w:val="single" w:sz="12" w:space="0" w:color="auto"/>
            </w:tcBorders>
            <w:shd w:val="clear" w:color="auto" w:fill="auto"/>
            <w:noWrap/>
            <w:vAlign w:val="bottom"/>
            <w:hideMark/>
          </w:tcPr>
          <w:p w14:paraId="7D131129" w14:textId="77777777" w:rsidR="005720FB" w:rsidRPr="00A66C9F" w:rsidRDefault="005720FB" w:rsidP="00107D5D">
            <w:pPr>
              <w:suppressAutoHyphens/>
              <w:spacing w:before="81" w:after="81" w:line="160" w:lineRule="exact"/>
              <w:ind w:right="43"/>
              <w:jc w:val="right"/>
              <w:rPr>
                <w:i/>
                <w:sz w:val="14"/>
                <w:lang w:val="fr-FR"/>
              </w:rPr>
            </w:pPr>
            <w:r w:rsidRPr="00A66C9F">
              <w:rPr>
                <w:i/>
                <w:sz w:val="14"/>
                <w:lang w:val="fr-FR"/>
              </w:rPr>
              <w:t>Total</w:t>
            </w:r>
          </w:p>
        </w:tc>
        <w:tc>
          <w:tcPr>
            <w:tcW w:w="865" w:type="dxa"/>
            <w:gridSpan w:val="2"/>
            <w:tcBorders>
              <w:bottom w:val="single" w:sz="12" w:space="0" w:color="auto"/>
            </w:tcBorders>
            <w:shd w:val="clear" w:color="auto" w:fill="auto"/>
            <w:noWrap/>
            <w:vAlign w:val="bottom"/>
            <w:hideMark/>
          </w:tcPr>
          <w:p w14:paraId="5F86474E" w14:textId="77777777" w:rsidR="005720FB" w:rsidRPr="00A66C9F" w:rsidRDefault="005720FB" w:rsidP="00107D5D">
            <w:pPr>
              <w:suppressAutoHyphens/>
              <w:spacing w:before="81" w:after="81" w:line="160" w:lineRule="exact"/>
              <w:ind w:right="43"/>
              <w:jc w:val="right"/>
              <w:rPr>
                <w:i/>
                <w:sz w:val="14"/>
                <w:lang w:val="fr-FR"/>
              </w:rPr>
            </w:pPr>
            <w:r w:rsidRPr="00A66C9F">
              <w:rPr>
                <w:i/>
                <w:sz w:val="14"/>
                <w:lang w:val="fr-FR"/>
              </w:rPr>
              <w:t>Caisse des pensions</w:t>
            </w:r>
          </w:p>
        </w:tc>
        <w:tc>
          <w:tcPr>
            <w:tcW w:w="707" w:type="dxa"/>
            <w:tcBorders>
              <w:bottom w:val="single" w:sz="12" w:space="0" w:color="auto"/>
            </w:tcBorders>
            <w:shd w:val="clear" w:color="auto" w:fill="auto"/>
            <w:noWrap/>
            <w:vAlign w:val="bottom"/>
            <w:hideMark/>
          </w:tcPr>
          <w:p w14:paraId="3D6A6D74" w14:textId="77777777" w:rsidR="005720FB" w:rsidRPr="00A66C9F" w:rsidRDefault="005720FB" w:rsidP="00107D5D">
            <w:pPr>
              <w:suppressAutoHyphens/>
              <w:spacing w:before="81" w:after="81" w:line="160" w:lineRule="exact"/>
              <w:ind w:right="43"/>
              <w:jc w:val="right"/>
              <w:rPr>
                <w:i/>
                <w:sz w:val="14"/>
                <w:lang w:val="fr-FR"/>
              </w:rPr>
            </w:pPr>
            <w:r w:rsidRPr="00A66C9F">
              <w:rPr>
                <w:i/>
                <w:sz w:val="14"/>
                <w:lang w:val="fr-FR"/>
              </w:rPr>
              <w:t>ONU</w:t>
            </w:r>
          </w:p>
        </w:tc>
        <w:tc>
          <w:tcPr>
            <w:tcW w:w="900" w:type="dxa"/>
            <w:tcBorders>
              <w:bottom w:val="single" w:sz="12" w:space="0" w:color="auto"/>
            </w:tcBorders>
            <w:shd w:val="clear" w:color="auto" w:fill="auto"/>
            <w:noWrap/>
            <w:vAlign w:val="bottom"/>
            <w:hideMark/>
          </w:tcPr>
          <w:p w14:paraId="36F5C71E" w14:textId="77777777" w:rsidR="005720FB" w:rsidRPr="00A66C9F" w:rsidRDefault="005720FB" w:rsidP="00107D5D">
            <w:pPr>
              <w:suppressAutoHyphens/>
              <w:spacing w:before="81" w:after="81" w:line="160" w:lineRule="exact"/>
              <w:ind w:right="43"/>
              <w:jc w:val="right"/>
              <w:rPr>
                <w:i/>
                <w:sz w:val="14"/>
                <w:lang w:val="fr-FR"/>
              </w:rPr>
            </w:pPr>
            <w:r w:rsidRPr="00A66C9F">
              <w:rPr>
                <w:i/>
                <w:sz w:val="14"/>
                <w:lang w:val="fr-FR"/>
              </w:rPr>
              <w:t>Total</w:t>
            </w:r>
          </w:p>
        </w:tc>
        <w:tc>
          <w:tcPr>
            <w:tcW w:w="900" w:type="dxa"/>
            <w:tcBorders>
              <w:bottom w:val="single" w:sz="12" w:space="0" w:color="auto"/>
            </w:tcBorders>
            <w:shd w:val="clear" w:color="auto" w:fill="auto"/>
            <w:noWrap/>
            <w:vAlign w:val="bottom"/>
          </w:tcPr>
          <w:p w14:paraId="0DE4AAC9" w14:textId="77777777" w:rsidR="005720FB" w:rsidRPr="00A66C9F" w:rsidRDefault="005720FB" w:rsidP="00107D5D">
            <w:pPr>
              <w:suppressAutoHyphens/>
              <w:spacing w:before="81" w:after="81" w:line="160" w:lineRule="exact"/>
              <w:ind w:right="43"/>
              <w:jc w:val="right"/>
              <w:rPr>
                <w:i/>
                <w:sz w:val="14"/>
                <w:lang w:val="fr-FR"/>
              </w:rPr>
            </w:pPr>
            <w:r w:rsidRPr="00A66C9F">
              <w:rPr>
                <w:i/>
                <w:sz w:val="14"/>
                <w:lang w:val="fr-FR"/>
              </w:rPr>
              <w:t>Pourcentage</w:t>
            </w:r>
          </w:p>
        </w:tc>
      </w:tr>
      <w:tr w:rsidR="005720FB" w:rsidRPr="00A66C9F" w14:paraId="4DCB3E1D" w14:textId="77777777" w:rsidTr="00225C0F">
        <w:trPr>
          <w:cantSplit/>
          <w:trHeight w:hRule="exact" w:val="115"/>
          <w:tblHeader/>
        </w:trPr>
        <w:tc>
          <w:tcPr>
            <w:tcW w:w="270" w:type="dxa"/>
            <w:tcBorders>
              <w:top w:val="single" w:sz="12" w:space="0" w:color="auto"/>
            </w:tcBorders>
            <w:shd w:val="clear" w:color="auto" w:fill="auto"/>
            <w:noWrap/>
            <w:vAlign w:val="bottom"/>
          </w:tcPr>
          <w:p w14:paraId="641986FD" w14:textId="77777777" w:rsidR="005720FB" w:rsidRPr="00A66C9F" w:rsidRDefault="005720FB" w:rsidP="00107D5D">
            <w:pPr>
              <w:suppressAutoHyphens/>
              <w:spacing w:before="40" w:after="40" w:line="210" w:lineRule="exact"/>
              <w:ind w:right="40"/>
              <w:rPr>
                <w:sz w:val="17"/>
                <w:lang w:val="fr-FR"/>
              </w:rPr>
            </w:pPr>
          </w:p>
        </w:tc>
        <w:tc>
          <w:tcPr>
            <w:tcW w:w="1800" w:type="dxa"/>
            <w:tcBorders>
              <w:top w:val="single" w:sz="12" w:space="0" w:color="auto"/>
            </w:tcBorders>
            <w:shd w:val="clear" w:color="auto" w:fill="auto"/>
            <w:noWrap/>
            <w:vAlign w:val="bottom"/>
          </w:tcPr>
          <w:p w14:paraId="425C895A" w14:textId="77777777" w:rsidR="005720FB" w:rsidRPr="00A66C9F" w:rsidRDefault="005720FB" w:rsidP="00107D5D">
            <w:pPr>
              <w:suppressAutoHyphens/>
              <w:spacing w:before="40" w:after="40" w:line="210" w:lineRule="exact"/>
              <w:ind w:right="43"/>
              <w:rPr>
                <w:sz w:val="17"/>
                <w:lang w:val="fr-FR"/>
              </w:rPr>
            </w:pPr>
          </w:p>
        </w:tc>
        <w:tc>
          <w:tcPr>
            <w:tcW w:w="865" w:type="dxa"/>
            <w:tcBorders>
              <w:top w:val="single" w:sz="12" w:space="0" w:color="auto"/>
            </w:tcBorders>
            <w:shd w:val="clear" w:color="auto" w:fill="auto"/>
            <w:noWrap/>
            <w:vAlign w:val="bottom"/>
          </w:tcPr>
          <w:p w14:paraId="730E1BAE" w14:textId="77777777" w:rsidR="005720FB" w:rsidRPr="00A66C9F" w:rsidRDefault="005720FB" w:rsidP="00107D5D">
            <w:pPr>
              <w:suppressAutoHyphens/>
              <w:spacing w:before="40" w:after="40" w:line="210" w:lineRule="exact"/>
              <w:ind w:right="43"/>
              <w:jc w:val="right"/>
              <w:rPr>
                <w:sz w:val="17"/>
                <w:lang w:val="fr-FR"/>
              </w:rPr>
            </w:pPr>
          </w:p>
        </w:tc>
        <w:tc>
          <w:tcPr>
            <w:tcW w:w="865" w:type="dxa"/>
            <w:tcBorders>
              <w:top w:val="single" w:sz="12" w:space="0" w:color="auto"/>
            </w:tcBorders>
            <w:shd w:val="clear" w:color="auto" w:fill="auto"/>
            <w:noWrap/>
            <w:vAlign w:val="bottom"/>
          </w:tcPr>
          <w:p w14:paraId="7F48E82E" w14:textId="77777777" w:rsidR="005720FB" w:rsidRPr="00A66C9F" w:rsidRDefault="005720FB" w:rsidP="00107D5D">
            <w:pPr>
              <w:suppressAutoHyphens/>
              <w:spacing w:before="40" w:after="40" w:line="210" w:lineRule="exact"/>
              <w:ind w:right="43"/>
              <w:jc w:val="right"/>
              <w:rPr>
                <w:sz w:val="17"/>
                <w:lang w:val="fr-FR"/>
              </w:rPr>
            </w:pPr>
          </w:p>
        </w:tc>
        <w:tc>
          <w:tcPr>
            <w:tcW w:w="866" w:type="dxa"/>
            <w:tcBorders>
              <w:top w:val="single" w:sz="12" w:space="0" w:color="auto"/>
            </w:tcBorders>
            <w:shd w:val="clear" w:color="auto" w:fill="auto"/>
            <w:noWrap/>
            <w:vAlign w:val="bottom"/>
          </w:tcPr>
          <w:p w14:paraId="2B002439" w14:textId="77777777" w:rsidR="005720FB" w:rsidRPr="00A66C9F" w:rsidRDefault="005720FB" w:rsidP="00107D5D">
            <w:pPr>
              <w:suppressAutoHyphens/>
              <w:spacing w:before="40" w:after="40" w:line="210" w:lineRule="exact"/>
              <w:ind w:right="43"/>
              <w:jc w:val="right"/>
              <w:rPr>
                <w:sz w:val="17"/>
                <w:lang w:val="fr-FR"/>
              </w:rPr>
            </w:pPr>
          </w:p>
        </w:tc>
        <w:tc>
          <w:tcPr>
            <w:tcW w:w="865" w:type="dxa"/>
            <w:gridSpan w:val="2"/>
            <w:tcBorders>
              <w:top w:val="single" w:sz="12" w:space="0" w:color="auto"/>
            </w:tcBorders>
            <w:shd w:val="clear" w:color="auto" w:fill="auto"/>
            <w:noWrap/>
            <w:vAlign w:val="bottom"/>
          </w:tcPr>
          <w:p w14:paraId="3F7A6DC2" w14:textId="77777777" w:rsidR="005720FB" w:rsidRPr="00A66C9F" w:rsidRDefault="005720FB" w:rsidP="00107D5D">
            <w:pPr>
              <w:suppressAutoHyphens/>
              <w:spacing w:before="40" w:after="40" w:line="210" w:lineRule="exact"/>
              <w:ind w:right="43"/>
              <w:jc w:val="right"/>
              <w:rPr>
                <w:sz w:val="17"/>
                <w:lang w:val="fr-FR"/>
              </w:rPr>
            </w:pPr>
          </w:p>
        </w:tc>
        <w:tc>
          <w:tcPr>
            <w:tcW w:w="865" w:type="dxa"/>
            <w:tcBorders>
              <w:top w:val="single" w:sz="12" w:space="0" w:color="auto"/>
            </w:tcBorders>
            <w:shd w:val="clear" w:color="auto" w:fill="auto"/>
            <w:noWrap/>
            <w:vAlign w:val="bottom"/>
          </w:tcPr>
          <w:p w14:paraId="56D17727" w14:textId="77777777" w:rsidR="005720FB" w:rsidRPr="00A66C9F" w:rsidRDefault="005720FB" w:rsidP="00107D5D">
            <w:pPr>
              <w:suppressAutoHyphens/>
              <w:spacing w:before="40" w:after="40" w:line="210" w:lineRule="exact"/>
              <w:ind w:right="43"/>
              <w:jc w:val="right"/>
              <w:rPr>
                <w:sz w:val="17"/>
                <w:lang w:val="fr-FR"/>
              </w:rPr>
            </w:pPr>
          </w:p>
        </w:tc>
        <w:tc>
          <w:tcPr>
            <w:tcW w:w="866" w:type="dxa"/>
            <w:tcBorders>
              <w:top w:val="single" w:sz="12" w:space="0" w:color="auto"/>
            </w:tcBorders>
            <w:shd w:val="clear" w:color="auto" w:fill="auto"/>
            <w:noWrap/>
            <w:vAlign w:val="bottom"/>
          </w:tcPr>
          <w:p w14:paraId="3CD4FE8A" w14:textId="77777777" w:rsidR="005720FB" w:rsidRPr="00A66C9F" w:rsidRDefault="005720FB" w:rsidP="00107D5D">
            <w:pPr>
              <w:suppressAutoHyphens/>
              <w:spacing w:before="40" w:after="40" w:line="210" w:lineRule="exact"/>
              <w:ind w:right="43"/>
              <w:jc w:val="right"/>
              <w:rPr>
                <w:sz w:val="17"/>
                <w:lang w:val="fr-FR"/>
              </w:rPr>
            </w:pPr>
          </w:p>
        </w:tc>
        <w:tc>
          <w:tcPr>
            <w:tcW w:w="865" w:type="dxa"/>
            <w:gridSpan w:val="2"/>
            <w:tcBorders>
              <w:top w:val="single" w:sz="12" w:space="0" w:color="auto"/>
            </w:tcBorders>
            <w:shd w:val="clear" w:color="auto" w:fill="auto"/>
            <w:noWrap/>
            <w:vAlign w:val="bottom"/>
          </w:tcPr>
          <w:p w14:paraId="5235D923" w14:textId="77777777" w:rsidR="005720FB" w:rsidRPr="00A66C9F" w:rsidRDefault="005720FB" w:rsidP="00107D5D">
            <w:pPr>
              <w:suppressAutoHyphens/>
              <w:spacing w:before="40" w:after="40" w:line="210" w:lineRule="exact"/>
              <w:ind w:right="43"/>
              <w:jc w:val="right"/>
              <w:rPr>
                <w:sz w:val="17"/>
                <w:lang w:val="fr-FR"/>
              </w:rPr>
            </w:pPr>
          </w:p>
        </w:tc>
        <w:tc>
          <w:tcPr>
            <w:tcW w:w="866" w:type="dxa"/>
            <w:tcBorders>
              <w:top w:val="single" w:sz="12" w:space="0" w:color="auto"/>
            </w:tcBorders>
            <w:shd w:val="clear" w:color="auto" w:fill="auto"/>
            <w:noWrap/>
            <w:vAlign w:val="bottom"/>
          </w:tcPr>
          <w:p w14:paraId="76D7E7DB" w14:textId="77777777" w:rsidR="005720FB" w:rsidRPr="00A66C9F" w:rsidRDefault="005720FB" w:rsidP="00107D5D">
            <w:pPr>
              <w:suppressAutoHyphens/>
              <w:spacing w:before="40" w:after="40" w:line="210" w:lineRule="exact"/>
              <w:ind w:right="43"/>
              <w:jc w:val="right"/>
              <w:rPr>
                <w:sz w:val="17"/>
                <w:lang w:val="fr-FR"/>
              </w:rPr>
            </w:pPr>
          </w:p>
        </w:tc>
        <w:tc>
          <w:tcPr>
            <w:tcW w:w="865" w:type="dxa"/>
            <w:tcBorders>
              <w:top w:val="single" w:sz="12" w:space="0" w:color="auto"/>
            </w:tcBorders>
            <w:shd w:val="clear" w:color="auto" w:fill="auto"/>
            <w:noWrap/>
            <w:vAlign w:val="bottom"/>
          </w:tcPr>
          <w:p w14:paraId="53E6BC16" w14:textId="77777777" w:rsidR="005720FB" w:rsidRPr="00A66C9F" w:rsidRDefault="005720FB" w:rsidP="00107D5D">
            <w:pPr>
              <w:suppressAutoHyphens/>
              <w:spacing w:before="40" w:after="40" w:line="210" w:lineRule="exact"/>
              <w:ind w:right="43"/>
              <w:jc w:val="right"/>
              <w:rPr>
                <w:sz w:val="17"/>
                <w:lang w:val="fr-FR"/>
              </w:rPr>
            </w:pPr>
          </w:p>
        </w:tc>
        <w:tc>
          <w:tcPr>
            <w:tcW w:w="865" w:type="dxa"/>
            <w:gridSpan w:val="2"/>
            <w:tcBorders>
              <w:top w:val="single" w:sz="12" w:space="0" w:color="auto"/>
            </w:tcBorders>
            <w:shd w:val="clear" w:color="auto" w:fill="auto"/>
            <w:noWrap/>
            <w:vAlign w:val="bottom"/>
          </w:tcPr>
          <w:p w14:paraId="55CA77D3" w14:textId="77777777" w:rsidR="005720FB" w:rsidRPr="00A66C9F" w:rsidRDefault="005720FB" w:rsidP="00107D5D">
            <w:pPr>
              <w:suppressAutoHyphens/>
              <w:spacing w:before="40" w:after="40" w:line="210" w:lineRule="exact"/>
              <w:ind w:right="43"/>
              <w:jc w:val="right"/>
              <w:rPr>
                <w:sz w:val="17"/>
                <w:lang w:val="fr-FR"/>
              </w:rPr>
            </w:pPr>
          </w:p>
        </w:tc>
        <w:tc>
          <w:tcPr>
            <w:tcW w:w="707" w:type="dxa"/>
            <w:tcBorders>
              <w:top w:val="single" w:sz="12" w:space="0" w:color="auto"/>
            </w:tcBorders>
            <w:shd w:val="clear" w:color="auto" w:fill="auto"/>
            <w:noWrap/>
            <w:vAlign w:val="bottom"/>
          </w:tcPr>
          <w:p w14:paraId="5363BFB4" w14:textId="77777777" w:rsidR="005720FB" w:rsidRPr="00A66C9F" w:rsidRDefault="005720FB" w:rsidP="00107D5D">
            <w:pPr>
              <w:suppressAutoHyphens/>
              <w:spacing w:before="40" w:after="40" w:line="210" w:lineRule="exact"/>
              <w:ind w:right="43"/>
              <w:jc w:val="right"/>
              <w:rPr>
                <w:sz w:val="17"/>
                <w:lang w:val="fr-FR"/>
              </w:rPr>
            </w:pPr>
          </w:p>
        </w:tc>
        <w:tc>
          <w:tcPr>
            <w:tcW w:w="900" w:type="dxa"/>
            <w:tcBorders>
              <w:top w:val="single" w:sz="12" w:space="0" w:color="auto"/>
            </w:tcBorders>
            <w:shd w:val="clear" w:color="auto" w:fill="auto"/>
            <w:noWrap/>
            <w:vAlign w:val="bottom"/>
          </w:tcPr>
          <w:p w14:paraId="34BE455E" w14:textId="77777777" w:rsidR="005720FB" w:rsidRPr="00A66C9F" w:rsidRDefault="005720FB" w:rsidP="00107D5D">
            <w:pPr>
              <w:suppressAutoHyphens/>
              <w:spacing w:before="40" w:after="40" w:line="210" w:lineRule="exact"/>
              <w:ind w:right="43"/>
              <w:jc w:val="right"/>
              <w:rPr>
                <w:sz w:val="17"/>
                <w:lang w:val="fr-FR"/>
              </w:rPr>
            </w:pPr>
          </w:p>
        </w:tc>
        <w:tc>
          <w:tcPr>
            <w:tcW w:w="900" w:type="dxa"/>
            <w:tcBorders>
              <w:top w:val="single" w:sz="12" w:space="0" w:color="auto"/>
            </w:tcBorders>
            <w:shd w:val="clear" w:color="auto" w:fill="auto"/>
            <w:noWrap/>
            <w:vAlign w:val="bottom"/>
          </w:tcPr>
          <w:p w14:paraId="0277ECFC" w14:textId="77777777" w:rsidR="005720FB" w:rsidRPr="00A66C9F" w:rsidRDefault="005720FB" w:rsidP="00107D5D">
            <w:pPr>
              <w:suppressAutoHyphens/>
              <w:spacing w:before="40" w:after="40" w:line="210" w:lineRule="exact"/>
              <w:ind w:right="43"/>
              <w:jc w:val="right"/>
              <w:rPr>
                <w:sz w:val="17"/>
                <w:lang w:val="fr-FR"/>
              </w:rPr>
            </w:pPr>
          </w:p>
        </w:tc>
      </w:tr>
      <w:tr w:rsidR="005720FB" w:rsidRPr="00A66C9F" w14:paraId="5259E88B" w14:textId="77777777" w:rsidTr="00225C0F">
        <w:trPr>
          <w:cantSplit/>
        </w:trPr>
        <w:tc>
          <w:tcPr>
            <w:tcW w:w="2070" w:type="dxa"/>
            <w:gridSpan w:val="2"/>
            <w:tcBorders>
              <w:bottom w:val="single" w:sz="4" w:space="0" w:color="auto"/>
            </w:tcBorders>
            <w:shd w:val="clear" w:color="auto" w:fill="auto"/>
            <w:noWrap/>
            <w:vAlign w:val="bottom"/>
            <w:hideMark/>
          </w:tcPr>
          <w:p w14:paraId="091AABB8" w14:textId="77777777" w:rsidR="005720FB" w:rsidRPr="00A66C9F" w:rsidRDefault="005720FB" w:rsidP="00107D5D">
            <w:pPr>
              <w:keepNext/>
              <w:tabs>
                <w:tab w:val="left" w:pos="288"/>
                <w:tab w:val="left" w:pos="576"/>
                <w:tab w:val="left" w:pos="864"/>
                <w:tab w:val="left" w:pos="1152"/>
              </w:tabs>
              <w:suppressAutoHyphens/>
              <w:spacing w:before="81" w:after="81" w:line="210" w:lineRule="exact"/>
              <w:ind w:right="43"/>
              <w:rPr>
                <w:b/>
                <w:bCs/>
                <w:sz w:val="17"/>
                <w:lang w:val="fr-FR"/>
              </w:rPr>
            </w:pPr>
            <w:r w:rsidRPr="00A66C9F">
              <w:rPr>
                <w:b/>
                <w:bCs/>
                <w:sz w:val="17"/>
                <w:lang w:val="fr-FR"/>
              </w:rPr>
              <w:t>D.</w:t>
            </w:r>
            <w:r w:rsidRPr="00A66C9F">
              <w:rPr>
                <w:b/>
                <w:bCs/>
                <w:sz w:val="17"/>
                <w:lang w:val="fr-FR"/>
              </w:rPr>
              <w:tab/>
              <w:t>Comité mixte</w:t>
            </w:r>
          </w:p>
        </w:tc>
        <w:tc>
          <w:tcPr>
            <w:tcW w:w="865" w:type="dxa"/>
            <w:tcBorders>
              <w:bottom w:val="single" w:sz="4" w:space="0" w:color="auto"/>
            </w:tcBorders>
            <w:shd w:val="clear" w:color="auto" w:fill="auto"/>
            <w:noWrap/>
            <w:vAlign w:val="bottom"/>
          </w:tcPr>
          <w:p w14:paraId="5F3A5968" w14:textId="77777777" w:rsidR="005720FB" w:rsidRPr="00A66C9F" w:rsidRDefault="005720FB" w:rsidP="00107D5D">
            <w:pPr>
              <w:keepNext/>
              <w:tabs>
                <w:tab w:val="left" w:pos="288"/>
                <w:tab w:val="left" w:pos="576"/>
                <w:tab w:val="left" w:pos="864"/>
                <w:tab w:val="left" w:pos="1152"/>
              </w:tabs>
              <w:suppressAutoHyphens/>
              <w:spacing w:before="81" w:after="81" w:line="210" w:lineRule="exact"/>
              <w:ind w:right="43"/>
              <w:jc w:val="right"/>
              <w:rPr>
                <w:sz w:val="17"/>
                <w:lang w:val="fr-FR"/>
              </w:rPr>
            </w:pPr>
            <w:r w:rsidRPr="00A66C9F">
              <w:rPr>
                <w:sz w:val="17"/>
                <w:lang w:val="fr-FR"/>
              </w:rPr>
              <w:t xml:space="preserve"> 1 006,5 </w:t>
            </w:r>
          </w:p>
        </w:tc>
        <w:tc>
          <w:tcPr>
            <w:tcW w:w="865" w:type="dxa"/>
            <w:tcBorders>
              <w:bottom w:val="single" w:sz="4" w:space="0" w:color="auto"/>
            </w:tcBorders>
            <w:shd w:val="clear" w:color="auto" w:fill="auto"/>
            <w:noWrap/>
            <w:vAlign w:val="bottom"/>
          </w:tcPr>
          <w:p w14:paraId="5C84C106" w14:textId="77777777" w:rsidR="005720FB" w:rsidRPr="00A66C9F" w:rsidRDefault="005720FB" w:rsidP="00107D5D">
            <w:pPr>
              <w:keepNext/>
              <w:tabs>
                <w:tab w:val="left" w:pos="288"/>
                <w:tab w:val="left" w:pos="576"/>
                <w:tab w:val="left" w:pos="864"/>
                <w:tab w:val="left" w:pos="1152"/>
              </w:tabs>
              <w:suppressAutoHyphens/>
              <w:spacing w:before="81" w:after="81" w:line="210" w:lineRule="exact"/>
              <w:ind w:right="43"/>
              <w:jc w:val="right"/>
              <w:rPr>
                <w:sz w:val="17"/>
                <w:lang w:val="fr-FR"/>
              </w:rPr>
            </w:pPr>
            <w:r w:rsidRPr="00A66C9F">
              <w:rPr>
                <w:sz w:val="17"/>
                <w:lang w:val="fr-FR"/>
              </w:rPr>
              <w:t xml:space="preserve"> –</w:t>
            </w:r>
          </w:p>
        </w:tc>
        <w:tc>
          <w:tcPr>
            <w:tcW w:w="866" w:type="dxa"/>
            <w:tcBorders>
              <w:bottom w:val="single" w:sz="4" w:space="0" w:color="auto"/>
            </w:tcBorders>
            <w:shd w:val="clear" w:color="auto" w:fill="auto"/>
            <w:noWrap/>
            <w:vAlign w:val="bottom"/>
          </w:tcPr>
          <w:p w14:paraId="6BEDDFA4" w14:textId="77777777" w:rsidR="005720FB" w:rsidRPr="00A66C9F" w:rsidRDefault="005720FB" w:rsidP="00107D5D">
            <w:pPr>
              <w:keepNext/>
              <w:tabs>
                <w:tab w:val="left" w:pos="288"/>
                <w:tab w:val="left" w:pos="576"/>
                <w:tab w:val="left" w:pos="864"/>
                <w:tab w:val="left" w:pos="1152"/>
              </w:tabs>
              <w:suppressAutoHyphens/>
              <w:spacing w:before="81" w:after="81" w:line="210" w:lineRule="exact"/>
              <w:ind w:right="43"/>
              <w:jc w:val="right"/>
              <w:rPr>
                <w:sz w:val="17"/>
                <w:lang w:val="fr-FR"/>
              </w:rPr>
            </w:pPr>
            <w:r w:rsidRPr="00A66C9F">
              <w:rPr>
                <w:sz w:val="17"/>
                <w:lang w:val="fr-FR"/>
              </w:rPr>
              <w:t xml:space="preserve"> 1 006,5 </w:t>
            </w:r>
          </w:p>
        </w:tc>
        <w:tc>
          <w:tcPr>
            <w:tcW w:w="865" w:type="dxa"/>
            <w:gridSpan w:val="2"/>
            <w:tcBorders>
              <w:bottom w:val="single" w:sz="4" w:space="0" w:color="auto"/>
            </w:tcBorders>
            <w:shd w:val="clear" w:color="auto" w:fill="auto"/>
            <w:noWrap/>
            <w:vAlign w:val="bottom"/>
          </w:tcPr>
          <w:p w14:paraId="1FA975F7" w14:textId="77777777" w:rsidR="005720FB" w:rsidRPr="00A66C9F" w:rsidRDefault="005720FB" w:rsidP="00107D5D">
            <w:pPr>
              <w:keepNext/>
              <w:tabs>
                <w:tab w:val="left" w:pos="288"/>
                <w:tab w:val="left" w:pos="576"/>
                <w:tab w:val="left" w:pos="864"/>
                <w:tab w:val="left" w:pos="1152"/>
              </w:tabs>
              <w:suppressAutoHyphens/>
              <w:spacing w:before="81" w:after="81" w:line="210" w:lineRule="exact"/>
              <w:ind w:right="43"/>
              <w:jc w:val="right"/>
              <w:rPr>
                <w:sz w:val="17"/>
                <w:lang w:val="fr-FR"/>
              </w:rPr>
            </w:pPr>
            <w:r w:rsidRPr="00A66C9F">
              <w:rPr>
                <w:sz w:val="17"/>
                <w:lang w:val="fr-FR"/>
              </w:rPr>
              <w:t xml:space="preserve"> 1 332,8 </w:t>
            </w:r>
          </w:p>
        </w:tc>
        <w:tc>
          <w:tcPr>
            <w:tcW w:w="865" w:type="dxa"/>
            <w:tcBorders>
              <w:bottom w:val="single" w:sz="4" w:space="0" w:color="auto"/>
            </w:tcBorders>
            <w:shd w:val="clear" w:color="auto" w:fill="auto"/>
            <w:noWrap/>
            <w:vAlign w:val="bottom"/>
          </w:tcPr>
          <w:p w14:paraId="431F410C" w14:textId="77777777" w:rsidR="005720FB" w:rsidRPr="00A66C9F" w:rsidRDefault="005720FB" w:rsidP="00107D5D">
            <w:pPr>
              <w:keepNext/>
              <w:tabs>
                <w:tab w:val="left" w:pos="288"/>
                <w:tab w:val="left" w:pos="576"/>
                <w:tab w:val="left" w:pos="864"/>
                <w:tab w:val="left" w:pos="1152"/>
              </w:tabs>
              <w:suppressAutoHyphens/>
              <w:spacing w:before="81" w:after="81" w:line="210" w:lineRule="exact"/>
              <w:ind w:right="43"/>
              <w:jc w:val="right"/>
              <w:rPr>
                <w:sz w:val="17"/>
                <w:lang w:val="fr-FR"/>
              </w:rPr>
            </w:pPr>
            <w:r w:rsidRPr="00A66C9F">
              <w:rPr>
                <w:sz w:val="17"/>
                <w:lang w:val="fr-FR"/>
              </w:rPr>
              <w:t xml:space="preserve"> –</w:t>
            </w:r>
          </w:p>
        </w:tc>
        <w:tc>
          <w:tcPr>
            <w:tcW w:w="866" w:type="dxa"/>
            <w:tcBorders>
              <w:bottom w:val="single" w:sz="4" w:space="0" w:color="auto"/>
            </w:tcBorders>
            <w:shd w:val="clear" w:color="auto" w:fill="auto"/>
            <w:noWrap/>
            <w:vAlign w:val="bottom"/>
          </w:tcPr>
          <w:p w14:paraId="210F4BAB" w14:textId="77777777" w:rsidR="005720FB" w:rsidRPr="00A66C9F" w:rsidRDefault="005720FB" w:rsidP="00107D5D">
            <w:pPr>
              <w:keepNext/>
              <w:tabs>
                <w:tab w:val="left" w:pos="288"/>
                <w:tab w:val="left" w:pos="576"/>
                <w:tab w:val="left" w:pos="864"/>
                <w:tab w:val="left" w:pos="1152"/>
              </w:tabs>
              <w:suppressAutoHyphens/>
              <w:spacing w:before="81" w:after="81" w:line="210" w:lineRule="exact"/>
              <w:ind w:right="43"/>
              <w:jc w:val="right"/>
              <w:rPr>
                <w:sz w:val="17"/>
                <w:lang w:val="fr-FR"/>
              </w:rPr>
            </w:pPr>
            <w:r w:rsidRPr="00A66C9F">
              <w:rPr>
                <w:sz w:val="17"/>
                <w:lang w:val="fr-FR"/>
              </w:rPr>
              <w:t xml:space="preserve"> 1 332,8 </w:t>
            </w:r>
          </w:p>
        </w:tc>
        <w:tc>
          <w:tcPr>
            <w:tcW w:w="865" w:type="dxa"/>
            <w:gridSpan w:val="2"/>
            <w:tcBorders>
              <w:bottom w:val="single" w:sz="4" w:space="0" w:color="auto"/>
            </w:tcBorders>
            <w:shd w:val="clear" w:color="auto" w:fill="auto"/>
            <w:noWrap/>
            <w:vAlign w:val="bottom"/>
          </w:tcPr>
          <w:p w14:paraId="62D69E95" w14:textId="77777777" w:rsidR="005720FB" w:rsidRPr="00A66C9F" w:rsidRDefault="005720FB" w:rsidP="00107D5D">
            <w:pPr>
              <w:keepNext/>
              <w:tabs>
                <w:tab w:val="left" w:pos="288"/>
                <w:tab w:val="left" w:pos="576"/>
                <w:tab w:val="left" w:pos="864"/>
                <w:tab w:val="left" w:pos="1152"/>
              </w:tabs>
              <w:suppressAutoHyphens/>
              <w:spacing w:before="81" w:after="81" w:line="210" w:lineRule="exact"/>
              <w:ind w:right="43"/>
              <w:jc w:val="right"/>
              <w:rPr>
                <w:sz w:val="17"/>
                <w:lang w:val="fr-FR"/>
              </w:rPr>
            </w:pPr>
            <w:r w:rsidRPr="00A66C9F">
              <w:rPr>
                <w:sz w:val="17"/>
                <w:lang w:val="fr-FR"/>
              </w:rPr>
              <w:t xml:space="preserve"> 1 126,8 </w:t>
            </w:r>
          </w:p>
        </w:tc>
        <w:tc>
          <w:tcPr>
            <w:tcW w:w="866" w:type="dxa"/>
            <w:tcBorders>
              <w:bottom w:val="single" w:sz="4" w:space="0" w:color="auto"/>
            </w:tcBorders>
            <w:shd w:val="clear" w:color="auto" w:fill="auto"/>
            <w:noWrap/>
            <w:vAlign w:val="bottom"/>
          </w:tcPr>
          <w:p w14:paraId="5E8EB48F" w14:textId="77777777" w:rsidR="005720FB" w:rsidRPr="00A66C9F" w:rsidRDefault="005720FB" w:rsidP="00107D5D">
            <w:pPr>
              <w:keepNext/>
              <w:tabs>
                <w:tab w:val="left" w:pos="288"/>
                <w:tab w:val="left" w:pos="576"/>
                <w:tab w:val="left" w:pos="864"/>
                <w:tab w:val="left" w:pos="1152"/>
              </w:tabs>
              <w:suppressAutoHyphens/>
              <w:spacing w:before="81" w:after="81" w:line="210" w:lineRule="exact"/>
              <w:ind w:right="43"/>
              <w:jc w:val="right"/>
              <w:rPr>
                <w:sz w:val="17"/>
                <w:lang w:val="fr-FR"/>
              </w:rPr>
            </w:pPr>
            <w:r w:rsidRPr="00A66C9F">
              <w:rPr>
                <w:sz w:val="17"/>
                <w:lang w:val="fr-FR"/>
              </w:rPr>
              <w:t xml:space="preserve"> –</w:t>
            </w:r>
          </w:p>
        </w:tc>
        <w:tc>
          <w:tcPr>
            <w:tcW w:w="865" w:type="dxa"/>
            <w:tcBorders>
              <w:bottom w:val="single" w:sz="4" w:space="0" w:color="auto"/>
            </w:tcBorders>
            <w:shd w:val="clear" w:color="auto" w:fill="auto"/>
            <w:noWrap/>
            <w:vAlign w:val="bottom"/>
          </w:tcPr>
          <w:p w14:paraId="23B1CA83" w14:textId="77777777" w:rsidR="005720FB" w:rsidRPr="00A66C9F" w:rsidRDefault="005720FB" w:rsidP="00107D5D">
            <w:pPr>
              <w:keepNext/>
              <w:tabs>
                <w:tab w:val="left" w:pos="288"/>
                <w:tab w:val="left" w:pos="576"/>
                <w:tab w:val="left" w:pos="864"/>
                <w:tab w:val="left" w:pos="1152"/>
              </w:tabs>
              <w:suppressAutoHyphens/>
              <w:spacing w:before="81" w:after="81" w:line="210" w:lineRule="exact"/>
              <w:ind w:right="43"/>
              <w:jc w:val="right"/>
              <w:rPr>
                <w:sz w:val="17"/>
                <w:lang w:val="fr-FR"/>
              </w:rPr>
            </w:pPr>
            <w:r w:rsidRPr="00A66C9F">
              <w:rPr>
                <w:sz w:val="17"/>
                <w:lang w:val="fr-FR"/>
              </w:rPr>
              <w:t xml:space="preserve"> 1 126,8 </w:t>
            </w:r>
          </w:p>
        </w:tc>
        <w:tc>
          <w:tcPr>
            <w:tcW w:w="865" w:type="dxa"/>
            <w:gridSpan w:val="2"/>
            <w:tcBorders>
              <w:bottom w:val="single" w:sz="4" w:space="0" w:color="auto"/>
            </w:tcBorders>
            <w:shd w:val="clear" w:color="auto" w:fill="auto"/>
            <w:noWrap/>
            <w:vAlign w:val="bottom"/>
          </w:tcPr>
          <w:p w14:paraId="76B2C107" w14:textId="77777777" w:rsidR="005720FB" w:rsidRPr="00A66C9F" w:rsidRDefault="005720FB" w:rsidP="00107D5D">
            <w:pPr>
              <w:keepNext/>
              <w:tabs>
                <w:tab w:val="left" w:pos="288"/>
                <w:tab w:val="left" w:pos="576"/>
                <w:tab w:val="left" w:pos="864"/>
                <w:tab w:val="left" w:pos="1152"/>
              </w:tabs>
              <w:suppressAutoHyphens/>
              <w:spacing w:before="81" w:after="81" w:line="210" w:lineRule="exact"/>
              <w:ind w:right="43"/>
              <w:jc w:val="right"/>
              <w:rPr>
                <w:sz w:val="17"/>
                <w:lang w:val="fr-FR"/>
              </w:rPr>
            </w:pPr>
            <w:r w:rsidRPr="00A66C9F">
              <w:rPr>
                <w:sz w:val="17"/>
                <w:lang w:val="fr-FR"/>
              </w:rPr>
              <w:t xml:space="preserve"> (206,0)</w:t>
            </w:r>
          </w:p>
        </w:tc>
        <w:tc>
          <w:tcPr>
            <w:tcW w:w="707" w:type="dxa"/>
            <w:tcBorders>
              <w:bottom w:val="single" w:sz="4" w:space="0" w:color="auto"/>
            </w:tcBorders>
            <w:shd w:val="clear" w:color="auto" w:fill="auto"/>
            <w:noWrap/>
            <w:vAlign w:val="bottom"/>
          </w:tcPr>
          <w:p w14:paraId="42A427A6" w14:textId="77777777" w:rsidR="005720FB" w:rsidRPr="00A66C9F" w:rsidRDefault="005720FB" w:rsidP="00107D5D">
            <w:pPr>
              <w:keepNext/>
              <w:tabs>
                <w:tab w:val="left" w:pos="288"/>
                <w:tab w:val="left" w:pos="576"/>
                <w:tab w:val="left" w:pos="864"/>
                <w:tab w:val="left" w:pos="1152"/>
              </w:tabs>
              <w:suppressAutoHyphens/>
              <w:spacing w:before="81" w:after="81" w:line="210" w:lineRule="exact"/>
              <w:ind w:right="43"/>
              <w:jc w:val="right"/>
              <w:rPr>
                <w:sz w:val="17"/>
                <w:lang w:val="fr-FR"/>
              </w:rPr>
            </w:pPr>
            <w:r w:rsidRPr="00A66C9F">
              <w:rPr>
                <w:sz w:val="17"/>
                <w:lang w:val="fr-FR"/>
              </w:rPr>
              <w:t xml:space="preserve"> –</w:t>
            </w:r>
          </w:p>
        </w:tc>
        <w:tc>
          <w:tcPr>
            <w:tcW w:w="900" w:type="dxa"/>
            <w:tcBorders>
              <w:bottom w:val="single" w:sz="4" w:space="0" w:color="auto"/>
            </w:tcBorders>
            <w:shd w:val="clear" w:color="auto" w:fill="auto"/>
            <w:noWrap/>
            <w:vAlign w:val="bottom"/>
          </w:tcPr>
          <w:p w14:paraId="2E91D9C2" w14:textId="77777777" w:rsidR="005720FB" w:rsidRPr="00A66C9F" w:rsidRDefault="005720FB" w:rsidP="00107D5D">
            <w:pPr>
              <w:keepNext/>
              <w:tabs>
                <w:tab w:val="left" w:pos="288"/>
                <w:tab w:val="left" w:pos="576"/>
                <w:tab w:val="left" w:pos="864"/>
                <w:tab w:val="left" w:pos="1152"/>
              </w:tabs>
              <w:suppressAutoHyphens/>
              <w:spacing w:before="81" w:after="81" w:line="210" w:lineRule="exact"/>
              <w:ind w:right="43"/>
              <w:jc w:val="right"/>
              <w:rPr>
                <w:sz w:val="17"/>
                <w:lang w:val="fr-FR"/>
              </w:rPr>
            </w:pPr>
            <w:r w:rsidRPr="00A66C9F">
              <w:rPr>
                <w:sz w:val="17"/>
                <w:lang w:val="fr-FR"/>
              </w:rPr>
              <w:t xml:space="preserve"> (206,0)</w:t>
            </w:r>
          </w:p>
        </w:tc>
        <w:tc>
          <w:tcPr>
            <w:tcW w:w="900" w:type="dxa"/>
            <w:tcBorders>
              <w:bottom w:val="single" w:sz="4" w:space="0" w:color="auto"/>
            </w:tcBorders>
            <w:shd w:val="clear" w:color="auto" w:fill="auto"/>
            <w:noWrap/>
            <w:vAlign w:val="bottom"/>
          </w:tcPr>
          <w:p w14:paraId="2C5BA1C6" w14:textId="77777777" w:rsidR="005720FB" w:rsidRPr="00A66C9F" w:rsidRDefault="005720FB" w:rsidP="00107D5D">
            <w:pPr>
              <w:keepNext/>
              <w:tabs>
                <w:tab w:val="left" w:pos="288"/>
                <w:tab w:val="left" w:pos="576"/>
                <w:tab w:val="left" w:pos="864"/>
                <w:tab w:val="left" w:pos="1152"/>
              </w:tabs>
              <w:suppressAutoHyphens/>
              <w:spacing w:before="81" w:after="81" w:line="210" w:lineRule="exact"/>
              <w:ind w:right="43"/>
              <w:jc w:val="right"/>
              <w:rPr>
                <w:sz w:val="17"/>
                <w:lang w:val="fr-FR"/>
              </w:rPr>
            </w:pPr>
            <w:r w:rsidRPr="00A66C9F">
              <w:rPr>
                <w:sz w:val="17"/>
                <w:lang w:val="fr-FR"/>
              </w:rPr>
              <w:t xml:space="preserve"> (15)</w:t>
            </w:r>
          </w:p>
        </w:tc>
      </w:tr>
      <w:tr w:rsidR="005720FB" w:rsidRPr="00A66C9F" w14:paraId="016A2D9F" w14:textId="77777777" w:rsidTr="00225C0F">
        <w:trPr>
          <w:cantSplit/>
        </w:trPr>
        <w:tc>
          <w:tcPr>
            <w:tcW w:w="2070" w:type="dxa"/>
            <w:gridSpan w:val="2"/>
            <w:tcBorders>
              <w:top w:val="single" w:sz="4" w:space="0" w:color="auto"/>
              <w:bottom w:val="single" w:sz="12" w:space="0" w:color="auto"/>
            </w:tcBorders>
            <w:shd w:val="clear" w:color="auto" w:fill="auto"/>
            <w:noWrap/>
            <w:vAlign w:val="bottom"/>
            <w:hideMark/>
          </w:tcPr>
          <w:p w14:paraId="5E3AFE80" w14:textId="77777777" w:rsidR="005720FB" w:rsidRPr="00A66C9F" w:rsidRDefault="005720FB" w:rsidP="00107D5D">
            <w:pPr>
              <w:keepNext/>
              <w:tabs>
                <w:tab w:val="left" w:pos="288"/>
                <w:tab w:val="left" w:pos="576"/>
                <w:tab w:val="left" w:pos="864"/>
                <w:tab w:val="left" w:pos="1152"/>
              </w:tabs>
              <w:suppressAutoHyphens/>
              <w:spacing w:before="81" w:after="81" w:line="210" w:lineRule="exact"/>
              <w:ind w:left="288" w:right="43" w:hanging="288"/>
              <w:rPr>
                <w:b/>
                <w:sz w:val="17"/>
                <w:lang w:val="fr-FR"/>
              </w:rPr>
            </w:pPr>
            <w:r w:rsidRPr="00A66C9F">
              <w:rPr>
                <w:b/>
                <w:sz w:val="17"/>
                <w:lang w:val="fr-FR"/>
              </w:rPr>
              <w:tab/>
              <w:t>Total des dépenses d’administration</w:t>
            </w:r>
          </w:p>
        </w:tc>
        <w:tc>
          <w:tcPr>
            <w:tcW w:w="865" w:type="dxa"/>
            <w:tcBorders>
              <w:top w:val="single" w:sz="4" w:space="0" w:color="auto"/>
              <w:bottom w:val="single" w:sz="12" w:space="0" w:color="auto"/>
            </w:tcBorders>
            <w:shd w:val="clear" w:color="auto" w:fill="auto"/>
            <w:noWrap/>
            <w:vAlign w:val="bottom"/>
          </w:tcPr>
          <w:p w14:paraId="184264D2" w14:textId="77777777" w:rsidR="005720FB" w:rsidRPr="00A66C9F" w:rsidRDefault="005720FB" w:rsidP="00107D5D">
            <w:pPr>
              <w:keepNext/>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169 467,9 </w:t>
            </w:r>
          </w:p>
        </w:tc>
        <w:tc>
          <w:tcPr>
            <w:tcW w:w="865" w:type="dxa"/>
            <w:tcBorders>
              <w:top w:val="single" w:sz="4" w:space="0" w:color="auto"/>
              <w:bottom w:val="single" w:sz="12" w:space="0" w:color="auto"/>
            </w:tcBorders>
            <w:shd w:val="clear" w:color="auto" w:fill="auto"/>
            <w:noWrap/>
            <w:vAlign w:val="bottom"/>
          </w:tcPr>
          <w:p w14:paraId="46228A7B" w14:textId="77777777" w:rsidR="005720FB" w:rsidRPr="00A66C9F" w:rsidRDefault="005720FB" w:rsidP="00107D5D">
            <w:pPr>
              <w:keepNext/>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22 191,9 </w:t>
            </w:r>
          </w:p>
        </w:tc>
        <w:tc>
          <w:tcPr>
            <w:tcW w:w="866" w:type="dxa"/>
            <w:tcBorders>
              <w:top w:val="single" w:sz="4" w:space="0" w:color="auto"/>
              <w:bottom w:val="single" w:sz="12" w:space="0" w:color="auto"/>
            </w:tcBorders>
            <w:shd w:val="clear" w:color="auto" w:fill="auto"/>
            <w:noWrap/>
            <w:vAlign w:val="bottom"/>
          </w:tcPr>
          <w:p w14:paraId="36276162" w14:textId="77777777" w:rsidR="005720FB" w:rsidRPr="00A66C9F" w:rsidRDefault="005720FB" w:rsidP="00107D5D">
            <w:pPr>
              <w:keepNext/>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191 659,8 </w:t>
            </w:r>
          </w:p>
        </w:tc>
        <w:tc>
          <w:tcPr>
            <w:tcW w:w="865" w:type="dxa"/>
            <w:gridSpan w:val="2"/>
            <w:tcBorders>
              <w:top w:val="single" w:sz="4" w:space="0" w:color="auto"/>
              <w:bottom w:val="single" w:sz="12" w:space="0" w:color="auto"/>
            </w:tcBorders>
            <w:shd w:val="clear" w:color="auto" w:fill="auto"/>
            <w:noWrap/>
            <w:vAlign w:val="bottom"/>
          </w:tcPr>
          <w:p w14:paraId="1FCFB822" w14:textId="77777777" w:rsidR="005720FB" w:rsidRPr="00A66C9F" w:rsidRDefault="005720FB" w:rsidP="00107D5D">
            <w:pPr>
              <w:keepNext/>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162 898,0 </w:t>
            </w:r>
          </w:p>
        </w:tc>
        <w:tc>
          <w:tcPr>
            <w:tcW w:w="865" w:type="dxa"/>
            <w:tcBorders>
              <w:top w:val="single" w:sz="4" w:space="0" w:color="auto"/>
              <w:bottom w:val="single" w:sz="12" w:space="0" w:color="auto"/>
            </w:tcBorders>
            <w:shd w:val="clear" w:color="auto" w:fill="auto"/>
            <w:noWrap/>
            <w:vAlign w:val="bottom"/>
          </w:tcPr>
          <w:p w14:paraId="7ED7A76C" w14:textId="77777777" w:rsidR="005720FB" w:rsidRPr="00A66C9F" w:rsidRDefault="005720FB" w:rsidP="00107D5D">
            <w:pPr>
              <w:keepNext/>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22 018,8 </w:t>
            </w:r>
          </w:p>
        </w:tc>
        <w:tc>
          <w:tcPr>
            <w:tcW w:w="866" w:type="dxa"/>
            <w:tcBorders>
              <w:top w:val="single" w:sz="4" w:space="0" w:color="auto"/>
              <w:bottom w:val="single" w:sz="12" w:space="0" w:color="auto"/>
            </w:tcBorders>
            <w:shd w:val="clear" w:color="auto" w:fill="auto"/>
            <w:noWrap/>
            <w:vAlign w:val="bottom"/>
          </w:tcPr>
          <w:p w14:paraId="323EC77B" w14:textId="77777777" w:rsidR="005720FB" w:rsidRPr="00A66C9F" w:rsidRDefault="005720FB" w:rsidP="00107D5D">
            <w:pPr>
              <w:keepNext/>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184 916,8 </w:t>
            </w:r>
          </w:p>
        </w:tc>
        <w:tc>
          <w:tcPr>
            <w:tcW w:w="865" w:type="dxa"/>
            <w:gridSpan w:val="2"/>
            <w:tcBorders>
              <w:top w:val="single" w:sz="4" w:space="0" w:color="auto"/>
              <w:bottom w:val="single" w:sz="12" w:space="0" w:color="auto"/>
            </w:tcBorders>
            <w:shd w:val="clear" w:color="auto" w:fill="auto"/>
            <w:noWrap/>
            <w:vAlign w:val="bottom"/>
          </w:tcPr>
          <w:p w14:paraId="2D778D3B" w14:textId="77777777" w:rsidR="005720FB" w:rsidRPr="00A66C9F" w:rsidRDefault="005720FB" w:rsidP="00107D5D">
            <w:pPr>
              <w:keepNext/>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151 598,0 </w:t>
            </w:r>
          </w:p>
        </w:tc>
        <w:tc>
          <w:tcPr>
            <w:tcW w:w="866" w:type="dxa"/>
            <w:tcBorders>
              <w:top w:val="single" w:sz="4" w:space="0" w:color="auto"/>
              <w:bottom w:val="single" w:sz="12" w:space="0" w:color="auto"/>
            </w:tcBorders>
            <w:shd w:val="clear" w:color="auto" w:fill="auto"/>
            <w:noWrap/>
            <w:vAlign w:val="bottom"/>
          </w:tcPr>
          <w:p w14:paraId="5E71D837" w14:textId="77777777" w:rsidR="005720FB" w:rsidRPr="00A66C9F" w:rsidRDefault="005720FB" w:rsidP="00107D5D">
            <w:pPr>
              <w:keepNext/>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21 909,8 </w:t>
            </w:r>
          </w:p>
        </w:tc>
        <w:tc>
          <w:tcPr>
            <w:tcW w:w="865" w:type="dxa"/>
            <w:tcBorders>
              <w:top w:val="single" w:sz="4" w:space="0" w:color="auto"/>
              <w:bottom w:val="single" w:sz="12" w:space="0" w:color="auto"/>
            </w:tcBorders>
            <w:shd w:val="clear" w:color="auto" w:fill="auto"/>
            <w:noWrap/>
            <w:vAlign w:val="bottom"/>
          </w:tcPr>
          <w:p w14:paraId="50809045" w14:textId="77777777" w:rsidR="005720FB" w:rsidRPr="00A66C9F" w:rsidRDefault="005720FB" w:rsidP="00107D5D">
            <w:pPr>
              <w:keepNext/>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173 507,8 </w:t>
            </w:r>
          </w:p>
        </w:tc>
        <w:tc>
          <w:tcPr>
            <w:tcW w:w="865" w:type="dxa"/>
            <w:gridSpan w:val="2"/>
            <w:tcBorders>
              <w:top w:val="single" w:sz="4" w:space="0" w:color="auto"/>
              <w:bottom w:val="single" w:sz="12" w:space="0" w:color="auto"/>
            </w:tcBorders>
            <w:shd w:val="clear" w:color="auto" w:fill="auto"/>
            <w:noWrap/>
            <w:vAlign w:val="bottom"/>
          </w:tcPr>
          <w:p w14:paraId="6F2B7C2F" w14:textId="77777777" w:rsidR="005720FB" w:rsidRPr="00A66C9F" w:rsidRDefault="005720FB" w:rsidP="00107D5D">
            <w:pPr>
              <w:keepNext/>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(11 300,0)</w:t>
            </w:r>
          </w:p>
        </w:tc>
        <w:tc>
          <w:tcPr>
            <w:tcW w:w="707" w:type="dxa"/>
            <w:tcBorders>
              <w:top w:val="single" w:sz="4" w:space="0" w:color="auto"/>
              <w:bottom w:val="single" w:sz="12" w:space="0" w:color="auto"/>
            </w:tcBorders>
            <w:shd w:val="clear" w:color="auto" w:fill="auto"/>
            <w:noWrap/>
            <w:vAlign w:val="bottom"/>
          </w:tcPr>
          <w:p w14:paraId="7247FE19" w14:textId="77777777" w:rsidR="005720FB" w:rsidRPr="00A66C9F" w:rsidRDefault="005720FB" w:rsidP="00107D5D">
            <w:pPr>
              <w:keepNext/>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(109,0)</w:t>
            </w:r>
          </w:p>
        </w:tc>
        <w:tc>
          <w:tcPr>
            <w:tcW w:w="900" w:type="dxa"/>
            <w:tcBorders>
              <w:top w:val="single" w:sz="4" w:space="0" w:color="auto"/>
              <w:bottom w:val="single" w:sz="12" w:space="0" w:color="auto"/>
            </w:tcBorders>
            <w:shd w:val="clear" w:color="auto" w:fill="auto"/>
            <w:noWrap/>
            <w:vAlign w:val="bottom"/>
          </w:tcPr>
          <w:p w14:paraId="4EEBFBFE" w14:textId="77777777" w:rsidR="005720FB" w:rsidRPr="00A66C9F" w:rsidRDefault="005720FB" w:rsidP="00107D5D">
            <w:pPr>
              <w:keepNext/>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(11 409,0)</w:t>
            </w:r>
          </w:p>
        </w:tc>
        <w:tc>
          <w:tcPr>
            <w:tcW w:w="900" w:type="dxa"/>
            <w:tcBorders>
              <w:top w:val="single" w:sz="4" w:space="0" w:color="auto"/>
              <w:bottom w:val="single" w:sz="12" w:space="0" w:color="auto"/>
            </w:tcBorders>
            <w:shd w:val="clear" w:color="auto" w:fill="auto"/>
            <w:noWrap/>
            <w:vAlign w:val="bottom"/>
          </w:tcPr>
          <w:p w14:paraId="4E2F234D" w14:textId="77777777" w:rsidR="005720FB" w:rsidRPr="00A66C9F" w:rsidRDefault="005720FB" w:rsidP="00107D5D">
            <w:pPr>
              <w:keepNext/>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(6)</w:t>
            </w:r>
          </w:p>
        </w:tc>
      </w:tr>
    </w:tbl>
    <w:p w14:paraId="6164EEC6" w14:textId="77777777" w:rsidR="005720FB" w:rsidRPr="00A66C9F" w:rsidRDefault="005720FB" w:rsidP="005720FB">
      <w:pPr>
        <w:pStyle w:val="FootnoteText"/>
        <w:tabs>
          <w:tab w:val="right" w:pos="216"/>
          <w:tab w:val="left" w:pos="288"/>
          <w:tab w:val="right" w:pos="576"/>
          <w:tab w:val="left" w:pos="648"/>
        </w:tabs>
        <w:spacing w:line="120" w:lineRule="exact"/>
        <w:ind w:left="288" w:hanging="288"/>
        <w:rPr>
          <w:sz w:val="10"/>
          <w:lang w:val="fr-FR"/>
        </w:rPr>
      </w:pPr>
    </w:p>
    <w:p w14:paraId="7828FCBE" w14:textId="77777777" w:rsidR="005720FB" w:rsidRPr="00A66C9F" w:rsidRDefault="005720FB" w:rsidP="005720FB">
      <w:pPr>
        <w:pStyle w:val="FootnoteText"/>
        <w:tabs>
          <w:tab w:val="right" w:pos="216"/>
          <w:tab w:val="left" w:pos="288"/>
          <w:tab w:val="right" w:pos="576"/>
          <w:tab w:val="left" w:pos="648"/>
        </w:tabs>
        <w:suppressAutoHyphens/>
        <w:rPr>
          <w:lang w:val="fr-FR"/>
        </w:rPr>
      </w:pPr>
      <w:r w:rsidRPr="00A66C9F">
        <w:rPr>
          <w:lang w:val="fr-FR"/>
        </w:rPr>
        <w:t>Le tableau A présente les montants inscrits au budget et les montants effectifs sur une base comparable, la méthode comptable retenue étant celle qui est appliquée au budget. Le budget de la Caisse est établi selon la méthode de la comptabilité de caisse modifiée et les montants effectifs ont été calculés de la même façon pour les rendre comparables. Le total des montants effectifs établis sur une base comparable ne correspond pas aux dépenses d’administration indiquées dans l’état des variations de l’actif net, car celui-ci est établi selon la méthode de la comptabilité d’exercice. Les pourcentages sont arrondis au chiffre entier le plus proche ; 0 indique une valeur comprise entre zéro et 1, mais qui n’est pas égale à zéro, tandis que (0) indique une valeur comprise entre -1 et zéro, mais qui n’est pas égale à zéro.</w:t>
      </w:r>
    </w:p>
    <w:p w14:paraId="5774F005" w14:textId="77777777" w:rsidR="005720FB" w:rsidRPr="00A66C9F" w:rsidRDefault="005720FB" w:rsidP="005720FB">
      <w:pPr>
        <w:pStyle w:val="FootnoteText"/>
        <w:tabs>
          <w:tab w:val="right" w:pos="216"/>
          <w:tab w:val="left" w:pos="288"/>
          <w:tab w:val="right" w:pos="576"/>
          <w:tab w:val="left" w:pos="648"/>
        </w:tabs>
        <w:suppressAutoHyphens/>
        <w:spacing w:line="120" w:lineRule="exact"/>
        <w:ind w:left="288" w:hanging="288"/>
        <w:rPr>
          <w:sz w:val="10"/>
          <w:lang w:val="fr-FR"/>
        </w:rPr>
      </w:pPr>
    </w:p>
    <w:p w14:paraId="3C28D858" w14:textId="77777777" w:rsidR="005720FB" w:rsidRPr="00A66C9F" w:rsidRDefault="005720FB" w:rsidP="005720FB">
      <w:pPr>
        <w:pStyle w:val="FootnoteText"/>
        <w:tabs>
          <w:tab w:val="right" w:pos="216"/>
          <w:tab w:val="left" w:pos="288"/>
          <w:tab w:val="right" w:pos="576"/>
          <w:tab w:val="left" w:pos="648"/>
        </w:tabs>
        <w:suppressAutoHyphens/>
        <w:ind w:left="288" w:hanging="288"/>
        <w:rPr>
          <w:lang w:val="fr-FR"/>
        </w:rPr>
      </w:pPr>
      <w:r w:rsidRPr="00A66C9F">
        <w:rPr>
          <w:lang w:val="fr-FR"/>
        </w:rPr>
        <w:tab/>
      </w:r>
      <w:r w:rsidRPr="00A66C9F">
        <w:rPr>
          <w:i/>
          <w:iCs/>
          <w:vertAlign w:val="superscript"/>
          <w:lang w:val="fr-FR"/>
        </w:rPr>
        <w:t>a</w:t>
      </w:r>
      <w:r w:rsidRPr="00A66C9F">
        <w:rPr>
          <w:lang w:val="fr-FR"/>
        </w:rPr>
        <w:tab/>
      </w:r>
      <w:r w:rsidRPr="00A66C9F">
        <w:rPr>
          <w:lang w:val="fr-FR"/>
        </w:rPr>
        <w:tab/>
        <w:t>Les montants effectifs englobent les dépenses afférentes au Centre international de calcul des Nations Unies (11,4 millions de dollars).</w:t>
      </w:r>
    </w:p>
    <w:p w14:paraId="06006A5C" w14:textId="77777777" w:rsidR="005720FB" w:rsidRPr="00A66C9F" w:rsidRDefault="005720FB" w:rsidP="005720FB">
      <w:pPr>
        <w:pStyle w:val="FootnoteText"/>
        <w:tabs>
          <w:tab w:val="right" w:pos="216"/>
          <w:tab w:val="left" w:pos="288"/>
          <w:tab w:val="right" w:pos="576"/>
          <w:tab w:val="left" w:pos="648"/>
        </w:tabs>
        <w:suppressAutoHyphens/>
        <w:ind w:left="288" w:hanging="288"/>
        <w:rPr>
          <w:lang w:val="fr-FR"/>
        </w:rPr>
      </w:pPr>
      <w:r w:rsidRPr="00A66C9F">
        <w:rPr>
          <w:lang w:val="fr-FR"/>
        </w:rPr>
        <w:tab/>
      </w:r>
      <w:r w:rsidRPr="00A66C9F">
        <w:rPr>
          <w:i/>
          <w:iCs/>
          <w:vertAlign w:val="superscript"/>
          <w:lang w:val="fr-FR"/>
        </w:rPr>
        <w:t>b</w:t>
      </w:r>
      <w:r w:rsidRPr="00A66C9F">
        <w:rPr>
          <w:lang w:val="fr-FR"/>
        </w:rPr>
        <w:tab/>
        <w:t>N’inclut que les voyages des membres du Comité des placements.</w:t>
      </w:r>
    </w:p>
    <w:p w14:paraId="23C5D2D2" w14:textId="457847FA" w:rsidR="005720FB" w:rsidRPr="00A66C9F" w:rsidRDefault="005720FB" w:rsidP="00DB7521">
      <w:pPr>
        <w:pStyle w:val="SingleTxt"/>
        <w:tabs>
          <w:tab w:val="right" w:pos="1685"/>
        </w:tabs>
        <w:ind w:left="1742" w:hanging="475"/>
        <w:rPr>
          <w:lang w:val="fr-FR"/>
        </w:rPr>
      </w:pPr>
    </w:p>
    <w:p w14:paraId="326E184A" w14:textId="77777777" w:rsidR="005720FB" w:rsidRPr="00A66C9F" w:rsidRDefault="005720FB" w:rsidP="005720FB">
      <w:pPr>
        <w:pStyle w:val="SingleTxt"/>
        <w:rPr>
          <w:lang w:val="fr-FR"/>
        </w:rPr>
      </w:pPr>
    </w:p>
    <w:p w14:paraId="7D8A2ED5" w14:textId="77777777" w:rsidR="005720FB" w:rsidRPr="00A66C9F" w:rsidRDefault="005720FB" w:rsidP="00DB7521">
      <w:pPr>
        <w:pStyle w:val="SingleTxt"/>
        <w:tabs>
          <w:tab w:val="right" w:pos="1685"/>
        </w:tabs>
        <w:ind w:left="1742" w:hanging="475"/>
        <w:rPr>
          <w:lang w:val="fr-FR"/>
        </w:rPr>
        <w:sectPr w:rsidR="005720FB" w:rsidRPr="00A66C9F" w:rsidSect="005720FB">
          <w:headerReference w:type="even" r:id="rId17"/>
          <w:headerReference w:type="default" r:id="rId18"/>
          <w:footerReference w:type="even" r:id="rId19"/>
          <w:footerReference w:type="default" r:id="rId20"/>
          <w:pgSz w:w="15840" w:h="12240" w:orient="landscape"/>
          <w:pgMar w:top="1195" w:right="1440" w:bottom="1195" w:left="1152" w:header="576" w:footer="1037" w:gutter="0"/>
          <w:cols w:space="720"/>
          <w:noEndnote/>
          <w:bidi/>
          <w:rtlGutter/>
          <w:docGrid w:linePitch="360"/>
        </w:sectPr>
      </w:pPr>
    </w:p>
    <w:p w14:paraId="24A142F9" w14:textId="77777777" w:rsidR="005720FB" w:rsidRPr="00A66C9F" w:rsidRDefault="005720FB" w:rsidP="005720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1" w:name="_Hlk37682751"/>
      <w:r w:rsidRPr="00A66C9F">
        <w:rPr>
          <w:lang w:val="fr-FR"/>
        </w:rPr>
        <w:lastRenderedPageBreak/>
        <w:tab/>
      </w:r>
      <w:r w:rsidRPr="00A66C9F">
        <w:rPr>
          <w:lang w:val="fr-FR"/>
        </w:rPr>
        <w:tab/>
        <w:t>Caisse commune des pensions du personnel des Nations Unies</w:t>
      </w:r>
    </w:p>
    <w:p w14:paraId="59931E86" w14:textId="77777777" w:rsidR="005720FB" w:rsidRPr="00A66C9F" w:rsidRDefault="005720FB" w:rsidP="005720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fr-FR"/>
        </w:rPr>
      </w:pPr>
      <w:r w:rsidRPr="00A66C9F">
        <w:rPr>
          <w:bCs/>
          <w:lang w:val="fr-FR"/>
        </w:rPr>
        <w:tab/>
      </w:r>
      <w:r w:rsidRPr="00A66C9F">
        <w:rPr>
          <w:bCs/>
          <w:lang w:val="fr-FR"/>
        </w:rPr>
        <w:tab/>
        <w:t>Tableau A</w:t>
      </w:r>
      <w:r w:rsidRPr="00A66C9F">
        <w:rPr>
          <w:lang w:val="fr-FR"/>
        </w:rPr>
        <w:t xml:space="preserve"> </w:t>
      </w:r>
      <w:r w:rsidRPr="00A66C9F">
        <w:rPr>
          <w:b w:val="0"/>
          <w:bCs/>
          <w:lang w:val="fr-FR"/>
        </w:rPr>
        <w:t>(</w:t>
      </w:r>
      <w:r w:rsidRPr="00A66C9F">
        <w:rPr>
          <w:b w:val="0"/>
          <w:bCs/>
          <w:i/>
          <w:iCs/>
          <w:lang w:val="fr-FR"/>
        </w:rPr>
        <w:t>suite et fin</w:t>
      </w:r>
      <w:r w:rsidRPr="00A66C9F">
        <w:rPr>
          <w:b w:val="0"/>
          <w:bCs/>
          <w:lang w:val="fr-FR"/>
        </w:rPr>
        <w:t>)</w:t>
      </w:r>
    </w:p>
    <w:p w14:paraId="7C06F33C" w14:textId="77777777" w:rsidR="005720FB" w:rsidRPr="00A66C9F" w:rsidRDefault="005720FB" w:rsidP="005720FB">
      <w:pPr>
        <w:pStyle w:val="SingleTxt"/>
        <w:spacing w:after="0" w:line="120" w:lineRule="exact"/>
        <w:rPr>
          <w:bCs/>
          <w:sz w:val="10"/>
          <w:lang w:val="fr-FR"/>
        </w:rPr>
      </w:pPr>
    </w:p>
    <w:p w14:paraId="31AE4EF7" w14:textId="77777777" w:rsidR="005720FB" w:rsidRPr="00A66C9F" w:rsidRDefault="005720FB" w:rsidP="005720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IV. État comparatif des montants inscrits au budget et des montants effectifs sur une base comparable ; dépenses d’administration de l’exercice biennal 2018</w:t>
      </w:r>
      <w:r w:rsidRPr="00A66C9F">
        <w:rPr>
          <w:lang w:val="fr-FR"/>
        </w:rPr>
        <w:noBreakHyphen/>
        <w:t xml:space="preserve">2019 </w:t>
      </w:r>
      <w:r w:rsidRPr="00A66C9F">
        <w:rPr>
          <w:b w:val="0"/>
          <w:bCs/>
          <w:lang w:val="fr-FR"/>
        </w:rPr>
        <w:t>(</w:t>
      </w:r>
      <w:r w:rsidRPr="00A66C9F">
        <w:rPr>
          <w:b w:val="0"/>
          <w:bCs/>
          <w:i/>
          <w:iCs/>
          <w:lang w:val="fr-FR"/>
        </w:rPr>
        <w:t>suite et fin</w:t>
      </w:r>
      <w:r w:rsidRPr="00A66C9F">
        <w:rPr>
          <w:b w:val="0"/>
          <w:bCs/>
          <w:lang w:val="fr-FR"/>
        </w:rPr>
        <w:t>)</w:t>
      </w:r>
    </w:p>
    <w:p w14:paraId="0718317A" w14:textId="77777777" w:rsidR="005720FB" w:rsidRPr="00A66C9F" w:rsidRDefault="005720FB" w:rsidP="005720FB">
      <w:pPr>
        <w:pStyle w:val="SingleTxt"/>
        <w:spacing w:after="0" w:line="120" w:lineRule="exact"/>
        <w:rPr>
          <w:sz w:val="10"/>
          <w:lang w:val="fr-FR"/>
        </w:rPr>
      </w:pPr>
    </w:p>
    <w:p w14:paraId="462EBD55" w14:textId="77777777" w:rsidR="005720FB" w:rsidRPr="00A66C9F" w:rsidRDefault="005720FB" w:rsidP="005720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Explication des différences significatives (supérieures ou égales à 5 %) entre les montants inscrits au budget et les montants effectifs sur une base comparable</w:t>
      </w:r>
    </w:p>
    <w:p w14:paraId="0A223F92" w14:textId="77777777" w:rsidR="005720FB" w:rsidRPr="00A66C9F" w:rsidRDefault="005720FB" w:rsidP="005720FB">
      <w:pPr>
        <w:pStyle w:val="SingleTxt"/>
        <w:spacing w:after="0" w:line="120" w:lineRule="exact"/>
        <w:rPr>
          <w:sz w:val="10"/>
          <w:lang w:val="fr-FR"/>
        </w:rPr>
      </w:pPr>
    </w:p>
    <w:p w14:paraId="5EED87C6" w14:textId="77777777" w:rsidR="005720FB" w:rsidRPr="00A66C9F" w:rsidRDefault="005720FB" w:rsidP="005720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t>A.</w:t>
      </w:r>
      <w:r w:rsidRPr="00A66C9F">
        <w:rPr>
          <w:lang w:val="fr-FR"/>
        </w:rPr>
        <w:tab/>
        <w:t>Secrétariat de la Caisse</w:t>
      </w:r>
    </w:p>
    <w:p w14:paraId="597E988F" w14:textId="77777777" w:rsidR="005720FB" w:rsidRPr="00A66C9F" w:rsidRDefault="005720FB" w:rsidP="005720FB">
      <w:pPr>
        <w:pStyle w:val="SingleTxt"/>
        <w:spacing w:after="0" w:line="120" w:lineRule="exact"/>
        <w:rPr>
          <w:sz w:val="10"/>
          <w:lang w:val="fr-FR"/>
        </w:rPr>
      </w:pPr>
    </w:p>
    <w:p w14:paraId="68AF99C9" w14:textId="77777777" w:rsidR="005720FB" w:rsidRPr="00A66C9F" w:rsidRDefault="005720FB" w:rsidP="005720FB">
      <w:pPr>
        <w:pStyle w:val="SingleTxt"/>
        <w:rPr>
          <w:lang w:val="fr-FR"/>
        </w:rPr>
      </w:pPr>
      <w:r w:rsidRPr="00A66C9F">
        <w:rPr>
          <w:i/>
          <w:iCs/>
          <w:lang w:val="fr-FR"/>
        </w:rPr>
        <w:t>Autres dépenses de personnel </w:t>
      </w:r>
      <w:r w:rsidRPr="00A66C9F">
        <w:rPr>
          <w:lang w:val="fr-FR"/>
        </w:rPr>
        <w:t>: La sous-utilisation s’explique principalement par des dépenses moins élevées que prévu au titre du personnel temporaire (autre que pour les réunions) en raison des mouvements de personnel affecté aux opérations et du temps nécessaire pour pourvoir les postes qui sont ainsi devenus vacants.</w:t>
      </w:r>
    </w:p>
    <w:p w14:paraId="33ABAD2E" w14:textId="77777777" w:rsidR="005720FB" w:rsidRPr="00A66C9F" w:rsidRDefault="005720FB" w:rsidP="005720FB">
      <w:pPr>
        <w:pStyle w:val="SingleTxt"/>
        <w:rPr>
          <w:lang w:val="fr-FR"/>
        </w:rPr>
      </w:pPr>
      <w:r w:rsidRPr="00A66C9F">
        <w:rPr>
          <w:i/>
          <w:iCs/>
          <w:lang w:val="fr-FR"/>
        </w:rPr>
        <w:t>Frais de représentation </w:t>
      </w:r>
      <w:r w:rsidRPr="00A66C9F">
        <w:rPr>
          <w:lang w:val="fr-FR"/>
        </w:rPr>
        <w:t>: La sous-utilisation résulte des mesures prises pour réduire ce poste de dépenses.</w:t>
      </w:r>
    </w:p>
    <w:p w14:paraId="5C1F8C89" w14:textId="77777777" w:rsidR="005720FB" w:rsidRPr="00A66C9F" w:rsidRDefault="005720FB" w:rsidP="005720FB">
      <w:pPr>
        <w:pStyle w:val="SingleTxt"/>
        <w:rPr>
          <w:lang w:val="fr-FR"/>
        </w:rPr>
      </w:pPr>
      <w:r w:rsidRPr="00A66C9F">
        <w:rPr>
          <w:i/>
          <w:iCs/>
          <w:lang w:val="fr-FR"/>
        </w:rPr>
        <w:t>Voyages </w:t>
      </w:r>
      <w:r w:rsidRPr="00A66C9F">
        <w:rPr>
          <w:lang w:val="fr-FR"/>
        </w:rPr>
        <w:t>: La sous-utilisation s’explique par des dépenses moins élevées que prévu au titre des voyages, principalement des voyages concernant des missions d’information ; le nombre de voyages effectués aux fins de la coordination entre les bureaux de New York, Genève et Nairobi a été moins élevé que prévu, la plupart ayant été reportés à 2020 et 2021 compte étant tenu de la réorganisation des lignes hiérarchiques par fonctions. Elle tient également au fait que dans certains cas des membres du personnel ont eu recours aux techniques de visioconférence et de téléconférence et n’ont pas eu à se déplacer.</w:t>
      </w:r>
    </w:p>
    <w:p w14:paraId="415F40E8" w14:textId="77777777" w:rsidR="005720FB" w:rsidRPr="00A66C9F" w:rsidRDefault="005720FB" w:rsidP="005720FB">
      <w:pPr>
        <w:pStyle w:val="SingleTxt"/>
        <w:rPr>
          <w:lang w:val="fr-FR"/>
        </w:rPr>
      </w:pPr>
      <w:r w:rsidRPr="00A66C9F">
        <w:rPr>
          <w:i/>
          <w:iCs/>
          <w:lang w:val="fr-FR"/>
        </w:rPr>
        <w:t>Fournitures, mobilier et matériel </w:t>
      </w:r>
      <w:r w:rsidRPr="00A66C9F">
        <w:rPr>
          <w:lang w:val="fr-FR"/>
        </w:rPr>
        <w:t>: La sous-utilisation provient du fait que les dépenses au titre des fournitures et des accessoires ont été moindres que prévu.</w:t>
      </w:r>
    </w:p>
    <w:p w14:paraId="7E49D5A6" w14:textId="77777777" w:rsidR="005720FB" w:rsidRPr="00A66C9F" w:rsidRDefault="005720FB" w:rsidP="005720FB">
      <w:pPr>
        <w:pStyle w:val="SingleTxt"/>
        <w:spacing w:after="0" w:line="120" w:lineRule="exact"/>
        <w:rPr>
          <w:sz w:val="10"/>
          <w:lang w:val="fr-FR"/>
        </w:rPr>
      </w:pPr>
    </w:p>
    <w:p w14:paraId="71964B8B" w14:textId="77777777" w:rsidR="005720FB" w:rsidRPr="00A66C9F" w:rsidRDefault="005720FB" w:rsidP="005720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t>B.</w:t>
      </w:r>
      <w:r w:rsidRPr="00A66C9F">
        <w:rPr>
          <w:lang w:val="fr-FR"/>
        </w:rPr>
        <w:tab/>
        <w:t>Bureau de la gestion des investissements</w:t>
      </w:r>
    </w:p>
    <w:p w14:paraId="2DDD18A5" w14:textId="77777777" w:rsidR="005720FB" w:rsidRPr="00A66C9F" w:rsidRDefault="005720FB" w:rsidP="005720FB">
      <w:pPr>
        <w:pStyle w:val="SingleTxt"/>
        <w:spacing w:after="0" w:line="120" w:lineRule="exact"/>
        <w:rPr>
          <w:sz w:val="10"/>
          <w:lang w:val="fr-FR"/>
        </w:rPr>
      </w:pPr>
    </w:p>
    <w:bookmarkEnd w:id="21"/>
    <w:p w14:paraId="1607433E" w14:textId="77777777" w:rsidR="005720FB" w:rsidRPr="00A66C9F" w:rsidRDefault="005720FB" w:rsidP="005720FB">
      <w:pPr>
        <w:pStyle w:val="SingleTxt"/>
        <w:rPr>
          <w:lang w:val="fr-FR"/>
        </w:rPr>
      </w:pPr>
      <w:r w:rsidRPr="00A66C9F">
        <w:rPr>
          <w:i/>
          <w:iCs/>
          <w:lang w:val="fr-FR"/>
        </w:rPr>
        <w:t>Postes </w:t>
      </w:r>
      <w:r w:rsidRPr="00A66C9F">
        <w:rPr>
          <w:lang w:val="fr-FR"/>
        </w:rPr>
        <w:t>: Le dépassement s’explique par les dépenses effectivement engagées par rapport aux coûts standard et aux taux de vacance prévus au budget.</w:t>
      </w:r>
    </w:p>
    <w:p w14:paraId="2FAB5813" w14:textId="77777777" w:rsidR="005720FB" w:rsidRPr="00A66C9F" w:rsidRDefault="005720FB" w:rsidP="005720FB">
      <w:pPr>
        <w:pStyle w:val="SingleTxt"/>
        <w:rPr>
          <w:lang w:val="fr-FR"/>
        </w:rPr>
      </w:pPr>
      <w:r w:rsidRPr="00A66C9F">
        <w:rPr>
          <w:i/>
          <w:iCs/>
          <w:lang w:val="fr-FR"/>
        </w:rPr>
        <w:t>Autres dépenses de personnel </w:t>
      </w:r>
      <w:r w:rsidRPr="00A66C9F">
        <w:rPr>
          <w:lang w:val="fr-FR"/>
        </w:rPr>
        <w:t>: La sous-utilisation est principalement due au fait que des emplois de temporaire (autres que pour les réunions) ne sont pas pourvus dans la Section des investissements et la Section des opérations et des systèmes d’information, en raison des difficultés qu’il y a à recruter du personnel qualifié appelé à exercer des fonctions spécialisées au Bureau de la gestion des investissements.</w:t>
      </w:r>
    </w:p>
    <w:p w14:paraId="5B5E8D5E" w14:textId="77777777" w:rsidR="005720FB" w:rsidRPr="00A66C9F" w:rsidRDefault="005720FB" w:rsidP="005720FB">
      <w:pPr>
        <w:pStyle w:val="SingleTxt"/>
        <w:rPr>
          <w:lang w:val="fr-FR"/>
        </w:rPr>
      </w:pPr>
      <w:r w:rsidRPr="00A66C9F">
        <w:rPr>
          <w:i/>
          <w:iCs/>
          <w:lang w:val="fr-FR"/>
        </w:rPr>
        <w:t>Frais de représentation </w:t>
      </w:r>
      <w:r w:rsidRPr="00A66C9F">
        <w:rPr>
          <w:lang w:val="fr-FR"/>
        </w:rPr>
        <w:t>: La sous-utilisation tient aux mesures prises pour réduire ce poste de dépenses et au fait que le nombre de réceptions a été moins élevé que prévu.</w:t>
      </w:r>
    </w:p>
    <w:p w14:paraId="55623F64" w14:textId="77777777" w:rsidR="005720FB" w:rsidRPr="00A66C9F" w:rsidRDefault="005720FB" w:rsidP="005720FB">
      <w:pPr>
        <w:pStyle w:val="SingleTxt"/>
        <w:rPr>
          <w:lang w:val="fr-FR"/>
        </w:rPr>
      </w:pPr>
      <w:r w:rsidRPr="00A66C9F">
        <w:rPr>
          <w:i/>
          <w:iCs/>
          <w:lang w:val="fr-FR"/>
        </w:rPr>
        <w:t>Consultants </w:t>
      </w:r>
      <w:r w:rsidRPr="00A66C9F">
        <w:rPr>
          <w:lang w:val="fr-FR"/>
        </w:rPr>
        <w:t>: La sous-utilisation s’explique par le fait que les services de consultants liés au programme de gestion des données ont pris la forme de services contractuels alors qu’initialement il était prévu de recourir à des experts consultants.</w:t>
      </w:r>
    </w:p>
    <w:p w14:paraId="3526BCEA" w14:textId="77777777" w:rsidR="005720FB" w:rsidRPr="00A66C9F" w:rsidRDefault="005720FB" w:rsidP="005720FB">
      <w:pPr>
        <w:pStyle w:val="SingleTxt"/>
        <w:rPr>
          <w:lang w:val="fr-FR"/>
        </w:rPr>
      </w:pPr>
      <w:r w:rsidRPr="00A66C9F">
        <w:rPr>
          <w:i/>
          <w:iCs/>
          <w:lang w:val="fr-FR"/>
        </w:rPr>
        <w:t>Voyages </w:t>
      </w:r>
      <w:r w:rsidRPr="00A66C9F">
        <w:rPr>
          <w:lang w:val="fr-FR"/>
        </w:rPr>
        <w:t>: La sous-utilisation s’explique par la diminution du nombre de voyages des représentants du fait qu’un plus petit nombre d’entre eux ont pris part aux réunions du Comité des placements. En outre, plusieurs membres n’ont pas demandé à ce qu’on leur rembourse les frais de voyages. Les dépenses au titre des voyages du personnel ont également été moins élevées que prévu, en raison principalement de changements dans les priorités de travail dans un marché volatil et de l’exécution simultanée de plusieurs projets, les membres du personnel étant trop sollicités pour pouvoir voyager. En outre, des réunions ont été tenues avec les gérants de portefeuille et les dirigeants de sociétés à l’occasion de leur passage à New York, et certains déplacements ont été remplacés par des visioconférences.</w:t>
      </w:r>
      <w:bookmarkStart w:id="22" w:name="_Hlk37150412"/>
      <w:bookmarkEnd w:id="22"/>
    </w:p>
    <w:p w14:paraId="2A2A31D4" w14:textId="77777777" w:rsidR="005720FB" w:rsidRPr="00A66C9F" w:rsidRDefault="005720FB" w:rsidP="005720FB">
      <w:pPr>
        <w:pStyle w:val="SingleTxt"/>
        <w:rPr>
          <w:lang w:val="fr-FR"/>
        </w:rPr>
      </w:pPr>
      <w:r w:rsidRPr="00A66C9F">
        <w:rPr>
          <w:i/>
          <w:iCs/>
          <w:lang w:val="fr-FR"/>
        </w:rPr>
        <w:lastRenderedPageBreak/>
        <w:t>Services contractuels </w:t>
      </w:r>
      <w:r w:rsidRPr="00A66C9F">
        <w:rPr>
          <w:lang w:val="fr-FR"/>
        </w:rPr>
        <w:t>: La sous-utilisation concerne principalement la Section des opérations et des systèmes d’information, où certains projets lancés dans le cadre du modèle opérationnel cible ont pris plus de temps que prévu au stade des contrôles préalables et de la mise en concurrence. Nombre de ces projets en sont aux dernières étapes de la passation de marchés, et la dernière main devrait être mise aux contrats en 2020. En outre, les dépenses pour certains projets ont été moins élevées que prévu en raison d’une réduction des coûts des services de conseil en matière de fiscalité et de comptabilité, ainsi que des commissions versées aux dépositaires après le passage à un dispositif reposant sur un seul dépositaire. La sous-utilisation est également due au fait que le Bureau n’a pas eu recours à des services de conseil en matière de risques et de conformité et s’est recentré sur le renforcement de l’équipe interne.</w:t>
      </w:r>
      <w:bookmarkStart w:id="23" w:name="_Hlk37159348"/>
      <w:bookmarkStart w:id="24" w:name="_Hlk38296579"/>
      <w:bookmarkStart w:id="25" w:name="_Hlk38191995"/>
      <w:bookmarkEnd w:id="23"/>
      <w:bookmarkEnd w:id="24"/>
      <w:bookmarkEnd w:id="25"/>
    </w:p>
    <w:p w14:paraId="2FC65D2C" w14:textId="77777777" w:rsidR="005720FB" w:rsidRPr="00A66C9F" w:rsidRDefault="005720FB" w:rsidP="005720FB">
      <w:pPr>
        <w:pStyle w:val="SingleTxt"/>
        <w:rPr>
          <w:lang w:val="fr-FR"/>
        </w:rPr>
      </w:pPr>
      <w:r w:rsidRPr="00A66C9F">
        <w:rPr>
          <w:i/>
          <w:iCs/>
          <w:lang w:val="fr-FR"/>
        </w:rPr>
        <w:t>Frais généraux de fonctionnement </w:t>
      </w:r>
      <w:r w:rsidRPr="00A66C9F">
        <w:rPr>
          <w:lang w:val="fr-FR"/>
        </w:rPr>
        <w:t>: La sous-utilisation est principalement due au fait que la Caisse a libéré des bureaux et que le coût des aménagements apportés aux bureaux du 5</w:t>
      </w:r>
      <w:r w:rsidRPr="00A66C9F">
        <w:rPr>
          <w:vertAlign w:val="superscript"/>
          <w:lang w:val="fr-FR"/>
        </w:rPr>
        <w:t>e</w:t>
      </w:r>
      <w:r w:rsidRPr="00A66C9F">
        <w:rPr>
          <w:lang w:val="fr-FR"/>
        </w:rPr>
        <w:t xml:space="preserve"> étage a été partiellement remboursé, au report des activités d’achat pour le site de reprise après sinistre et aux retards pris dans les projets de construction en 2019.</w:t>
      </w:r>
    </w:p>
    <w:p w14:paraId="67F11B94" w14:textId="77777777" w:rsidR="005720FB" w:rsidRPr="00A66C9F" w:rsidRDefault="005720FB" w:rsidP="005720FB">
      <w:pPr>
        <w:pStyle w:val="SingleTxt"/>
        <w:rPr>
          <w:lang w:val="fr-FR"/>
        </w:rPr>
      </w:pPr>
      <w:r w:rsidRPr="00A66C9F">
        <w:rPr>
          <w:i/>
          <w:iCs/>
          <w:lang w:val="fr-FR"/>
        </w:rPr>
        <w:t>Fournitures et accessoires </w:t>
      </w:r>
      <w:r w:rsidRPr="00A66C9F">
        <w:rPr>
          <w:lang w:val="fr-FR"/>
        </w:rPr>
        <w:t>: La sous-utilisation tient au fait que les besoins ont été moindres que prévu.</w:t>
      </w:r>
    </w:p>
    <w:p w14:paraId="27BBD841" w14:textId="77777777" w:rsidR="005720FB" w:rsidRPr="00A66C9F" w:rsidRDefault="005720FB" w:rsidP="005720FB">
      <w:pPr>
        <w:pStyle w:val="SingleTxt"/>
        <w:rPr>
          <w:lang w:val="fr-FR"/>
        </w:rPr>
      </w:pPr>
      <w:r w:rsidRPr="00A66C9F">
        <w:rPr>
          <w:i/>
          <w:iCs/>
          <w:lang w:val="fr-FR"/>
        </w:rPr>
        <w:t>Mobilier et matériel </w:t>
      </w:r>
      <w:r w:rsidRPr="00A66C9F">
        <w:rPr>
          <w:lang w:val="fr-FR"/>
        </w:rPr>
        <w:t>: La sous-utilisation s’explique principalement par des dépenses moins élevées que prévu au titre de l’acquisition de logiciels, la décision ayant été prise de reporter certains projets informatiques et de trouver des solutions moins onéreuses.</w:t>
      </w:r>
    </w:p>
    <w:p w14:paraId="6C640722" w14:textId="77777777" w:rsidR="005720FB" w:rsidRPr="00A66C9F" w:rsidRDefault="005720FB" w:rsidP="005720FB">
      <w:pPr>
        <w:pStyle w:val="SingleTxt"/>
        <w:spacing w:after="0" w:line="120" w:lineRule="exact"/>
        <w:rPr>
          <w:sz w:val="10"/>
          <w:lang w:val="fr-FR"/>
        </w:rPr>
      </w:pPr>
    </w:p>
    <w:p w14:paraId="5472952B" w14:textId="556C16D1" w:rsidR="005720FB" w:rsidRPr="00A66C9F" w:rsidRDefault="005720FB" w:rsidP="005720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00225C0F" w:rsidRPr="00A66C9F">
        <w:rPr>
          <w:lang w:val="fr-FR"/>
        </w:rPr>
        <w:t>D</w:t>
      </w:r>
      <w:r w:rsidRPr="00A66C9F">
        <w:rPr>
          <w:lang w:val="fr-FR"/>
        </w:rPr>
        <w:t>.</w:t>
      </w:r>
      <w:r w:rsidRPr="00A66C9F">
        <w:rPr>
          <w:lang w:val="fr-FR"/>
        </w:rPr>
        <w:tab/>
        <w:t>Comité mixte</w:t>
      </w:r>
    </w:p>
    <w:p w14:paraId="4AD1692A" w14:textId="77777777" w:rsidR="005720FB" w:rsidRPr="00A66C9F" w:rsidRDefault="005720FB" w:rsidP="005720FB">
      <w:pPr>
        <w:pStyle w:val="SingleTxt"/>
        <w:spacing w:after="0" w:line="120" w:lineRule="exact"/>
        <w:rPr>
          <w:sz w:val="10"/>
          <w:lang w:val="fr-FR"/>
        </w:rPr>
      </w:pPr>
    </w:p>
    <w:p w14:paraId="27959690" w14:textId="5EBC423A" w:rsidR="005720FB" w:rsidRPr="00A66C9F" w:rsidRDefault="005720FB" w:rsidP="00225C0F">
      <w:pPr>
        <w:pStyle w:val="SingleTxt"/>
        <w:rPr>
          <w:lang w:val="fr-FR"/>
        </w:rPr>
      </w:pPr>
      <w:r w:rsidRPr="00A66C9F">
        <w:rPr>
          <w:lang w:val="fr-FR"/>
        </w:rPr>
        <w:t>La sous-utilisation est due à des dépenses moins élevées que prévu au titre des voyages des membres des comités.</w:t>
      </w:r>
    </w:p>
    <w:p w14:paraId="397D5FC5" w14:textId="77777777" w:rsidR="005720FB" w:rsidRPr="00A66C9F" w:rsidRDefault="005720FB" w:rsidP="00DB7521">
      <w:pPr>
        <w:pStyle w:val="SingleTxt"/>
        <w:tabs>
          <w:tab w:val="right" w:pos="1685"/>
        </w:tabs>
        <w:ind w:left="1742" w:hanging="475"/>
        <w:rPr>
          <w:lang w:val="fr-FR"/>
        </w:rPr>
      </w:pPr>
    </w:p>
    <w:p w14:paraId="51C05E5A" w14:textId="3C01A830" w:rsidR="005720FB" w:rsidRPr="00A66C9F" w:rsidRDefault="005720FB">
      <w:pPr>
        <w:spacing w:after="200" w:line="276" w:lineRule="auto"/>
        <w:rPr>
          <w:lang w:val="fr-FR"/>
        </w:rPr>
      </w:pPr>
      <w:r w:rsidRPr="00A66C9F">
        <w:rPr>
          <w:lang w:val="fr-FR"/>
        </w:rPr>
        <w:br w:type="page"/>
      </w:r>
    </w:p>
    <w:p w14:paraId="406E41B4" w14:textId="77777777" w:rsidR="00744544" w:rsidRPr="00A66C9F" w:rsidRDefault="00744544" w:rsidP="00DB7521">
      <w:pPr>
        <w:pStyle w:val="SingleTxt"/>
        <w:tabs>
          <w:tab w:val="right" w:pos="1685"/>
        </w:tabs>
        <w:ind w:left="1742" w:hanging="475"/>
        <w:rPr>
          <w:lang w:val="fr-FR"/>
        </w:rPr>
        <w:sectPr w:rsidR="00744544" w:rsidRPr="00A66C9F" w:rsidSect="00D62B67">
          <w:headerReference w:type="even" r:id="rId21"/>
          <w:headerReference w:type="default" r:id="rId22"/>
          <w:footerReference w:type="even" r:id="rId23"/>
          <w:footerReference w:type="default" r:id="rId24"/>
          <w:pgSz w:w="12240" w:h="15840"/>
          <w:pgMar w:top="1440" w:right="1200" w:bottom="1152" w:left="1200" w:header="432" w:footer="504" w:gutter="0"/>
          <w:cols w:space="720"/>
          <w:noEndnote/>
          <w:docGrid w:linePitch="360"/>
        </w:sectPr>
      </w:pPr>
    </w:p>
    <w:p w14:paraId="618DE88B"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lastRenderedPageBreak/>
        <w:t>Caisse commune des pensions du personnel des Nations Unies</w:t>
      </w:r>
    </w:p>
    <w:p w14:paraId="1C1EFAC2"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Tableau B</w:t>
      </w:r>
    </w:p>
    <w:p w14:paraId="6B86AB48" w14:textId="77777777" w:rsidR="00744544" w:rsidRPr="00A66C9F" w:rsidRDefault="00744544" w:rsidP="00744544">
      <w:pPr>
        <w:pStyle w:val="SingleTxt"/>
        <w:spacing w:after="0" w:line="120" w:lineRule="exact"/>
        <w:rPr>
          <w:sz w:val="10"/>
          <w:lang w:val="fr-FR"/>
        </w:rPr>
      </w:pPr>
    </w:p>
    <w:p w14:paraId="2865DBF3"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FR"/>
        </w:rPr>
      </w:pPr>
      <w:bookmarkStart w:id="26" w:name="_Toc512001266"/>
      <w:bookmarkStart w:id="27" w:name="_Toc38529165"/>
      <w:r w:rsidRPr="00A66C9F">
        <w:rPr>
          <w:lang w:val="fr-FR"/>
        </w:rPr>
        <w:t>V. État comparatif des montants inscrits au budget et des montants effectifs sur une base comparable ; dépenses d’administration pour l’année terminée le 31 décembre 2019</w:t>
      </w:r>
      <w:bookmarkStart w:id="28" w:name="_Hlk41567076"/>
      <w:bookmarkEnd w:id="26"/>
      <w:bookmarkEnd w:id="27"/>
      <w:bookmarkEnd w:id="28"/>
    </w:p>
    <w:p w14:paraId="66B3B73E" w14:textId="77777777" w:rsidR="00744544" w:rsidRPr="00A66C9F" w:rsidRDefault="00744544" w:rsidP="0074454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sz w:val="14"/>
          <w:szCs w:val="14"/>
          <w:lang w:val="fr-FR"/>
        </w:rPr>
        <w:t>(En milliers de dollars des États-Unis)</w:t>
      </w:r>
    </w:p>
    <w:p w14:paraId="1789A7AF" w14:textId="77777777" w:rsidR="00744544" w:rsidRPr="00A66C9F" w:rsidRDefault="00744544" w:rsidP="00744544">
      <w:pPr>
        <w:pStyle w:val="SingleTxt"/>
        <w:spacing w:after="0" w:line="120" w:lineRule="exact"/>
        <w:rPr>
          <w:sz w:val="10"/>
          <w:lang w:val="fr-FR"/>
        </w:rPr>
      </w:pPr>
    </w:p>
    <w:p w14:paraId="16F2961B" w14:textId="77777777" w:rsidR="00744544" w:rsidRPr="00A66C9F" w:rsidRDefault="00744544" w:rsidP="00744544">
      <w:pPr>
        <w:pStyle w:val="SingleTxt"/>
        <w:spacing w:after="0" w:line="120" w:lineRule="exact"/>
        <w:rPr>
          <w:sz w:val="10"/>
          <w:lang w:val="fr-FR"/>
        </w:rPr>
      </w:pPr>
    </w:p>
    <w:tbl>
      <w:tblPr>
        <w:tblW w:w="13216" w:type="dxa"/>
        <w:shd w:val="clear" w:color="000000" w:fill="FFFFFF"/>
        <w:tblLayout w:type="fixed"/>
        <w:tblCellMar>
          <w:left w:w="0" w:type="dxa"/>
          <w:right w:w="0" w:type="dxa"/>
        </w:tblCellMar>
        <w:tblLook w:val="04A0" w:firstRow="1" w:lastRow="0" w:firstColumn="1" w:lastColumn="0" w:noHBand="0" w:noVBand="1"/>
      </w:tblPr>
      <w:tblGrid>
        <w:gridCol w:w="270"/>
        <w:gridCol w:w="1618"/>
        <w:gridCol w:w="944"/>
        <w:gridCol w:w="944"/>
        <w:gridCol w:w="944"/>
        <w:gridCol w:w="140"/>
        <w:gridCol w:w="804"/>
        <w:gridCol w:w="944"/>
        <w:gridCol w:w="944"/>
        <w:gridCol w:w="98"/>
        <w:gridCol w:w="846"/>
        <w:gridCol w:w="944"/>
        <w:gridCol w:w="944"/>
        <w:gridCol w:w="146"/>
        <w:gridCol w:w="798"/>
        <w:gridCol w:w="944"/>
        <w:gridCol w:w="944"/>
      </w:tblGrid>
      <w:tr w:rsidR="00744544" w:rsidRPr="00A66C9F" w14:paraId="7197F39D" w14:textId="77777777" w:rsidTr="00107D5D">
        <w:trPr>
          <w:cantSplit/>
          <w:tblHeader/>
        </w:trPr>
        <w:tc>
          <w:tcPr>
            <w:tcW w:w="1888" w:type="dxa"/>
            <w:gridSpan w:val="2"/>
            <w:tcBorders>
              <w:top w:val="single" w:sz="4" w:space="0" w:color="auto"/>
            </w:tcBorders>
            <w:shd w:val="clear" w:color="000000" w:fill="FFFFFF"/>
            <w:noWrap/>
            <w:vAlign w:val="bottom"/>
            <w:hideMark/>
          </w:tcPr>
          <w:p w14:paraId="73753FC1" w14:textId="77777777" w:rsidR="00744544" w:rsidRPr="00A66C9F" w:rsidRDefault="00744544" w:rsidP="00107D5D">
            <w:pPr>
              <w:suppressAutoHyphens/>
              <w:spacing w:before="81" w:after="81" w:line="160" w:lineRule="exact"/>
              <w:ind w:right="43"/>
              <w:rPr>
                <w:i/>
                <w:sz w:val="14"/>
                <w:lang w:val="fr-FR"/>
              </w:rPr>
            </w:pPr>
          </w:p>
        </w:tc>
        <w:tc>
          <w:tcPr>
            <w:tcW w:w="2832" w:type="dxa"/>
            <w:gridSpan w:val="3"/>
            <w:tcBorders>
              <w:top w:val="single" w:sz="4" w:space="0" w:color="auto"/>
              <w:bottom w:val="single" w:sz="4" w:space="0" w:color="auto"/>
            </w:tcBorders>
            <w:shd w:val="clear" w:color="000000" w:fill="FFFFFF"/>
            <w:noWrap/>
            <w:vAlign w:val="bottom"/>
            <w:hideMark/>
          </w:tcPr>
          <w:p w14:paraId="741BC6EC" w14:textId="77777777" w:rsidR="00744544" w:rsidRPr="00A66C9F" w:rsidRDefault="00744544" w:rsidP="00107D5D">
            <w:pPr>
              <w:suppressAutoHyphens/>
              <w:spacing w:before="81" w:after="81" w:line="160" w:lineRule="exact"/>
              <w:ind w:right="43"/>
              <w:jc w:val="center"/>
              <w:rPr>
                <w:i/>
                <w:sz w:val="14"/>
                <w:lang w:val="fr-FR"/>
              </w:rPr>
            </w:pPr>
            <w:r w:rsidRPr="00A66C9F">
              <w:rPr>
                <w:i/>
                <w:sz w:val="14"/>
                <w:lang w:val="fr-FR"/>
              </w:rPr>
              <w:t>Montant initial des crédits ouverts pour 2019</w:t>
            </w:r>
          </w:p>
        </w:tc>
        <w:tc>
          <w:tcPr>
            <w:tcW w:w="140" w:type="dxa"/>
            <w:tcBorders>
              <w:top w:val="single" w:sz="4" w:space="0" w:color="auto"/>
            </w:tcBorders>
            <w:shd w:val="clear" w:color="000000" w:fill="FFFFFF"/>
            <w:noWrap/>
            <w:vAlign w:val="bottom"/>
            <w:hideMark/>
          </w:tcPr>
          <w:p w14:paraId="68AB36A8" w14:textId="77777777" w:rsidR="00744544" w:rsidRPr="00A66C9F" w:rsidRDefault="00744544" w:rsidP="00107D5D">
            <w:pPr>
              <w:suppressAutoHyphens/>
              <w:spacing w:before="81" w:after="81" w:line="160" w:lineRule="exact"/>
              <w:ind w:right="43"/>
              <w:jc w:val="center"/>
              <w:rPr>
                <w:i/>
                <w:sz w:val="14"/>
                <w:lang w:val="fr-FR"/>
              </w:rPr>
            </w:pPr>
          </w:p>
        </w:tc>
        <w:tc>
          <w:tcPr>
            <w:tcW w:w="2692" w:type="dxa"/>
            <w:gridSpan w:val="3"/>
            <w:tcBorders>
              <w:top w:val="single" w:sz="4" w:space="0" w:color="auto"/>
              <w:bottom w:val="single" w:sz="4" w:space="0" w:color="auto"/>
            </w:tcBorders>
            <w:shd w:val="clear" w:color="000000" w:fill="FFFFFF"/>
            <w:vAlign w:val="bottom"/>
          </w:tcPr>
          <w:p w14:paraId="0B5CACAB" w14:textId="77777777" w:rsidR="00744544" w:rsidRPr="00A66C9F" w:rsidRDefault="00744544" w:rsidP="00107D5D">
            <w:pPr>
              <w:suppressAutoHyphens/>
              <w:spacing w:before="81" w:after="81" w:line="160" w:lineRule="exact"/>
              <w:ind w:right="43"/>
              <w:jc w:val="center"/>
              <w:rPr>
                <w:i/>
                <w:sz w:val="14"/>
                <w:lang w:val="fr-FR"/>
              </w:rPr>
            </w:pPr>
            <w:r w:rsidRPr="00A66C9F">
              <w:rPr>
                <w:i/>
                <w:sz w:val="14"/>
                <w:lang w:val="fr-FR"/>
              </w:rPr>
              <w:t>Montant reporté (solde de 2018)</w:t>
            </w:r>
          </w:p>
        </w:tc>
        <w:tc>
          <w:tcPr>
            <w:tcW w:w="98" w:type="dxa"/>
            <w:tcBorders>
              <w:top w:val="single" w:sz="4" w:space="0" w:color="auto"/>
            </w:tcBorders>
            <w:shd w:val="clear" w:color="000000" w:fill="FFFFFF"/>
            <w:noWrap/>
            <w:vAlign w:val="bottom"/>
            <w:hideMark/>
          </w:tcPr>
          <w:p w14:paraId="7D58C33B" w14:textId="77777777" w:rsidR="00744544" w:rsidRPr="00A66C9F" w:rsidRDefault="00744544" w:rsidP="00107D5D">
            <w:pPr>
              <w:suppressAutoHyphens/>
              <w:spacing w:before="81" w:after="81" w:line="160" w:lineRule="exact"/>
              <w:ind w:right="43"/>
              <w:jc w:val="center"/>
              <w:rPr>
                <w:i/>
                <w:sz w:val="14"/>
                <w:lang w:val="fr-FR"/>
              </w:rPr>
            </w:pPr>
          </w:p>
        </w:tc>
        <w:tc>
          <w:tcPr>
            <w:tcW w:w="2734" w:type="dxa"/>
            <w:gridSpan w:val="3"/>
            <w:tcBorders>
              <w:top w:val="single" w:sz="4" w:space="0" w:color="auto"/>
              <w:bottom w:val="single" w:sz="4" w:space="0" w:color="auto"/>
            </w:tcBorders>
            <w:shd w:val="clear" w:color="000000" w:fill="FFFFFF"/>
            <w:vAlign w:val="bottom"/>
          </w:tcPr>
          <w:p w14:paraId="5146A798" w14:textId="77777777" w:rsidR="00744544" w:rsidRPr="00A66C9F" w:rsidRDefault="00744544" w:rsidP="00107D5D">
            <w:pPr>
              <w:suppressAutoHyphens/>
              <w:spacing w:before="81" w:after="81" w:line="160" w:lineRule="exact"/>
              <w:ind w:right="43"/>
              <w:jc w:val="center"/>
              <w:rPr>
                <w:i/>
                <w:sz w:val="14"/>
                <w:lang w:val="fr-FR"/>
              </w:rPr>
            </w:pPr>
            <w:r w:rsidRPr="00A66C9F">
              <w:rPr>
                <w:i/>
                <w:sz w:val="14"/>
                <w:lang w:val="fr-FR"/>
              </w:rPr>
              <w:t>Montant révisé des crédits ouverts</w:t>
            </w:r>
          </w:p>
        </w:tc>
        <w:tc>
          <w:tcPr>
            <w:tcW w:w="146" w:type="dxa"/>
            <w:tcBorders>
              <w:top w:val="single" w:sz="4" w:space="0" w:color="auto"/>
            </w:tcBorders>
            <w:shd w:val="clear" w:color="000000" w:fill="FFFFFF"/>
            <w:noWrap/>
            <w:vAlign w:val="bottom"/>
            <w:hideMark/>
          </w:tcPr>
          <w:p w14:paraId="1E98411F" w14:textId="77777777" w:rsidR="00744544" w:rsidRPr="00A66C9F" w:rsidRDefault="00744544" w:rsidP="00107D5D">
            <w:pPr>
              <w:suppressAutoHyphens/>
              <w:spacing w:before="81" w:after="81" w:line="160" w:lineRule="exact"/>
              <w:ind w:right="43"/>
              <w:jc w:val="center"/>
              <w:rPr>
                <w:i/>
                <w:sz w:val="14"/>
                <w:lang w:val="fr-FR"/>
              </w:rPr>
            </w:pPr>
          </w:p>
        </w:tc>
        <w:tc>
          <w:tcPr>
            <w:tcW w:w="2686" w:type="dxa"/>
            <w:gridSpan w:val="3"/>
            <w:tcBorders>
              <w:top w:val="single" w:sz="4" w:space="0" w:color="auto"/>
              <w:bottom w:val="single" w:sz="4" w:space="0" w:color="auto"/>
            </w:tcBorders>
            <w:shd w:val="clear" w:color="000000" w:fill="FFFFFF"/>
            <w:vAlign w:val="bottom"/>
          </w:tcPr>
          <w:p w14:paraId="52070000" w14:textId="77777777" w:rsidR="00744544" w:rsidRPr="00A66C9F" w:rsidRDefault="00744544" w:rsidP="00107D5D">
            <w:pPr>
              <w:suppressAutoHyphens/>
              <w:spacing w:before="81" w:after="81" w:line="160" w:lineRule="exact"/>
              <w:ind w:right="43"/>
              <w:jc w:val="center"/>
              <w:rPr>
                <w:i/>
                <w:sz w:val="14"/>
                <w:lang w:val="fr-FR"/>
              </w:rPr>
            </w:pPr>
            <w:r w:rsidRPr="00A66C9F">
              <w:rPr>
                <w:i/>
                <w:sz w:val="14"/>
                <w:lang w:val="fr-FR"/>
              </w:rPr>
              <w:t>Budget définitif pour 2019</w:t>
            </w:r>
          </w:p>
        </w:tc>
      </w:tr>
      <w:tr w:rsidR="00744544" w:rsidRPr="00A66C9F" w14:paraId="58C3956A" w14:textId="77777777" w:rsidTr="00107D5D">
        <w:trPr>
          <w:cantSplit/>
          <w:tblHeader/>
        </w:trPr>
        <w:tc>
          <w:tcPr>
            <w:tcW w:w="1888" w:type="dxa"/>
            <w:gridSpan w:val="2"/>
            <w:tcBorders>
              <w:bottom w:val="single" w:sz="12" w:space="0" w:color="auto"/>
            </w:tcBorders>
            <w:shd w:val="clear" w:color="000000" w:fill="FFFFFF"/>
            <w:noWrap/>
            <w:vAlign w:val="bottom"/>
            <w:hideMark/>
          </w:tcPr>
          <w:p w14:paraId="6D69B249" w14:textId="77777777" w:rsidR="00744544" w:rsidRPr="00A66C9F" w:rsidRDefault="00744544" w:rsidP="00107D5D">
            <w:pPr>
              <w:suppressAutoHyphens/>
              <w:spacing w:before="81" w:after="81" w:line="160" w:lineRule="exact"/>
              <w:ind w:right="40"/>
              <w:rPr>
                <w:i/>
                <w:sz w:val="14"/>
                <w:lang w:val="fr-FR"/>
              </w:rPr>
            </w:pPr>
          </w:p>
        </w:tc>
        <w:tc>
          <w:tcPr>
            <w:tcW w:w="944" w:type="dxa"/>
            <w:tcBorders>
              <w:top w:val="single" w:sz="4" w:space="0" w:color="auto"/>
              <w:bottom w:val="single" w:sz="12" w:space="0" w:color="auto"/>
            </w:tcBorders>
            <w:shd w:val="clear" w:color="000000" w:fill="FFFFFF"/>
            <w:noWrap/>
            <w:vAlign w:val="bottom"/>
            <w:hideMark/>
          </w:tcPr>
          <w:p w14:paraId="0AE99C39"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 xml:space="preserve">Caisse </w:t>
            </w:r>
            <w:r w:rsidRPr="00A66C9F">
              <w:rPr>
                <w:i/>
                <w:sz w:val="14"/>
                <w:lang w:val="fr-FR"/>
              </w:rPr>
              <w:br/>
              <w:t>des pensions</w:t>
            </w:r>
          </w:p>
        </w:tc>
        <w:tc>
          <w:tcPr>
            <w:tcW w:w="944" w:type="dxa"/>
            <w:tcBorders>
              <w:top w:val="single" w:sz="4" w:space="0" w:color="auto"/>
              <w:bottom w:val="single" w:sz="12" w:space="0" w:color="auto"/>
            </w:tcBorders>
            <w:shd w:val="clear" w:color="000000" w:fill="FFFFFF"/>
            <w:noWrap/>
            <w:vAlign w:val="bottom"/>
            <w:hideMark/>
          </w:tcPr>
          <w:p w14:paraId="3F1AFA5E"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ONU</w:t>
            </w:r>
          </w:p>
        </w:tc>
        <w:tc>
          <w:tcPr>
            <w:tcW w:w="944" w:type="dxa"/>
            <w:tcBorders>
              <w:top w:val="single" w:sz="4" w:space="0" w:color="auto"/>
              <w:bottom w:val="single" w:sz="12" w:space="0" w:color="auto"/>
            </w:tcBorders>
            <w:shd w:val="clear" w:color="000000" w:fill="FFFFFF"/>
            <w:noWrap/>
            <w:vAlign w:val="bottom"/>
            <w:hideMark/>
          </w:tcPr>
          <w:p w14:paraId="0903C2D1"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Total</w:t>
            </w:r>
          </w:p>
        </w:tc>
        <w:tc>
          <w:tcPr>
            <w:tcW w:w="944" w:type="dxa"/>
            <w:gridSpan w:val="2"/>
            <w:tcBorders>
              <w:bottom w:val="single" w:sz="12" w:space="0" w:color="auto"/>
            </w:tcBorders>
            <w:shd w:val="clear" w:color="000000" w:fill="FFFFFF"/>
            <w:noWrap/>
            <w:vAlign w:val="bottom"/>
            <w:hideMark/>
          </w:tcPr>
          <w:p w14:paraId="70557728"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 xml:space="preserve">Caisse </w:t>
            </w:r>
            <w:r w:rsidRPr="00A66C9F">
              <w:rPr>
                <w:i/>
                <w:sz w:val="14"/>
                <w:lang w:val="fr-FR"/>
              </w:rPr>
              <w:br/>
              <w:t>des pensions</w:t>
            </w:r>
          </w:p>
        </w:tc>
        <w:tc>
          <w:tcPr>
            <w:tcW w:w="944" w:type="dxa"/>
            <w:tcBorders>
              <w:bottom w:val="single" w:sz="12" w:space="0" w:color="auto"/>
            </w:tcBorders>
            <w:shd w:val="clear" w:color="000000" w:fill="FFFFFF"/>
            <w:noWrap/>
            <w:vAlign w:val="bottom"/>
            <w:hideMark/>
          </w:tcPr>
          <w:p w14:paraId="19C93251"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ONU</w:t>
            </w:r>
          </w:p>
        </w:tc>
        <w:tc>
          <w:tcPr>
            <w:tcW w:w="944" w:type="dxa"/>
            <w:tcBorders>
              <w:bottom w:val="single" w:sz="12" w:space="0" w:color="auto"/>
            </w:tcBorders>
            <w:shd w:val="clear" w:color="000000" w:fill="FFFFFF"/>
            <w:noWrap/>
            <w:vAlign w:val="bottom"/>
            <w:hideMark/>
          </w:tcPr>
          <w:p w14:paraId="569C1FC5"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Total</w:t>
            </w:r>
          </w:p>
        </w:tc>
        <w:tc>
          <w:tcPr>
            <w:tcW w:w="944" w:type="dxa"/>
            <w:gridSpan w:val="2"/>
            <w:tcBorders>
              <w:bottom w:val="single" w:sz="12" w:space="0" w:color="auto"/>
            </w:tcBorders>
            <w:shd w:val="clear" w:color="000000" w:fill="FFFFFF"/>
            <w:noWrap/>
            <w:vAlign w:val="bottom"/>
            <w:hideMark/>
          </w:tcPr>
          <w:p w14:paraId="3E7BBA4F"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 xml:space="preserve">Caisse </w:t>
            </w:r>
            <w:r w:rsidRPr="00A66C9F">
              <w:rPr>
                <w:i/>
                <w:sz w:val="14"/>
                <w:lang w:val="fr-FR"/>
              </w:rPr>
              <w:br/>
              <w:t>des pensions</w:t>
            </w:r>
          </w:p>
        </w:tc>
        <w:tc>
          <w:tcPr>
            <w:tcW w:w="944" w:type="dxa"/>
            <w:tcBorders>
              <w:bottom w:val="single" w:sz="12" w:space="0" w:color="auto"/>
            </w:tcBorders>
            <w:shd w:val="clear" w:color="000000" w:fill="FFFFFF"/>
            <w:noWrap/>
            <w:vAlign w:val="bottom"/>
            <w:hideMark/>
          </w:tcPr>
          <w:p w14:paraId="2BA73833"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ONU</w:t>
            </w:r>
          </w:p>
        </w:tc>
        <w:tc>
          <w:tcPr>
            <w:tcW w:w="944" w:type="dxa"/>
            <w:tcBorders>
              <w:bottom w:val="single" w:sz="12" w:space="0" w:color="auto"/>
            </w:tcBorders>
            <w:shd w:val="clear" w:color="000000" w:fill="FFFFFF"/>
            <w:noWrap/>
            <w:vAlign w:val="bottom"/>
            <w:hideMark/>
          </w:tcPr>
          <w:p w14:paraId="4923CBA7"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Total</w:t>
            </w:r>
          </w:p>
        </w:tc>
        <w:tc>
          <w:tcPr>
            <w:tcW w:w="944" w:type="dxa"/>
            <w:gridSpan w:val="2"/>
            <w:tcBorders>
              <w:bottom w:val="single" w:sz="12" w:space="0" w:color="auto"/>
            </w:tcBorders>
            <w:shd w:val="clear" w:color="000000" w:fill="FFFFFF"/>
            <w:noWrap/>
            <w:vAlign w:val="bottom"/>
            <w:hideMark/>
          </w:tcPr>
          <w:p w14:paraId="7D48984F"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 xml:space="preserve">Caisse </w:t>
            </w:r>
            <w:r w:rsidRPr="00A66C9F">
              <w:rPr>
                <w:i/>
                <w:sz w:val="14"/>
                <w:lang w:val="fr-FR"/>
              </w:rPr>
              <w:br/>
              <w:t>des pensions</w:t>
            </w:r>
          </w:p>
        </w:tc>
        <w:tc>
          <w:tcPr>
            <w:tcW w:w="944" w:type="dxa"/>
            <w:tcBorders>
              <w:bottom w:val="single" w:sz="12" w:space="0" w:color="auto"/>
            </w:tcBorders>
            <w:shd w:val="clear" w:color="000000" w:fill="FFFFFF"/>
            <w:noWrap/>
            <w:vAlign w:val="bottom"/>
            <w:hideMark/>
          </w:tcPr>
          <w:p w14:paraId="65081C50"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ONU</w:t>
            </w:r>
          </w:p>
        </w:tc>
        <w:tc>
          <w:tcPr>
            <w:tcW w:w="944" w:type="dxa"/>
            <w:tcBorders>
              <w:bottom w:val="single" w:sz="12" w:space="0" w:color="auto"/>
            </w:tcBorders>
            <w:shd w:val="clear" w:color="000000" w:fill="FFFFFF"/>
            <w:noWrap/>
            <w:vAlign w:val="bottom"/>
            <w:hideMark/>
          </w:tcPr>
          <w:p w14:paraId="03330E98"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Total</w:t>
            </w:r>
          </w:p>
        </w:tc>
      </w:tr>
      <w:tr w:rsidR="00744544" w:rsidRPr="00A66C9F" w14:paraId="202596B1" w14:textId="77777777" w:rsidTr="00107D5D">
        <w:trPr>
          <w:cantSplit/>
          <w:trHeight w:hRule="exact" w:val="115"/>
          <w:tblHeader/>
        </w:trPr>
        <w:tc>
          <w:tcPr>
            <w:tcW w:w="270" w:type="dxa"/>
            <w:tcBorders>
              <w:top w:val="single" w:sz="12" w:space="0" w:color="auto"/>
            </w:tcBorders>
            <w:shd w:val="clear" w:color="000000" w:fill="FFFFFF"/>
            <w:noWrap/>
            <w:vAlign w:val="bottom"/>
          </w:tcPr>
          <w:p w14:paraId="6247E630" w14:textId="77777777" w:rsidR="00744544" w:rsidRPr="00A66C9F" w:rsidRDefault="00744544" w:rsidP="00107D5D">
            <w:pPr>
              <w:suppressAutoHyphens/>
              <w:spacing w:before="40" w:after="40" w:line="210" w:lineRule="exact"/>
              <w:ind w:right="40"/>
              <w:rPr>
                <w:sz w:val="17"/>
                <w:lang w:val="fr-FR"/>
              </w:rPr>
            </w:pPr>
          </w:p>
        </w:tc>
        <w:tc>
          <w:tcPr>
            <w:tcW w:w="1618" w:type="dxa"/>
            <w:tcBorders>
              <w:top w:val="single" w:sz="12" w:space="0" w:color="auto"/>
            </w:tcBorders>
            <w:shd w:val="clear" w:color="000000" w:fill="FFFFFF"/>
            <w:noWrap/>
            <w:vAlign w:val="bottom"/>
          </w:tcPr>
          <w:p w14:paraId="7B56B8BE" w14:textId="77777777" w:rsidR="00744544" w:rsidRPr="00A66C9F" w:rsidRDefault="00744544" w:rsidP="00107D5D">
            <w:pPr>
              <w:suppressAutoHyphens/>
              <w:spacing w:before="40" w:after="40" w:line="210" w:lineRule="exact"/>
              <w:ind w:right="43"/>
              <w:rPr>
                <w:sz w:val="17"/>
                <w:lang w:val="fr-FR"/>
              </w:rPr>
            </w:pPr>
          </w:p>
        </w:tc>
        <w:tc>
          <w:tcPr>
            <w:tcW w:w="944" w:type="dxa"/>
            <w:tcBorders>
              <w:top w:val="single" w:sz="12" w:space="0" w:color="auto"/>
            </w:tcBorders>
            <w:shd w:val="clear" w:color="000000" w:fill="FFFFFF"/>
            <w:noWrap/>
            <w:vAlign w:val="bottom"/>
          </w:tcPr>
          <w:p w14:paraId="48FA5426" w14:textId="77777777" w:rsidR="00744544" w:rsidRPr="00A66C9F" w:rsidRDefault="00744544" w:rsidP="00107D5D">
            <w:pPr>
              <w:suppressAutoHyphens/>
              <w:spacing w:before="40" w:after="40" w:line="210" w:lineRule="exact"/>
              <w:ind w:right="43"/>
              <w:jc w:val="right"/>
              <w:rPr>
                <w:sz w:val="17"/>
                <w:lang w:val="fr-FR"/>
              </w:rPr>
            </w:pPr>
          </w:p>
        </w:tc>
        <w:tc>
          <w:tcPr>
            <w:tcW w:w="944" w:type="dxa"/>
            <w:tcBorders>
              <w:top w:val="single" w:sz="12" w:space="0" w:color="auto"/>
            </w:tcBorders>
            <w:shd w:val="clear" w:color="000000" w:fill="FFFFFF"/>
            <w:noWrap/>
            <w:vAlign w:val="bottom"/>
          </w:tcPr>
          <w:p w14:paraId="467B0AD9" w14:textId="77777777" w:rsidR="00744544" w:rsidRPr="00A66C9F" w:rsidRDefault="00744544" w:rsidP="00107D5D">
            <w:pPr>
              <w:suppressAutoHyphens/>
              <w:spacing w:before="40" w:after="40" w:line="210" w:lineRule="exact"/>
              <w:ind w:right="43"/>
              <w:jc w:val="right"/>
              <w:rPr>
                <w:sz w:val="17"/>
                <w:lang w:val="fr-FR"/>
              </w:rPr>
            </w:pPr>
          </w:p>
        </w:tc>
        <w:tc>
          <w:tcPr>
            <w:tcW w:w="944" w:type="dxa"/>
            <w:tcBorders>
              <w:top w:val="single" w:sz="12" w:space="0" w:color="auto"/>
            </w:tcBorders>
            <w:shd w:val="clear" w:color="000000" w:fill="FFFFFF"/>
            <w:noWrap/>
            <w:vAlign w:val="bottom"/>
          </w:tcPr>
          <w:p w14:paraId="795C06E3" w14:textId="77777777" w:rsidR="00744544" w:rsidRPr="00A66C9F" w:rsidRDefault="00744544" w:rsidP="00107D5D">
            <w:pPr>
              <w:suppressAutoHyphens/>
              <w:spacing w:before="40" w:after="40" w:line="210" w:lineRule="exact"/>
              <w:ind w:right="43"/>
              <w:jc w:val="right"/>
              <w:rPr>
                <w:sz w:val="17"/>
                <w:lang w:val="fr-FR"/>
              </w:rPr>
            </w:pPr>
          </w:p>
        </w:tc>
        <w:tc>
          <w:tcPr>
            <w:tcW w:w="944" w:type="dxa"/>
            <w:gridSpan w:val="2"/>
            <w:tcBorders>
              <w:top w:val="single" w:sz="12" w:space="0" w:color="auto"/>
            </w:tcBorders>
            <w:shd w:val="clear" w:color="000000" w:fill="FFFFFF"/>
            <w:noWrap/>
            <w:vAlign w:val="bottom"/>
          </w:tcPr>
          <w:p w14:paraId="5A812D6C" w14:textId="77777777" w:rsidR="00744544" w:rsidRPr="00A66C9F" w:rsidRDefault="00744544" w:rsidP="00107D5D">
            <w:pPr>
              <w:suppressAutoHyphens/>
              <w:spacing w:before="40" w:after="40" w:line="210" w:lineRule="exact"/>
              <w:ind w:right="43"/>
              <w:jc w:val="right"/>
              <w:rPr>
                <w:sz w:val="17"/>
                <w:lang w:val="fr-FR"/>
              </w:rPr>
            </w:pPr>
          </w:p>
        </w:tc>
        <w:tc>
          <w:tcPr>
            <w:tcW w:w="944" w:type="dxa"/>
            <w:tcBorders>
              <w:top w:val="single" w:sz="12" w:space="0" w:color="auto"/>
            </w:tcBorders>
            <w:shd w:val="clear" w:color="000000" w:fill="FFFFFF"/>
            <w:noWrap/>
            <w:vAlign w:val="bottom"/>
          </w:tcPr>
          <w:p w14:paraId="28B864EC" w14:textId="77777777" w:rsidR="00744544" w:rsidRPr="00A66C9F" w:rsidRDefault="00744544" w:rsidP="00107D5D">
            <w:pPr>
              <w:suppressAutoHyphens/>
              <w:spacing w:before="40" w:after="40" w:line="210" w:lineRule="exact"/>
              <w:ind w:right="43"/>
              <w:jc w:val="right"/>
              <w:rPr>
                <w:sz w:val="17"/>
                <w:lang w:val="fr-FR"/>
              </w:rPr>
            </w:pPr>
          </w:p>
        </w:tc>
        <w:tc>
          <w:tcPr>
            <w:tcW w:w="944" w:type="dxa"/>
            <w:tcBorders>
              <w:top w:val="single" w:sz="12" w:space="0" w:color="auto"/>
            </w:tcBorders>
            <w:shd w:val="clear" w:color="000000" w:fill="FFFFFF"/>
            <w:noWrap/>
            <w:vAlign w:val="bottom"/>
          </w:tcPr>
          <w:p w14:paraId="45047FA9" w14:textId="77777777" w:rsidR="00744544" w:rsidRPr="00A66C9F" w:rsidRDefault="00744544" w:rsidP="00107D5D">
            <w:pPr>
              <w:suppressAutoHyphens/>
              <w:spacing w:before="40" w:after="40" w:line="210" w:lineRule="exact"/>
              <w:ind w:right="43"/>
              <w:jc w:val="right"/>
              <w:rPr>
                <w:sz w:val="17"/>
                <w:lang w:val="fr-FR"/>
              </w:rPr>
            </w:pPr>
          </w:p>
        </w:tc>
        <w:tc>
          <w:tcPr>
            <w:tcW w:w="944" w:type="dxa"/>
            <w:gridSpan w:val="2"/>
            <w:tcBorders>
              <w:top w:val="single" w:sz="12" w:space="0" w:color="auto"/>
            </w:tcBorders>
            <w:shd w:val="clear" w:color="000000" w:fill="FFFFFF"/>
            <w:noWrap/>
            <w:vAlign w:val="bottom"/>
          </w:tcPr>
          <w:p w14:paraId="58A24CA3" w14:textId="77777777" w:rsidR="00744544" w:rsidRPr="00A66C9F" w:rsidRDefault="00744544" w:rsidP="00107D5D">
            <w:pPr>
              <w:suppressAutoHyphens/>
              <w:spacing w:before="40" w:after="40" w:line="210" w:lineRule="exact"/>
              <w:ind w:right="43"/>
              <w:jc w:val="right"/>
              <w:rPr>
                <w:sz w:val="17"/>
                <w:lang w:val="fr-FR"/>
              </w:rPr>
            </w:pPr>
          </w:p>
        </w:tc>
        <w:tc>
          <w:tcPr>
            <w:tcW w:w="944" w:type="dxa"/>
            <w:tcBorders>
              <w:top w:val="single" w:sz="12" w:space="0" w:color="auto"/>
            </w:tcBorders>
            <w:shd w:val="clear" w:color="000000" w:fill="FFFFFF"/>
            <w:noWrap/>
            <w:vAlign w:val="bottom"/>
          </w:tcPr>
          <w:p w14:paraId="6562E5AD" w14:textId="77777777" w:rsidR="00744544" w:rsidRPr="00A66C9F" w:rsidRDefault="00744544" w:rsidP="00107D5D">
            <w:pPr>
              <w:suppressAutoHyphens/>
              <w:spacing w:before="40" w:after="40" w:line="210" w:lineRule="exact"/>
              <w:ind w:right="43"/>
              <w:jc w:val="right"/>
              <w:rPr>
                <w:sz w:val="17"/>
                <w:lang w:val="fr-FR"/>
              </w:rPr>
            </w:pPr>
          </w:p>
        </w:tc>
        <w:tc>
          <w:tcPr>
            <w:tcW w:w="944" w:type="dxa"/>
            <w:tcBorders>
              <w:top w:val="single" w:sz="12" w:space="0" w:color="auto"/>
            </w:tcBorders>
            <w:shd w:val="clear" w:color="000000" w:fill="FFFFFF"/>
            <w:noWrap/>
            <w:vAlign w:val="bottom"/>
          </w:tcPr>
          <w:p w14:paraId="1E11FD3C" w14:textId="77777777" w:rsidR="00744544" w:rsidRPr="00A66C9F" w:rsidRDefault="00744544" w:rsidP="00107D5D">
            <w:pPr>
              <w:suppressAutoHyphens/>
              <w:spacing w:before="40" w:after="40" w:line="210" w:lineRule="exact"/>
              <w:ind w:right="43"/>
              <w:jc w:val="right"/>
              <w:rPr>
                <w:sz w:val="17"/>
                <w:lang w:val="fr-FR"/>
              </w:rPr>
            </w:pPr>
          </w:p>
        </w:tc>
        <w:tc>
          <w:tcPr>
            <w:tcW w:w="944" w:type="dxa"/>
            <w:gridSpan w:val="2"/>
            <w:tcBorders>
              <w:top w:val="single" w:sz="12" w:space="0" w:color="auto"/>
            </w:tcBorders>
            <w:shd w:val="clear" w:color="000000" w:fill="FFFFFF"/>
            <w:noWrap/>
            <w:vAlign w:val="bottom"/>
          </w:tcPr>
          <w:p w14:paraId="332CA30A" w14:textId="77777777" w:rsidR="00744544" w:rsidRPr="00A66C9F" w:rsidRDefault="00744544" w:rsidP="00107D5D">
            <w:pPr>
              <w:suppressAutoHyphens/>
              <w:spacing w:before="40" w:after="40" w:line="210" w:lineRule="exact"/>
              <w:ind w:right="43"/>
              <w:jc w:val="right"/>
              <w:rPr>
                <w:sz w:val="17"/>
                <w:lang w:val="fr-FR"/>
              </w:rPr>
            </w:pPr>
          </w:p>
        </w:tc>
        <w:tc>
          <w:tcPr>
            <w:tcW w:w="944" w:type="dxa"/>
            <w:tcBorders>
              <w:top w:val="single" w:sz="12" w:space="0" w:color="auto"/>
            </w:tcBorders>
            <w:shd w:val="clear" w:color="000000" w:fill="FFFFFF"/>
            <w:noWrap/>
            <w:vAlign w:val="bottom"/>
          </w:tcPr>
          <w:p w14:paraId="527791F8" w14:textId="77777777" w:rsidR="00744544" w:rsidRPr="00A66C9F" w:rsidRDefault="00744544" w:rsidP="00107D5D">
            <w:pPr>
              <w:suppressAutoHyphens/>
              <w:spacing w:before="40" w:after="40" w:line="210" w:lineRule="exact"/>
              <w:ind w:right="43"/>
              <w:jc w:val="right"/>
              <w:rPr>
                <w:sz w:val="17"/>
                <w:lang w:val="fr-FR"/>
              </w:rPr>
            </w:pPr>
          </w:p>
        </w:tc>
        <w:tc>
          <w:tcPr>
            <w:tcW w:w="944" w:type="dxa"/>
            <w:tcBorders>
              <w:top w:val="single" w:sz="12" w:space="0" w:color="auto"/>
            </w:tcBorders>
            <w:shd w:val="clear" w:color="000000" w:fill="FFFFFF"/>
            <w:noWrap/>
            <w:vAlign w:val="bottom"/>
          </w:tcPr>
          <w:p w14:paraId="5027C10B" w14:textId="77777777" w:rsidR="00744544" w:rsidRPr="00A66C9F" w:rsidRDefault="00744544" w:rsidP="00107D5D">
            <w:pPr>
              <w:suppressAutoHyphens/>
              <w:spacing w:before="40" w:after="40" w:line="210" w:lineRule="exact"/>
              <w:ind w:right="43"/>
              <w:jc w:val="right"/>
              <w:rPr>
                <w:sz w:val="17"/>
                <w:lang w:val="fr-FR"/>
              </w:rPr>
            </w:pPr>
          </w:p>
        </w:tc>
      </w:tr>
      <w:tr w:rsidR="00744544" w:rsidRPr="00A66C9F" w14:paraId="58CD34B2" w14:textId="77777777" w:rsidTr="00107D5D">
        <w:trPr>
          <w:cantSplit/>
        </w:trPr>
        <w:tc>
          <w:tcPr>
            <w:tcW w:w="2832" w:type="dxa"/>
            <w:gridSpan w:val="3"/>
            <w:shd w:val="clear" w:color="000000" w:fill="FFFFFF"/>
            <w:noWrap/>
            <w:vAlign w:val="bottom"/>
            <w:hideMark/>
          </w:tcPr>
          <w:p w14:paraId="5D12DA0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rPr>
                <w:b/>
                <w:bCs/>
                <w:sz w:val="17"/>
                <w:lang w:val="fr-FR"/>
              </w:rPr>
            </w:pPr>
            <w:r w:rsidRPr="00A66C9F">
              <w:rPr>
                <w:b/>
                <w:bCs/>
                <w:sz w:val="17"/>
                <w:lang w:val="fr-FR"/>
              </w:rPr>
              <w:t>A.</w:t>
            </w:r>
            <w:r w:rsidRPr="00A66C9F">
              <w:rPr>
                <w:b/>
                <w:bCs/>
                <w:sz w:val="17"/>
                <w:lang w:val="fr-FR"/>
              </w:rPr>
              <w:tab/>
              <w:t>Secrétariat de la Caisse </w:t>
            </w:r>
          </w:p>
        </w:tc>
        <w:tc>
          <w:tcPr>
            <w:tcW w:w="944" w:type="dxa"/>
            <w:shd w:val="clear" w:color="000000" w:fill="FFFFFF"/>
            <w:noWrap/>
            <w:vAlign w:val="bottom"/>
            <w:hideMark/>
          </w:tcPr>
          <w:p w14:paraId="3742C3D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w:t>
            </w:r>
          </w:p>
        </w:tc>
        <w:tc>
          <w:tcPr>
            <w:tcW w:w="944" w:type="dxa"/>
            <w:shd w:val="clear" w:color="000000" w:fill="FFFFFF"/>
            <w:noWrap/>
            <w:vAlign w:val="bottom"/>
            <w:hideMark/>
          </w:tcPr>
          <w:p w14:paraId="1760CB2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w:t>
            </w:r>
          </w:p>
        </w:tc>
        <w:tc>
          <w:tcPr>
            <w:tcW w:w="944" w:type="dxa"/>
            <w:gridSpan w:val="2"/>
            <w:shd w:val="clear" w:color="000000" w:fill="FFFFFF"/>
            <w:noWrap/>
            <w:vAlign w:val="bottom"/>
            <w:hideMark/>
          </w:tcPr>
          <w:p w14:paraId="775E772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w:t>
            </w:r>
          </w:p>
        </w:tc>
        <w:tc>
          <w:tcPr>
            <w:tcW w:w="944" w:type="dxa"/>
            <w:shd w:val="clear" w:color="000000" w:fill="FFFFFF"/>
            <w:noWrap/>
            <w:vAlign w:val="bottom"/>
            <w:hideMark/>
          </w:tcPr>
          <w:p w14:paraId="7E0DE0C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w:t>
            </w:r>
          </w:p>
        </w:tc>
        <w:tc>
          <w:tcPr>
            <w:tcW w:w="944" w:type="dxa"/>
            <w:shd w:val="clear" w:color="000000" w:fill="FFFFFF"/>
            <w:noWrap/>
            <w:vAlign w:val="bottom"/>
            <w:hideMark/>
          </w:tcPr>
          <w:p w14:paraId="7575AC7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w:t>
            </w:r>
          </w:p>
        </w:tc>
        <w:tc>
          <w:tcPr>
            <w:tcW w:w="944" w:type="dxa"/>
            <w:gridSpan w:val="2"/>
            <w:shd w:val="clear" w:color="000000" w:fill="FFFFFF"/>
            <w:noWrap/>
            <w:vAlign w:val="bottom"/>
            <w:hideMark/>
          </w:tcPr>
          <w:p w14:paraId="3E66B15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w:t>
            </w:r>
          </w:p>
        </w:tc>
        <w:tc>
          <w:tcPr>
            <w:tcW w:w="944" w:type="dxa"/>
            <w:shd w:val="clear" w:color="000000" w:fill="FFFFFF"/>
            <w:noWrap/>
            <w:vAlign w:val="bottom"/>
            <w:hideMark/>
          </w:tcPr>
          <w:p w14:paraId="04AE3B8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w:t>
            </w:r>
          </w:p>
        </w:tc>
        <w:tc>
          <w:tcPr>
            <w:tcW w:w="944" w:type="dxa"/>
            <w:shd w:val="clear" w:color="000000" w:fill="FFFFFF"/>
            <w:noWrap/>
            <w:vAlign w:val="bottom"/>
            <w:hideMark/>
          </w:tcPr>
          <w:p w14:paraId="2B2EC3F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w:t>
            </w:r>
          </w:p>
        </w:tc>
        <w:tc>
          <w:tcPr>
            <w:tcW w:w="944" w:type="dxa"/>
            <w:gridSpan w:val="2"/>
            <w:shd w:val="clear" w:color="000000" w:fill="FFFFFF"/>
            <w:noWrap/>
            <w:vAlign w:val="bottom"/>
            <w:hideMark/>
          </w:tcPr>
          <w:p w14:paraId="3C1FF83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w:t>
            </w:r>
          </w:p>
        </w:tc>
        <w:tc>
          <w:tcPr>
            <w:tcW w:w="944" w:type="dxa"/>
            <w:shd w:val="clear" w:color="000000" w:fill="FFFFFF"/>
            <w:noWrap/>
            <w:vAlign w:val="bottom"/>
            <w:hideMark/>
          </w:tcPr>
          <w:p w14:paraId="31819BD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w:t>
            </w:r>
          </w:p>
        </w:tc>
        <w:tc>
          <w:tcPr>
            <w:tcW w:w="944" w:type="dxa"/>
            <w:shd w:val="clear" w:color="000000" w:fill="FFFFFF"/>
            <w:noWrap/>
            <w:vAlign w:val="bottom"/>
            <w:hideMark/>
          </w:tcPr>
          <w:p w14:paraId="54443C6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w:t>
            </w:r>
          </w:p>
        </w:tc>
      </w:tr>
      <w:tr w:rsidR="00744544" w:rsidRPr="00A66C9F" w14:paraId="438FBFAD" w14:textId="77777777" w:rsidTr="00107D5D">
        <w:trPr>
          <w:cantSplit/>
        </w:trPr>
        <w:tc>
          <w:tcPr>
            <w:tcW w:w="1888" w:type="dxa"/>
            <w:gridSpan w:val="2"/>
            <w:shd w:val="clear" w:color="000000" w:fill="FFFFFF"/>
            <w:noWrap/>
            <w:vAlign w:val="bottom"/>
            <w:hideMark/>
          </w:tcPr>
          <w:p w14:paraId="536B7A3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ab/>
              <w:t>Postes</w:t>
            </w:r>
          </w:p>
        </w:tc>
        <w:tc>
          <w:tcPr>
            <w:tcW w:w="944" w:type="dxa"/>
            <w:shd w:val="clear" w:color="000000" w:fill="FFFFFF"/>
            <w:noWrap/>
            <w:vAlign w:val="bottom"/>
            <w:hideMark/>
          </w:tcPr>
          <w:p w14:paraId="5D3D4D6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16 070,9 </w:t>
            </w:r>
          </w:p>
        </w:tc>
        <w:tc>
          <w:tcPr>
            <w:tcW w:w="944" w:type="dxa"/>
            <w:shd w:val="clear" w:color="000000" w:fill="FFFFFF"/>
            <w:noWrap/>
            <w:vAlign w:val="bottom"/>
            <w:hideMark/>
          </w:tcPr>
          <w:p w14:paraId="13CE463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7 258,7 </w:t>
            </w:r>
          </w:p>
        </w:tc>
        <w:tc>
          <w:tcPr>
            <w:tcW w:w="944" w:type="dxa"/>
            <w:shd w:val="clear" w:color="000000" w:fill="FFFFFF"/>
            <w:noWrap/>
            <w:vAlign w:val="bottom"/>
            <w:hideMark/>
          </w:tcPr>
          <w:p w14:paraId="6B67E2B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23 329,6 </w:t>
            </w:r>
          </w:p>
        </w:tc>
        <w:tc>
          <w:tcPr>
            <w:tcW w:w="944" w:type="dxa"/>
            <w:gridSpan w:val="2"/>
            <w:shd w:val="clear" w:color="000000" w:fill="FFFFFF"/>
            <w:noWrap/>
            <w:vAlign w:val="bottom"/>
            <w:hideMark/>
          </w:tcPr>
          <w:p w14:paraId="0B70D48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(32,2)</w:t>
            </w:r>
          </w:p>
        </w:tc>
        <w:tc>
          <w:tcPr>
            <w:tcW w:w="944" w:type="dxa"/>
            <w:shd w:val="clear" w:color="000000" w:fill="FFFFFF"/>
            <w:noWrap/>
            <w:vAlign w:val="bottom"/>
            <w:hideMark/>
          </w:tcPr>
          <w:p w14:paraId="02952CD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40,3</w:t>
            </w:r>
          </w:p>
        </w:tc>
        <w:tc>
          <w:tcPr>
            <w:tcW w:w="944" w:type="dxa"/>
            <w:shd w:val="clear" w:color="000000" w:fill="FFFFFF"/>
            <w:noWrap/>
            <w:vAlign w:val="bottom"/>
            <w:hideMark/>
          </w:tcPr>
          <w:p w14:paraId="2FE6BF2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8,1</w:t>
            </w:r>
          </w:p>
        </w:tc>
        <w:tc>
          <w:tcPr>
            <w:tcW w:w="944" w:type="dxa"/>
            <w:gridSpan w:val="2"/>
            <w:shd w:val="clear" w:color="000000" w:fill="FFFFFF"/>
            <w:noWrap/>
            <w:vAlign w:val="bottom"/>
            <w:hideMark/>
          </w:tcPr>
          <w:p w14:paraId="423FFCB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1 562,7 </w:t>
            </w:r>
          </w:p>
        </w:tc>
        <w:tc>
          <w:tcPr>
            <w:tcW w:w="944" w:type="dxa"/>
            <w:shd w:val="clear" w:color="000000" w:fill="FFFFFF"/>
            <w:noWrap/>
            <w:vAlign w:val="bottom"/>
            <w:hideMark/>
          </w:tcPr>
          <w:p w14:paraId="2BCF804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609,2 </w:t>
            </w:r>
          </w:p>
        </w:tc>
        <w:tc>
          <w:tcPr>
            <w:tcW w:w="944" w:type="dxa"/>
            <w:shd w:val="clear" w:color="000000" w:fill="FFFFFF"/>
            <w:noWrap/>
            <w:vAlign w:val="bottom"/>
            <w:hideMark/>
          </w:tcPr>
          <w:p w14:paraId="5279F92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2 171,9 </w:t>
            </w:r>
          </w:p>
        </w:tc>
        <w:tc>
          <w:tcPr>
            <w:tcW w:w="944" w:type="dxa"/>
            <w:gridSpan w:val="2"/>
            <w:shd w:val="clear" w:color="000000" w:fill="FFFFFF"/>
            <w:noWrap/>
            <w:vAlign w:val="bottom"/>
            <w:hideMark/>
          </w:tcPr>
          <w:p w14:paraId="2C58AF6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17 601,4 </w:t>
            </w:r>
          </w:p>
        </w:tc>
        <w:tc>
          <w:tcPr>
            <w:tcW w:w="944" w:type="dxa"/>
            <w:shd w:val="clear" w:color="000000" w:fill="FFFFFF"/>
            <w:noWrap/>
            <w:vAlign w:val="bottom"/>
            <w:hideMark/>
          </w:tcPr>
          <w:p w14:paraId="614CDE0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7 908,2 </w:t>
            </w:r>
          </w:p>
        </w:tc>
        <w:tc>
          <w:tcPr>
            <w:tcW w:w="944" w:type="dxa"/>
            <w:shd w:val="clear" w:color="000000" w:fill="FFFFFF"/>
            <w:noWrap/>
            <w:vAlign w:val="bottom"/>
            <w:hideMark/>
          </w:tcPr>
          <w:p w14:paraId="5CEE787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25 509,6 </w:t>
            </w:r>
          </w:p>
        </w:tc>
      </w:tr>
      <w:tr w:rsidR="00744544" w:rsidRPr="00A66C9F" w14:paraId="5ADF1591" w14:textId="77777777" w:rsidTr="00107D5D">
        <w:trPr>
          <w:cantSplit/>
        </w:trPr>
        <w:tc>
          <w:tcPr>
            <w:tcW w:w="1888" w:type="dxa"/>
            <w:gridSpan w:val="2"/>
            <w:shd w:val="clear" w:color="000000" w:fill="FFFFFF"/>
            <w:noWrap/>
            <w:vAlign w:val="bottom"/>
            <w:hideMark/>
          </w:tcPr>
          <w:p w14:paraId="7CB918E6" w14:textId="77777777" w:rsidR="00744544" w:rsidRPr="00A66C9F" w:rsidRDefault="00744544" w:rsidP="00107D5D">
            <w:pPr>
              <w:tabs>
                <w:tab w:val="left" w:pos="288"/>
                <w:tab w:val="left" w:pos="576"/>
                <w:tab w:val="left" w:pos="864"/>
                <w:tab w:val="left" w:pos="1152"/>
              </w:tabs>
              <w:suppressAutoHyphens/>
              <w:spacing w:before="40" w:after="40" w:line="210" w:lineRule="exact"/>
              <w:ind w:left="288" w:right="40" w:hanging="288"/>
              <w:rPr>
                <w:sz w:val="17"/>
                <w:lang w:val="fr-FR"/>
              </w:rPr>
            </w:pPr>
            <w:r w:rsidRPr="00A66C9F">
              <w:rPr>
                <w:sz w:val="17"/>
                <w:lang w:val="fr-FR"/>
              </w:rPr>
              <w:tab/>
              <w:t>Autres dépenses de personnel</w:t>
            </w:r>
          </w:p>
        </w:tc>
        <w:tc>
          <w:tcPr>
            <w:tcW w:w="944" w:type="dxa"/>
            <w:shd w:val="clear" w:color="000000" w:fill="FFFFFF"/>
            <w:noWrap/>
            <w:vAlign w:val="bottom"/>
            <w:hideMark/>
          </w:tcPr>
          <w:p w14:paraId="63FD339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5 892,1 </w:t>
            </w:r>
          </w:p>
        </w:tc>
        <w:tc>
          <w:tcPr>
            <w:tcW w:w="944" w:type="dxa"/>
            <w:shd w:val="clear" w:color="000000" w:fill="FFFFFF"/>
            <w:noWrap/>
            <w:vAlign w:val="bottom"/>
            <w:hideMark/>
          </w:tcPr>
          <w:p w14:paraId="03B090B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323,0</w:t>
            </w:r>
          </w:p>
        </w:tc>
        <w:tc>
          <w:tcPr>
            <w:tcW w:w="944" w:type="dxa"/>
            <w:shd w:val="clear" w:color="000000" w:fill="FFFFFF"/>
            <w:noWrap/>
            <w:vAlign w:val="bottom"/>
            <w:hideMark/>
          </w:tcPr>
          <w:p w14:paraId="27AC1E5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6 215,1 </w:t>
            </w:r>
          </w:p>
        </w:tc>
        <w:tc>
          <w:tcPr>
            <w:tcW w:w="944" w:type="dxa"/>
            <w:gridSpan w:val="2"/>
            <w:shd w:val="clear" w:color="000000" w:fill="FFFFFF"/>
            <w:noWrap/>
            <w:vAlign w:val="bottom"/>
            <w:hideMark/>
          </w:tcPr>
          <w:p w14:paraId="1115888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(718,6)</w:t>
            </w:r>
          </w:p>
        </w:tc>
        <w:tc>
          <w:tcPr>
            <w:tcW w:w="944" w:type="dxa"/>
            <w:shd w:val="clear" w:color="000000" w:fill="FFFFFF"/>
            <w:noWrap/>
            <w:vAlign w:val="bottom"/>
            <w:hideMark/>
          </w:tcPr>
          <w:p w14:paraId="0222E24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213,4</w:t>
            </w:r>
          </w:p>
        </w:tc>
        <w:tc>
          <w:tcPr>
            <w:tcW w:w="944" w:type="dxa"/>
            <w:shd w:val="clear" w:color="000000" w:fill="FFFFFF"/>
            <w:noWrap/>
            <w:vAlign w:val="bottom"/>
            <w:hideMark/>
          </w:tcPr>
          <w:p w14:paraId="0F50A69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(505,2)</w:t>
            </w:r>
          </w:p>
        </w:tc>
        <w:tc>
          <w:tcPr>
            <w:tcW w:w="944" w:type="dxa"/>
            <w:gridSpan w:val="2"/>
            <w:shd w:val="clear" w:color="000000" w:fill="FFFFFF"/>
            <w:noWrap/>
            <w:vAlign w:val="bottom"/>
            <w:hideMark/>
          </w:tcPr>
          <w:p w14:paraId="24131FE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351,9</w:t>
            </w:r>
          </w:p>
        </w:tc>
        <w:tc>
          <w:tcPr>
            <w:tcW w:w="944" w:type="dxa"/>
            <w:shd w:val="clear" w:color="000000" w:fill="FFFFFF"/>
            <w:noWrap/>
            <w:vAlign w:val="bottom"/>
            <w:hideMark/>
          </w:tcPr>
          <w:p w14:paraId="0CBB00B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(351,9)</w:t>
            </w:r>
          </w:p>
        </w:tc>
        <w:tc>
          <w:tcPr>
            <w:tcW w:w="944" w:type="dxa"/>
            <w:shd w:val="clear" w:color="000000" w:fill="FFFFFF"/>
            <w:noWrap/>
            <w:vAlign w:val="bottom"/>
            <w:hideMark/>
          </w:tcPr>
          <w:p w14:paraId="7D17174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w:t>
            </w:r>
          </w:p>
        </w:tc>
        <w:tc>
          <w:tcPr>
            <w:tcW w:w="944" w:type="dxa"/>
            <w:gridSpan w:val="2"/>
            <w:shd w:val="clear" w:color="000000" w:fill="FFFFFF"/>
            <w:noWrap/>
            <w:vAlign w:val="bottom"/>
            <w:hideMark/>
          </w:tcPr>
          <w:p w14:paraId="79E45AA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5 525,4 </w:t>
            </w:r>
          </w:p>
        </w:tc>
        <w:tc>
          <w:tcPr>
            <w:tcW w:w="944" w:type="dxa"/>
            <w:shd w:val="clear" w:color="000000" w:fill="FFFFFF"/>
            <w:noWrap/>
            <w:vAlign w:val="bottom"/>
            <w:hideMark/>
          </w:tcPr>
          <w:p w14:paraId="48778A1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184,5</w:t>
            </w:r>
          </w:p>
        </w:tc>
        <w:tc>
          <w:tcPr>
            <w:tcW w:w="944" w:type="dxa"/>
            <w:shd w:val="clear" w:color="000000" w:fill="FFFFFF"/>
            <w:noWrap/>
            <w:vAlign w:val="bottom"/>
            <w:hideMark/>
          </w:tcPr>
          <w:p w14:paraId="2CF8ABA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5 709,9 </w:t>
            </w:r>
          </w:p>
        </w:tc>
      </w:tr>
      <w:tr w:rsidR="00744544" w:rsidRPr="00A66C9F" w14:paraId="60824B7A" w14:textId="77777777" w:rsidTr="00107D5D">
        <w:trPr>
          <w:cantSplit/>
        </w:trPr>
        <w:tc>
          <w:tcPr>
            <w:tcW w:w="1888" w:type="dxa"/>
            <w:gridSpan w:val="2"/>
            <w:shd w:val="clear" w:color="000000" w:fill="FFFFFF"/>
            <w:noWrap/>
            <w:vAlign w:val="bottom"/>
            <w:hideMark/>
          </w:tcPr>
          <w:p w14:paraId="3B4B2FF9" w14:textId="77777777" w:rsidR="00744544" w:rsidRPr="00A66C9F" w:rsidRDefault="00744544" w:rsidP="00107D5D">
            <w:pPr>
              <w:tabs>
                <w:tab w:val="left" w:pos="288"/>
                <w:tab w:val="left" w:pos="576"/>
                <w:tab w:val="left" w:pos="864"/>
                <w:tab w:val="left" w:pos="1152"/>
              </w:tabs>
              <w:suppressAutoHyphens/>
              <w:spacing w:before="40" w:after="40" w:line="210" w:lineRule="exact"/>
              <w:ind w:left="288" w:right="40" w:hanging="288"/>
              <w:rPr>
                <w:sz w:val="17"/>
                <w:lang w:val="fr-FR"/>
              </w:rPr>
            </w:pPr>
            <w:r w:rsidRPr="00A66C9F">
              <w:rPr>
                <w:sz w:val="17"/>
                <w:lang w:val="fr-FR"/>
              </w:rPr>
              <w:tab/>
              <w:t>Frais de représentation</w:t>
            </w:r>
          </w:p>
        </w:tc>
        <w:tc>
          <w:tcPr>
            <w:tcW w:w="944" w:type="dxa"/>
            <w:shd w:val="clear" w:color="000000" w:fill="FFFFFF"/>
            <w:noWrap/>
            <w:vAlign w:val="bottom"/>
            <w:hideMark/>
          </w:tcPr>
          <w:p w14:paraId="4E7C243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2,9</w:t>
            </w:r>
          </w:p>
        </w:tc>
        <w:tc>
          <w:tcPr>
            <w:tcW w:w="944" w:type="dxa"/>
            <w:shd w:val="clear" w:color="000000" w:fill="FFFFFF"/>
            <w:noWrap/>
            <w:vAlign w:val="bottom"/>
            <w:hideMark/>
          </w:tcPr>
          <w:p w14:paraId="0B85699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1831382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2,9</w:t>
            </w:r>
          </w:p>
        </w:tc>
        <w:tc>
          <w:tcPr>
            <w:tcW w:w="944" w:type="dxa"/>
            <w:gridSpan w:val="2"/>
            <w:shd w:val="clear" w:color="000000" w:fill="FFFFFF"/>
            <w:noWrap/>
            <w:vAlign w:val="bottom"/>
            <w:hideMark/>
          </w:tcPr>
          <w:p w14:paraId="3344DA2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2,9</w:t>
            </w:r>
          </w:p>
        </w:tc>
        <w:tc>
          <w:tcPr>
            <w:tcW w:w="944" w:type="dxa"/>
            <w:shd w:val="clear" w:color="000000" w:fill="FFFFFF"/>
            <w:noWrap/>
            <w:vAlign w:val="bottom"/>
            <w:hideMark/>
          </w:tcPr>
          <w:p w14:paraId="7372192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7B3AF6B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2,9</w:t>
            </w:r>
          </w:p>
        </w:tc>
        <w:tc>
          <w:tcPr>
            <w:tcW w:w="944" w:type="dxa"/>
            <w:gridSpan w:val="2"/>
            <w:shd w:val="clear" w:color="000000" w:fill="FFFFFF"/>
            <w:noWrap/>
            <w:vAlign w:val="bottom"/>
            <w:hideMark/>
          </w:tcPr>
          <w:p w14:paraId="2017510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398B3F5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2E0A04B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w:t>
            </w:r>
          </w:p>
        </w:tc>
        <w:tc>
          <w:tcPr>
            <w:tcW w:w="944" w:type="dxa"/>
            <w:gridSpan w:val="2"/>
            <w:shd w:val="clear" w:color="000000" w:fill="FFFFFF"/>
            <w:noWrap/>
            <w:vAlign w:val="bottom"/>
            <w:hideMark/>
          </w:tcPr>
          <w:p w14:paraId="5163899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5,8</w:t>
            </w:r>
          </w:p>
        </w:tc>
        <w:tc>
          <w:tcPr>
            <w:tcW w:w="944" w:type="dxa"/>
            <w:shd w:val="clear" w:color="000000" w:fill="FFFFFF"/>
            <w:noWrap/>
            <w:vAlign w:val="bottom"/>
            <w:hideMark/>
          </w:tcPr>
          <w:p w14:paraId="72A3418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7C15845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5,8</w:t>
            </w:r>
          </w:p>
        </w:tc>
      </w:tr>
      <w:tr w:rsidR="00744544" w:rsidRPr="00A66C9F" w14:paraId="19DE4E74" w14:textId="77777777" w:rsidTr="00107D5D">
        <w:trPr>
          <w:cantSplit/>
        </w:trPr>
        <w:tc>
          <w:tcPr>
            <w:tcW w:w="1888" w:type="dxa"/>
            <w:gridSpan w:val="2"/>
            <w:shd w:val="clear" w:color="000000" w:fill="FFFFFF"/>
            <w:noWrap/>
            <w:vAlign w:val="bottom"/>
            <w:hideMark/>
          </w:tcPr>
          <w:p w14:paraId="019673B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ab/>
              <w:t>Consultants</w:t>
            </w:r>
          </w:p>
        </w:tc>
        <w:tc>
          <w:tcPr>
            <w:tcW w:w="944" w:type="dxa"/>
            <w:shd w:val="clear" w:color="000000" w:fill="FFFFFF"/>
            <w:noWrap/>
            <w:vAlign w:val="bottom"/>
            <w:hideMark/>
          </w:tcPr>
          <w:p w14:paraId="03E3137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134,1</w:t>
            </w:r>
          </w:p>
        </w:tc>
        <w:tc>
          <w:tcPr>
            <w:tcW w:w="944" w:type="dxa"/>
            <w:shd w:val="clear" w:color="000000" w:fill="FFFFFF"/>
            <w:noWrap/>
            <w:vAlign w:val="bottom"/>
            <w:hideMark/>
          </w:tcPr>
          <w:p w14:paraId="396FAFF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0CBDE73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134,1</w:t>
            </w:r>
          </w:p>
        </w:tc>
        <w:tc>
          <w:tcPr>
            <w:tcW w:w="944" w:type="dxa"/>
            <w:gridSpan w:val="2"/>
            <w:shd w:val="clear" w:color="000000" w:fill="FFFFFF"/>
            <w:noWrap/>
            <w:vAlign w:val="bottom"/>
            <w:hideMark/>
          </w:tcPr>
          <w:p w14:paraId="6C5AD1D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11,1</w:t>
            </w:r>
          </w:p>
        </w:tc>
        <w:tc>
          <w:tcPr>
            <w:tcW w:w="944" w:type="dxa"/>
            <w:shd w:val="clear" w:color="000000" w:fill="FFFFFF"/>
            <w:noWrap/>
            <w:vAlign w:val="bottom"/>
            <w:hideMark/>
          </w:tcPr>
          <w:p w14:paraId="7331D25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595E4EC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11,1</w:t>
            </w:r>
          </w:p>
        </w:tc>
        <w:tc>
          <w:tcPr>
            <w:tcW w:w="944" w:type="dxa"/>
            <w:gridSpan w:val="2"/>
            <w:shd w:val="clear" w:color="000000" w:fill="FFFFFF"/>
            <w:noWrap/>
            <w:vAlign w:val="bottom"/>
            <w:hideMark/>
          </w:tcPr>
          <w:p w14:paraId="1200408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2EB7F23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61D37E1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w:t>
            </w:r>
          </w:p>
        </w:tc>
        <w:tc>
          <w:tcPr>
            <w:tcW w:w="944" w:type="dxa"/>
            <w:gridSpan w:val="2"/>
            <w:shd w:val="clear" w:color="000000" w:fill="FFFFFF"/>
            <w:noWrap/>
            <w:vAlign w:val="bottom"/>
            <w:hideMark/>
          </w:tcPr>
          <w:p w14:paraId="09994A5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145,2</w:t>
            </w:r>
          </w:p>
        </w:tc>
        <w:tc>
          <w:tcPr>
            <w:tcW w:w="944" w:type="dxa"/>
            <w:shd w:val="clear" w:color="000000" w:fill="FFFFFF"/>
            <w:noWrap/>
            <w:vAlign w:val="bottom"/>
            <w:hideMark/>
          </w:tcPr>
          <w:p w14:paraId="58C4D8F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12C4903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145,2</w:t>
            </w:r>
          </w:p>
        </w:tc>
      </w:tr>
      <w:tr w:rsidR="00744544" w:rsidRPr="00A66C9F" w14:paraId="5F90635E" w14:textId="77777777" w:rsidTr="00107D5D">
        <w:trPr>
          <w:cantSplit/>
        </w:trPr>
        <w:tc>
          <w:tcPr>
            <w:tcW w:w="1888" w:type="dxa"/>
            <w:gridSpan w:val="2"/>
            <w:shd w:val="clear" w:color="000000" w:fill="FFFFFF"/>
            <w:noWrap/>
            <w:vAlign w:val="bottom"/>
            <w:hideMark/>
          </w:tcPr>
          <w:p w14:paraId="007466E6" w14:textId="77777777" w:rsidR="00744544" w:rsidRPr="00A66C9F" w:rsidRDefault="00744544" w:rsidP="00107D5D">
            <w:pPr>
              <w:tabs>
                <w:tab w:val="left" w:pos="288"/>
                <w:tab w:val="left" w:pos="576"/>
                <w:tab w:val="left" w:pos="864"/>
                <w:tab w:val="left" w:pos="1152"/>
              </w:tabs>
              <w:suppressAutoHyphens/>
              <w:spacing w:before="40" w:after="40" w:line="210" w:lineRule="exact"/>
              <w:ind w:left="288" w:right="40" w:hanging="288"/>
              <w:rPr>
                <w:sz w:val="17"/>
                <w:lang w:val="fr-FR"/>
              </w:rPr>
            </w:pPr>
            <w:r w:rsidRPr="00A66C9F">
              <w:rPr>
                <w:sz w:val="17"/>
                <w:lang w:val="fr-FR"/>
              </w:rPr>
              <w:tab/>
              <w:t>Voyages du personnel</w:t>
            </w:r>
          </w:p>
        </w:tc>
        <w:tc>
          <w:tcPr>
            <w:tcW w:w="944" w:type="dxa"/>
            <w:shd w:val="clear" w:color="000000" w:fill="FFFFFF"/>
            <w:noWrap/>
            <w:vAlign w:val="bottom"/>
            <w:hideMark/>
          </w:tcPr>
          <w:p w14:paraId="0C9C463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514,7 </w:t>
            </w:r>
          </w:p>
        </w:tc>
        <w:tc>
          <w:tcPr>
            <w:tcW w:w="944" w:type="dxa"/>
            <w:shd w:val="clear" w:color="000000" w:fill="FFFFFF"/>
            <w:noWrap/>
            <w:vAlign w:val="bottom"/>
            <w:hideMark/>
          </w:tcPr>
          <w:p w14:paraId="623EA2D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17F9146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514,7 </w:t>
            </w:r>
          </w:p>
        </w:tc>
        <w:tc>
          <w:tcPr>
            <w:tcW w:w="944" w:type="dxa"/>
            <w:gridSpan w:val="2"/>
            <w:shd w:val="clear" w:color="000000" w:fill="FFFFFF"/>
            <w:noWrap/>
            <w:vAlign w:val="bottom"/>
            <w:hideMark/>
          </w:tcPr>
          <w:p w14:paraId="4990F8A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205,2</w:t>
            </w:r>
          </w:p>
        </w:tc>
        <w:tc>
          <w:tcPr>
            <w:tcW w:w="944" w:type="dxa"/>
            <w:shd w:val="clear" w:color="000000" w:fill="FFFFFF"/>
            <w:noWrap/>
            <w:vAlign w:val="bottom"/>
            <w:hideMark/>
          </w:tcPr>
          <w:p w14:paraId="599F155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4701ED0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205,2</w:t>
            </w:r>
          </w:p>
        </w:tc>
        <w:tc>
          <w:tcPr>
            <w:tcW w:w="944" w:type="dxa"/>
            <w:gridSpan w:val="2"/>
            <w:shd w:val="clear" w:color="000000" w:fill="FFFFFF"/>
            <w:noWrap/>
            <w:vAlign w:val="bottom"/>
            <w:hideMark/>
          </w:tcPr>
          <w:p w14:paraId="2FEE807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6BC2BF5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2933B80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w:t>
            </w:r>
          </w:p>
        </w:tc>
        <w:tc>
          <w:tcPr>
            <w:tcW w:w="944" w:type="dxa"/>
            <w:gridSpan w:val="2"/>
            <w:shd w:val="clear" w:color="000000" w:fill="FFFFFF"/>
            <w:noWrap/>
            <w:vAlign w:val="bottom"/>
            <w:hideMark/>
          </w:tcPr>
          <w:p w14:paraId="4028111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719,9 </w:t>
            </w:r>
          </w:p>
        </w:tc>
        <w:tc>
          <w:tcPr>
            <w:tcW w:w="944" w:type="dxa"/>
            <w:shd w:val="clear" w:color="000000" w:fill="FFFFFF"/>
            <w:noWrap/>
            <w:vAlign w:val="bottom"/>
            <w:hideMark/>
          </w:tcPr>
          <w:p w14:paraId="5C24F87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115E091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719,9 </w:t>
            </w:r>
          </w:p>
        </w:tc>
      </w:tr>
      <w:tr w:rsidR="00744544" w:rsidRPr="00A66C9F" w14:paraId="147F1130" w14:textId="77777777" w:rsidTr="00107D5D">
        <w:trPr>
          <w:cantSplit/>
        </w:trPr>
        <w:tc>
          <w:tcPr>
            <w:tcW w:w="1888" w:type="dxa"/>
            <w:gridSpan w:val="2"/>
            <w:shd w:val="clear" w:color="000000" w:fill="FFFFFF"/>
            <w:noWrap/>
            <w:vAlign w:val="bottom"/>
            <w:hideMark/>
          </w:tcPr>
          <w:p w14:paraId="4140F214" w14:textId="77777777" w:rsidR="00744544" w:rsidRPr="00A66C9F" w:rsidRDefault="00744544" w:rsidP="00107D5D">
            <w:pPr>
              <w:tabs>
                <w:tab w:val="left" w:pos="288"/>
                <w:tab w:val="left" w:pos="576"/>
                <w:tab w:val="left" w:pos="864"/>
                <w:tab w:val="left" w:pos="1152"/>
              </w:tabs>
              <w:suppressAutoHyphens/>
              <w:spacing w:before="40" w:after="40" w:line="210" w:lineRule="exact"/>
              <w:ind w:left="288" w:right="40" w:hanging="288"/>
              <w:rPr>
                <w:sz w:val="17"/>
                <w:lang w:val="fr-FR"/>
              </w:rPr>
            </w:pPr>
            <w:r w:rsidRPr="00A66C9F">
              <w:rPr>
                <w:sz w:val="17"/>
                <w:lang w:val="fr-FR"/>
              </w:rPr>
              <w:tab/>
              <w:t>Services contractuels</w:t>
            </w:r>
          </w:p>
        </w:tc>
        <w:tc>
          <w:tcPr>
            <w:tcW w:w="944" w:type="dxa"/>
            <w:shd w:val="clear" w:color="000000" w:fill="FFFFFF"/>
            <w:noWrap/>
            <w:vAlign w:val="bottom"/>
            <w:hideMark/>
          </w:tcPr>
          <w:p w14:paraId="7393B67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9 225,5 </w:t>
            </w:r>
          </w:p>
        </w:tc>
        <w:tc>
          <w:tcPr>
            <w:tcW w:w="944" w:type="dxa"/>
            <w:shd w:val="clear" w:color="000000" w:fill="FFFFFF"/>
            <w:noWrap/>
            <w:vAlign w:val="bottom"/>
            <w:hideMark/>
          </w:tcPr>
          <w:p w14:paraId="04CAEA5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1 056,0 </w:t>
            </w:r>
          </w:p>
        </w:tc>
        <w:tc>
          <w:tcPr>
            <w:tcW w:w="944" w:type="dxa"/>
            <w:shd w:val="clear" w:color="000000" w:fill="FFFFFF"/>
            <w:noWrap/>
            <w:vAlign w:val="bottom"/>
            <w:hideMark/>
          </w:tcPr>
          <w:p w14:paraId="778CC49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10 281,5 </w:t>
            </w:r>
          </w:p>
        </w:tc>
        <w:tc>
          <w:tcPr>
            <w:tcW w:w="944" w:type="dxa"/>
            <w:gridSpan w:val="2"/>
            <w:shd w:val="clear" w:color="000000" w:fill="FFFFFF"/>
            <w:noWrap/>
            <w:vAlign w:val="bottom"/>
            <w:hideMark/>
          </w:tcPr>
          <w:p w14:paraId="6E6010B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556,5 </w:t>
            </w:r>
          </w:p>
        </w:tc>
        <w:tc>
          <w:tcPr>
            <w:tcW w:w="944" w:type="dxa"/>
            <w:shd w:val="clear" w:color="000000" w:fill="FFFFFF"/>
            <w:noWrap/>
            <w:vAlign w:val="bottom"/>
            <w:hideMark/>
          </w:tcPr>
          <w:p w14:paraId="766EB14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(79,5)</w:t>
            </w:r>
          </w:p>
        </w:tc>
        <w:tc>
          <w:tcPr>
            <w:tcW w:w="944" w:type="dxa"/>
            <w:shd w:val="clear" w:color="000000" w:fill="FFFFFF"/>
            <w:noWrap/>
            <w:vAlign w:val="bottom"/>
            <w:hideMark/>
          </w:tcPr>
          <w:p w14:paraId="0F938E1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477,0</w:t>
            </w:r>
          </w:p>
        </w:tc>
        <w:tc>
          <w:tcPr>
            <w:tcW w:w="944" w:type="dxa"/>
            <w:gridSpan w:val="2"/>
            <w:shd w:val="clear" w:color="000000" w:fill="FFFFFF"/>
            <w:noWrap/>
            <w:vAlign w:val="bottom"/>
            <w:hideMark/>
          </w:tcPr>
          <w:p w14:paraId="2ABEE31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634,7 </w:t>
            </w:r>
          </w:p>
        </w:tc>
        <w:tc>
          <w:tcPr>
            <w:tcW w:w="944" w:type="dxa"/>
            <w:shd w:val="clear" w:color="000000" w:fill="FFFFFF"/>
            <w:noWrap/>
            <w:vAlign w:val="bottom"/>
            <w:hideMark/>
          </w:tcPr>
          <w:p w14:paraId="781AE84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3B4E06D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634,7 </w:t>
            </w:r>
          </w:p>
        </w:tc>
        <w:tc>
          <w:tcPr>
            <w:tcW w:w="944" w:type="dxa"/>
            <w:gridSpan w:val="2"/>
            <w:shd w:val="clear" w:color="000000" w:fill="FFFFFF"/>
            <w:noWrap/>
            <w:vAlign w:val="bottom"/>
            <w:hideMark/>
          </w:tcPr>
          <w:p w14:paraId="3B68791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10 416,7 </w:t>
            </w:r>
          </w:p>
        </w:tc>
        <w:tc>
          <w:tcPr>
            <w:tcW w:w="944" w:type="dxa"/>
            <w:shd w:val="clear" w:color="000000" w:fill="FFFFFF"/>
            <w:noWrap/>
            <w:vAlign w:val="bottom"/>
            <w:hideMark/>
          </w:tcPr>
          <w:p w14:paraId="31FA0FD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976,5 </w:t>
            </w:r>
          </w:p>
        </w:tc>
        <w:tc>
          <w:tcPr>
            <w:tcW w:w="944" w:type="dxa"/>
            <w:shd w:val="clear" w:color="000000" w:fill="FFFFFF"/>
            <w:noWrap/>
            <w:vAlign w:val="bottom"/>
            <w:hideMark/>
          </w:tcPr>
          <w:p w14:paraId="613DA20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11 393,2 </w:t>
            </w:r>
          </w:p>
        </w:tc>
      </w:tr>
      <w:tr w:rsidR="00744544" w:rsidRPr="00A66C9F" w14:paraId="7C2943E7" w14:textId="77777777" w:rsidTr="00107D5D">
        <w:trPr>
          <w:cantSplit/>
        </w:trPr>
        <w:tc>
          <w:tcPr>
            <w:tcW w:w="1888" w:type="dxa"/>
            <w:gridSpan w:val="2"/>
            <w:shd w:val="clear" w:color="000000" w:fill="FFFFFF"/>
            <w:noWrap/>
            <w:vAlign w:val="bottom"/>
            <w:hideMark/>
          </w:tcPr>
          <w:p w14:paraId="69C31BF4" w14:textId="77777777" w:rsidR="00744544" w:rsidRPr="00A66C9F" w:rsidRDefault="00744544" w:rsidP="00107D5D">
            <w:pPr>
              <w:tabs>
                <w:tab w:val="left" w:pos="288"/>
                <w:tab w:val="left" w:pos="576"/>
                <w:tab w:val="left" w:pos="864"/>
                <w:tab w:val="left" w:pos="1152"/>
              </w:tabs>
              <w:suppressAutoHyphens/>
              <w:spacing w:before="40" w:after="40" w:line="210" w:lineRule="exact"/>
              <w:ind w:left="288" w:right="40" w:hanging="288"/>
              <w:rPr>
                <w:sz w:val="17"/>
                <w:lang w:val="fr-FR"/>
              </w:rPr>
            </w:pPr>
            <w:r w:rsidRPr="00A66C9F">
              <w:rPr>
                <w:sz w:val="17"/>
                <w:lang w:val="fr-FR"/>
              </w:rPr>
              <w:tab/>
              <w:t>Frais généraux de fonctionnement</w:t>
            </w:r>
          </w:p>
        </w:tc>
        <w:tc>
          <w:tcPr>
            <w:tcW w:w="944" w:type="dxa"/>
            <w:shd w:val="clear" w:color="000000" w:fill="FFFFFF"/>
            <w:noWrap/>
            <w:vAlign w:val="bottom"/>
            <w:hideMark/>
          </w:tcPr>
          <w:p w14:paraId="7D143E5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6 716,0 </w:t>
            </w:r>
          </w:p>
        </w:tc>
        <w:tc>
          <w:tcPr>
            <w:tcW w:w="944" w:type="dxa"/>
            <w:shd w:val="clear" w:color="000000" w:fill="FFFFFF"/>
            <w:noWrap/>
            <w:vAlign w:val="bottom"/>
            <w:hideMark/>
          </w:tcPr>
          <w:p w14:paraId="0CA8CCF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1 913,1 </w:t>
            </w:r>
          </w:p>
        </w:tc>
        <w:tc>
          <w:tcPr>
            <w:tcW w:w="944" w:type="dxa"/>
            <w:shd w:val="clear" w:color="000000" w:fill="FFFFFF"/>
            <w:noWrap/>
            <w:vAlign w:val="bottom"/>
            <w:hideMark/>
          </w:tcPr>
          <w:p w14:paraId="42CB606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8 629,1 </w:t>
            </w:r>
          </w:p>
        </w:tc>
        <w:tc>
          <w:tcPr>
            <w:tcW w:w="944" w:type="dxa"/>
            <w:gridSpan w:val="2"/>
            <w:shd w:val="clear" w:color="000000" w:fill="FFFFFF"/>
            <w:noWrap/>
            <w:vAlign w:val="bottom"/>
            <w:hideMark/>
          </w:tcPr>
          <w:p w14:paraId="0F3EB00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(3 342,0)</w:t>
            </w:r>
          </w:p>
        </w:tc>
        <w:tc>
          <w:tcPr>
            <w:tcW w:w="944" w:type="dxa"/>
            <w:shd w:val="clear" w:color="000000" w:fill="FFFFFF"/>
            <w:noWrap/>
            <w:vAlign w:val="bottom"/>
            <w:hideMark/>
          </w:tcPr>
          <w:p w14:paraId="72F4D1F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(1 498,9)</w:t>
            </w:r>
          </w:p>
        </w:tc>
        <w:tc>
          <w:tcPr>
            <w:tcW w:w="944" w:type="dxa"/>
            <w:shd w:val="clear" w:color="000000" w:fill="FFFFFF"/>
            <w:noWrap/>
            <w:vAlign w:val="bottom"/>
            <w:hideMark/>
          </w:tcPr>
          <w:p w14:paraId="3528CD0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(4 840,9)</w:t>
            </w:r>
          </w:p>
        </w:tc>
        <w:tc>
          <w:tcPr>
            <w:tcW w:w="944" w:type="dxa"/>
            <w:gridSpan w:val="2"/>
            <w:shd w:val="clear" w:color="000000" w:fill="FFFFFF"/>
            <w:noWrap/>
            <w:vAlign w:val="bottom"/>
            <w:hideMark/>
          </w:tcPr>
          <w:p w14:paraId="794D36A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(1 056,9)</w:t>
            </w:r>
          </w:p>
        </w:tc>
        <w:tc>
          <w:tcPr>
            <w:tcW w:w="944" w:type="dxa"/>
            <w:shd w:val="clear" w:color="000000" w:fill="FFFFFF"/>
            <w:noWrap/>
            <w:vAlign w:val="bottom"/>
            <w:hideMark/>
          </w:tcPr>
          <w:p w14:paraId="2237046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(159,1)</w:t>
            </w:r>
          </w:p>
        </w:tc>
        <w:tc>
          <w:tcPr>
            <w:tcW w:w="944" w:type="dxa"/>
            <w:shd w:val="clear" w:color="000000" w:fill="FFFFFF"/>
            <w:noWrap/>
            <w:vAlign w:val="bottom"/>
            <w:hideMark/>
          </w:tcPr>
          <w:p w14:paraId="33B0CBF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(1 216,0)</w:t>
            </w:r>
          </w:p>
        </w:tc>
        <w:tc>
          <w:tcPr>
            <w:tcW w:w="944" w:type="dxa"/>
            <w:gridSpan w:val="2"/>
            <w:shd w:val="clear" w:color="000000" w:fill="FFFFFF"/>
            <w:noWrap/>
            <w:vAlign w:val="bottom"/>
            <w:hideMark/>
          </w:tcPr>
          <w:p w14:paraId="208CC54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2 317,1 </w:t>
            </w:r>
          </w:p>
        </w:tc>
        <w:tc>
          <w:tcPr>
            <w:tcW w:w="944" w:type="dxa"/>
            <w:shd w:val="clear" w:color="000000" w:fill="FFFFFF"/>
            <w:noWrap/>
            <w:vAlign w:val="bottom"/>
            <w:hideMark/>
          </w:tcPr>
          <w:p w14:paraId="5379F24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255,1</w:t>
            </w:r>
          </w:p>
        </w:tc>
        <w:tc>
          <w:tcPr>
            <w:tcW w:w="944" w:type="dxa"/>
            <w:shd w:val="clear" w:color="000000" w:fill="FFFFFF"/>
            <w:noWrap/>
            <w:vAlign w:val="bottom"/>
            <w:hideMark/>
          </w:tcPr>
          <w:p w14:paraId="084FE5A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2 572,2 </w:t>
            </w:r>
          </w:p>
        </w:tc>
      </w:tr>
      <w:tr w:rsidR="00744544" w:rsidRPr="00A66C9F" w14:paraId="14F5B112" w14:textId="77777777" w:rsidTr="00107D5D">
        <w:trPr>
          <w:cantSplit/>
        </w:trPr>
        <w:tc>
          <w:tcPr>
            <w:tcW w:w="1888" w:type="dxa"/>
            <w:gridSpan w:val="2"/>
            <w:shd w:val="clear" w:color="000000" w:fill="FFFFFF"/>
            <w:noWrap/>
            <w:vAlign w:val="bottom"/>
            <w:hideMark/>
          </w:tcPr>
          <w:p w14:paraId="561EDCC4" w14:textId="77777777" w:rsidR="00744544" w:rsidRPr="00A66C9F" w:rsidRDefault="00744544" w:rsidP="00107D5D">
            <w:pPr>
              <w:tabs>
                <w:tab w:val="left" w:pos="288"/>
                <w:tab w:val="left" w:pos="576"/>
                <w:tab w:val="left" w:pos="864"/>
                <w:tab w:val="left" w:pos="1152"/>
              </w:tabs>
              <w:suppressAutoHyphens/>
              <w:spacing w:before="40" w:after="40" w:line="210" w:lineRule="exact"/>
              <w:ind w:left="288" w:right="40" w:hanging="288"/>
              <w:rPr>
                <w:sz w:val="17"/>
                <w:lang w:val="fr-FR"/>
              </w:rPr>
            </w:pPr>
            <w:r w:rsidRPr="00A66C9F">
              <w:rPr>
                <w:sz w:val="17"/>
                <w:lang w:val="fr-FR"/>
              </w:rPr>
              <w:tab/>
              <w:t>Fournitures et accessoires</w:t>
            </w:r>
          </w:p>
        </w:tc>
        <w:tc>
          <w:tcPr>
            <w:tcW w:w="944" w:type="dxa"/>
            <w:shd w:val="clear" w:color="000000" w:fill="FFFFFF"/>
            <w:noWrap/>
            <w:vAlign w:val="bottom"/>
            <w:hideMark/>
          </w:tcPr>
          <w:p w14:paraId="7908421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69,0</w:t>
            </w:r>
          </w:p>
        </w:tc>
        <w:tc>
          <w:tcPr>
            <w:tcW w:w="944" w:type="dxa"/>
            <w:shd w:val="clear" w:color="000000" w:fill="FFFFFF"/>
            <w:noWrap/>
            <w:vAlign w:val="bottom"/>
            <w:hideMark/>
          </w:tcPr>
          <w:p w14:paraId="4CDD367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34,6</w:t>
            </w:r>
          </w:p>
        </w:tc>
        <w:tc>
          <w:tcPr>
            <w:tcW w:w="944" w:type="dxa"/>
            <w:shd w:val="clear" w:color="000000" w:fill="FFFFFF"/>
            <w:noWrap/>
            <w:vAlign w:val="bottom"/>
            <w:hideMark/>
          </w:tcPr>
          <w:p w14:paraId="5D803F3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103,6</w:t>
            </w:r>
          </w:p>
        </w:tc>
        <w:tc>
          <w:tcPr>
            <w:tcW w:w="944" w:type="dxa"/>
            <w:gridSpan w:val="2"/>
            <w:shd w:val="clear" w:color="000000" w:fill="FFFFFF"/>
            <w:noWrap/>
            <w:vAlign w:val="bottom"/>
            <w:hideMark/>
          </w:tcPr>
          <w:p w14:paraId="1C06DB3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41,5</w:t>
            </w:r>
          </w:p>
        </w:tc>
        <w:tc>
          <w:tcPr>
            <w:tcW w:w="944" w:type="dxa"/>
            <w:shd w:val="clear" w:color="000000" w:fill="FFFFFF"/>
            <w:noWrap/>
            <w:vAlign w:val="bottom"/>
            <w:hideMark/>
          </w:tcPr>
          <w:p w14:paraId="4E1538A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20,7</w:t>
            </w:r>
          </w:p>
        </w:tc>
        <w:tc>
          <w:tcPr>
            <w:tcW w:w="944" w:type="dxa"/>
            <w:shd w:val="clear" w:color="000000" w:fill="FFFFFF"/>
            <w:noWrap/>
            <w:vAlign w:val="bottom"/>
            <w:hideMark/>
          </w:tcPr>
          <w:p w14:paraId="1F2A5C4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62,2</w:t>
            </w:r>
          </w:p>
        </w:tc>
        <w:tc>
          <w:tcPr>
            <w:tcW w:w="944" w:type="dxa"/>
            <w:gridSpan w:val="2"/>
            <w:shd w:val="clear" w:color="000000" w:fill="FFFFFF"/>
            <w:noWrap/>
            <w:vAlign w:val="bottom"/>
            <w:hideMark/>
          </w:tcPr>
          <w:p w14:paraId="372380F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(19,5)</w:t>
            </w:r>
          </w:p>
        </w:tc>
        <w:tc>
          <w:tcPr>
            <w:tcW w:w="944" w:type="dxa"/>
            <w:shd w:val="clear" w:color="000000" w:fill="FFFFFF"/>
            <w:noWrap/>
            <w:vAlign w:val="bottom"/>
            <w:hideMark/>
          </w:tcPr>
          <w:p w14:paraId="6818384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(9,8)</w:t>
            </w:r>
          </w:p>
        </w:tc>
        <w:tc>
          <w:tcPr>
            <w:tcW w:w="944" w:type="dxa"/>
            <w:shd w:val="clear" w:color="000000" w:fill="FFFFFF"/>
            <w:noWrap/>
            <w:vAlign w:val="bottom"/>
            <w:hideMark/>
          </w:tcPr>
          <w:p w14:paraId="0434223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(29,3)</w:t>
            </w:r>
          </w:p>
        </w:tc>
        <w:tc>
          <w:tcPr>
            <w:tcW w:w="944" w:type="dxa"/>
            <w:gridSpan w:val="2"/>
            <w:shd w:val="clear" w:color="000000" w:fill="FFFFFF"/>
            <w:noWrap/>
            <w:vAlign w:val="bottom"/>
            <w:hideMark/>
          </w:tcPr>
          <w:p w14:paraId="5F11355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91,0</w:t>
            </w:r>
          </w:p>
        </w:tc>
        <w:tc>
          <w:tcPr>
            <w:tcW w:w="944" w:type="dxa"/>
            <w:shd w:val="clear" w:color="000000" w:fill="FFFFFF"/>
            <w:noWrap/>
            <w:vAlign w:val="bottom"/>
            <w:hideMark/>
          </w:tcPr>
          <w:p w14:paraId="32389F5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45,5</w:t>
            </w:r>
          </w:p>
        </w:tc>
        <w:tc>
          <w:tcPr>
            <w:tcW w:w="944" w:type="dxa"/>
            <w:shd w:val="clear" w:color="000000" w:fill="FFFFFF"/>
            <w:noWrap/>
            <w:vAlign w:val="bottom"/>
            <w:hideMark/>
          </w:tcPr>
          <w:p w14:paraId="414526F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136,5</w:t>
            </w:r>
          </w:p>
        </w:tc>
      </w:tr>
      <w:tr w:rsidR="00744544" w:rsidRPr="00A66C9F" w14:paraId="7282A04D" w14:textId="77777777" w:rsidTr="00107D5D">
        <w:trPr>
          <w:cantSplit/>
        </w:trPr>
        <w:tc>
          <w:tcPr>
            <w:tcW w:w="1888" w:type="dxa"/>
            <w:gridSpan w:val="2"/>
            <w:tcBorders>
              <w:bottom w:val="single" w:sz="4" w:space="0" w:color="auto"/>
            </w:tcBorders>
            <w:shd w:val="clear" w:color="000000" w:fill="FFFFFF"/>
            <w:noWrap/>
            <w:vAlign w:val="bottom"/>
            <w:hideMark/>
          </w:tcPr>
          <w:p w14:paraId="3096CE5D" w14:textId="77777777" w:rsidR="00744544" w:rsidRPr="00A66C9F" w:rsidRDefault="00744544" w:rsidP="00107D5D">
            <w:pPr>
              <w:tabs>
                <w:tab w:val="left" w:pos="288"/>
                <w:tab w:val="left" w:pos="576"/>
                <w:tab w:val="left" w:pos="864"/>
                <w:tab w:val="left" w:pos="1152"/>
              </w:tabs>
              <w:suppressAutoHyphens/>
              <w:spacing w:before="40" w:after="81" w:line="210" w:lineRule="exact"/>
              <w:ind w:right="40"/>
              <w:rPr>
                <w:sz w:val="17"/>
                <w:lang w:val="fr-FR"/>
              </w:rPr>
            </w:pPr>
            <w:r w:rsidRPr="00A66C9F">
              <w:rPr>
                <w:sz w:val="17"/>
                <w:lang w:val="fr-FR"/>
              </w:rPr>
              <w:tab/>
              <w:t>Mobilier et matériel</w:t>
            </w:r>
          </w:p>
        </w:tc>
        <w:tc>
          <w:tcPr>
            <w:tcW w:w="944" w:type="dxa"/>
            <w:tcBorders>
              <w:bottom w:val="single" w:sz="4" w:space="0" w:color="auto"/>
            </w:tcBorders>
            <w:shd w:val="clear" w:color="000000" w:fill="FFFFFF"/>
            <w:noWrap/>
            <w:vAlign w:val="bottom"/>
            <w:hideMark/>
          </w:tcPr>
          <w:p w14:paraId="2477A2EC"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689,8 </w:t>
            </w:r>
          </w:p>
        </w:tc>
        <w:tc>
          <w:tcPr>
            <w:tcW w:w="944" w:type="dxa"/>
            <w:tcBorders>
              <w:bottom w:val="single" w:sz="4" w:space="0" w:color="auto"/>
            </w:tcBorders>
            <w:shd w:val="clear" w:color="000000" w:fill="FFFFFF"/>
            <w:noWrap/>
            <w:vAlign w:val="bottom"/>
            <w:hideMark/>
          </w:tcPr>
          <w:p w14:paraId="1CB2091C"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320,0</w:t>
            </w:r>
          </w:p>
        </w:tc>
        <w:tc>
          <w:tcPr>
            <w:tcW w:w="944" w:type="dxa"/>
            <w:tcBorders>
              <w:bottom w:val="single" w:sz="4" w:space="0" w:color="auto"/>
            </w:tcBorders>
            <w:shd w:val="clear" w:color="000000" w:fill="FFFFFF"/>
            <w:noWrap/>
            <w:vAlign w:val="bottom"/>
            <w:hideMark/>
          </w:tcPr>
          <w:p w14:paraId="751434AF"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1 009,8 </w:t>
            </w:r>
          </w:p>
        </w:tc>
        <w:tc>
          <w:tcPr>
            <w:tcW w:w="944" w:type="dxa"/>
            <w:gridSpan w:val="2"/>
            <w:tcBorders>
              <w:bottom w:val="single" w:sz="4" w:space="0" w:color="auto"/>
            </w:tcBorders>
            <w:shd w:val="clear" w:color="000000" w:fill="FFFFFF"/>
            <w:noWrap/>
            <w:vAlign w:val="bottom"/>
            <w:hideMark/>
          </w:tcPr>
          <w:p w14:paraId="233622A6"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648,1 </w:t>
            </w:r>
          </w:p>
        </w:tc>
        <w:tc>
          <w:tcPr>
            <w:tcW w:w="944" w:type="dxa"/>
            <w:tcBorders>
              <w:bottom w:val="single" w:sz="4" w:space="0" w:color="auto"/>
            </w:tcBorders>
            <w:shd w:val="clear" w:color="000000" w:fill="FFFFFF"/>
            <w:noWrap/>
            <w:vAlign w:val="bottom"/>
            <w:hideMark/>
          </w:tcPr>
          <w:p w14:paraId="6EDC048E"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312,7</w:t>
            </w:r>
          </w:p>
        </w:tc>
        <w:tc>
          <w:tcPr>
            <w:tcW w:w="944" w:type="dxa"/>
            <w:tcBorders>
              <w:bottom w:val="single" w:sz="4" w:space="0" w:color="auto"/>
            </w:tcBorders>
            <w:shd w:val="clear" w:color="000000" w:fill="FFFFFF"/>
            <w:noWrap/>
            <w:vAlign w:val="bottom"/>
            <w:hideMark/>
          </w:tcPr>
          <w:p w14:paraId="09A7BC04"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960,8 </w:t>
            </w:r>
          </w:p>
        </w:tc>
        <w:tc>
          <w:tcPr>
            <w:tcW w:w="944" w:type="dxa"/>
            <w:gridSpan w:val="2"/>
            <w:tcBorders>
              <w:bottom w:val="single" w:sz="4" w:space="0" w:color="auto"/>
            </w:tcBorders>
            <w:shd w:val="clear" w:color="000000" w:fill="FFFFFF"/>
            <w:noWrap/>
            <w:vAlign w:val="bottom"/>
            <w:hideMark/>
          </w:tcPr>
          <w:p w14:paraId="02E4A5D2"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(588,7)</w:t>
            </w:r>
          </w:p>
        </w:tc>
        <w:tc>
          <w:tcPr>
            <w:tcW w:w="944" w:type="dxa"/>
            <w:tcBorders>
              <w:bottom w:val="single" w:sz="4" w:space="0" w:color="auto"/>
            </w:tcBorders>
            <w:shd w:val="clear" w:color="000000" w:fill="FFFFFF"/>
            <w:noWrap/>
            <w:vAlign w:val="bottom"/>
            <w:hideMark/>
          </w:tcPr>
          <w:p w14:paraId="18BA1DE4"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(333,3)</w:t>
            </w:r>
          </w:p>
        </w:tc>
        <w:tc>
          <w:tcPr>
            <w:tcW w:w="944" w:type="dxa"/>
            <w:tcBorders>
              <w:bottom w:val="single" w:sz="4" w:space="0" w:color="auto"/>
            </w:tcBorders>
            <w:shd w:val="clear" w:color="000000" w:fill="FFFFFF"/>
            <w:noWrap/>
            <w:vAlign w:val="bottom"/>
            <w:hideMark/>
          </w:tcPr>
          <w:p w14:paraId="37197AF0"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(922,0)</w:t>
            </w:r>
          </w:p>
        </w:tc>
        <w:tc>
          <w:tcPr>
            <w:tcW w:w="944" w:type="dxa"/>
            <w:gridSpan w:val="2"/>
            <w:tcBorders>
              <w:bottom w:val="single" w:sz="4" w:space="0" w:color="auto"/>
            </w:tcBorders>
            <w:shd w:val="clear" w:color="000000" w:fill="FFFFFF"/>
            <w:noWrap/>
            <w:vAlign w:val="bottom"/>
            <w:hideMark/>
          </w:tcPr>
          <w:p w14:paraId="678E2220"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749,2 </w:t>
            </w:r>
          </w:p>
        </w:tc>
        <w:tc>
          <w:tcPr>
            <w:tcW w:w="944" w:type="dxa"/>
            <w:tcBorders>
              <w:bottom w:val="single" w:sz="4" w:space="0" w:color="auto"/>
            </w:tcBorders>
            <w:shd w:val="clear" w:color="000000" w:fill="FFFFFF"/>
            <w:noWrap/>
            <w:vAlign w:val="bottom"/>
            <w:hideMark/>
          </w:tcPr>
          <w:p w14:paraId="52C016C4"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299,4</w:t>
            </w:r>
          </w:p>
        </w:tc>
        <w:tc>
          <w:tcPr>
            <w:tcW w:w="944" w:type="dxa"/>
            <w:tcBorders>
              <w:bottom w:val="single" w:sz="4" w:space="0" w:color="auto"/>
            </w:tcBorders>
            <w:shd w:val="clear" w:color="000000" w:fill="FFFFFF"/>
            <w:noWrap/>
            <w:vAlign w:val="bottom"/>
            <w:hideMark/>
          </w:tcPr>
          <w:p w14:paraId="2E3641AF"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1 048,6 </w:t>
            </w:r>
          </w:p>
        </w:tc>
      </w:tr>
      <w:tr w:rsidR="00744544" w:rsidRPr="00A66C9F" w14:paraId="3636F4AB" w14:textId="77777777" w:rsidTr="00107D5D">
        <w:trPr>
          <w:cantSplit/>
        </w:trPr>
        <w:tc>
          <w:tcPr>
            <w:tcW w:w="1888" w:type="dxa"/>
            <w:gridSpan w:val="2"/>
            <w:tcBorders>
              <w:top w:val="single" w:sz="4" w:space="0" w:color="auto"/>
              <w:bottom w:val="single" w:sz="12" w:space="0" w:color="auto"/>
            </w:tcBorders>
            <w:shd w:val="clear" w:color="000000" w:fill="FFFFFF"/>
            <w:noWrap/>
            <w:vAlign w:val="bottom"/>
            <w:hideMark/>
          </w:tcPr>
          <w:p w14:paraId="184C9FFD" w14:textId="77777777" w:rsidR="00744544" w:rsidRPr="00A66C9F" w:rsidRDefault="00744544" w:rsidP="00107D5D">
            <w:pPr>
              <w:tabs>
                <w:tab w:val="left" w:pos="288"/>
                <w:tab w:val="left" w:pos="576"/>
                <w:tab w:val="left" w:pos="864"/>
                <w:tab w:val="left" w:pos="1152"/>
              </w:tabs>
              <w:suppressAutoHyphens/>
              <w:spacing w:before="81" w:after="81" w:line="210" w:lineRule="exact"/>
              <w:ind w:right="40"/>
              <w:rPr>
                <w:b/>
                <w:sz w:val="17"/>
                <w:lang w:val="fr-FR"/>
              </w:rPr>
            </w:pPr>
            <w:r w:rsidRPr="00A66C9F">
              <w:rPr>
                <w:b/>
                <w:sz w:val="17"/>
                <w:lang w:val="fr-FR"/>
              </w:rPr>
              <w:tab/>
              <w:t>Total partiel</w:t>
            </w:r>
          </w:p>
        </w:tc>
        <w:tc>
          <w:tcPr>
            <w:tcW w:w="944" w:type="dxa"/>
            <w:tcBorders>
              <w:top w:val="single" w:sz="4" w:space="0" w:color="auto"/>
              <w:bottom w:val="single" w:sz="12" w:space="0" w:color="auto"/>
            </w:tcBorders>
            <w:shd w:val="clear" w:color="000000" w:fill="FFFFFF"/>
            <w:noWrap/>
            <w:vAlign w:val="bottom"/>
            <w:hideMark/>
          </w:tcPr>
          <w:p w14:paraId="4EA263AF"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39 315,0 </w:t>
            </w:r>
          </w:p>
        </w:tc>
        <w:tc>
          <w:tcPr>
            <w:tcW w:w="944" w:type="dxa"/>
            <w:tcBorders>
              <w:top w:val="single" w:sz="4" w:space="0" w:color="auto"/>
              <w:bottom w:val="single" w:sz="12" w:space="0" w:color="auto"/>
            </w:tcBorders>
            <w:shd w:val="clear" w:color="000000" w:fill="FFFFFF"/>
            <w:noWrap/>
            <w:vAlign w:val="bottom"/>
            <w:hideMark/>
          </w:tcPr>
          <w:p w14:paraId="46D701F2"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10 905,4 </w:t>
            </w:r>
          </w:p>
        </w:tc>
        <w:tc>
          <w:tcPr>
            <w:tcW w:w="944" w:type="dxa"/>
            <w:tcBorders>
              <w:top w:val="single" w:sz="4" w:space="0" w:color="auto"/>
              <w:bottom w:val="single" w:sz="12" w:space="0" w:color="auto"/>
            </w:tcBorders>
            <w:shd w:val="clear" w:color="000000" w:fill="FFFFFF"/>
            <w:noWrap/>
            <w:vAlign w:val="bottom"/>
            <w:hideMark/>
          </w:tcPr>
          <w:p w14:paraId="417284CB"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50 220,4 </w:t>
            </w:r>
          </w:p>
        </w:tc>
        <w:tc>
          <w:tcPr>
            <w:tcW w:w="944" w:type="dxa"/>
            <w:gridSpan w:val="2"/>
            <w:tcBorders>
              <w:top w:val="single" w:sz="4" w:space="0" w:color="auto"/>
              <w:bottom w:val="single" w:sz="12" w:space="0" w:color="auto"/>
            </w:tcBorders>
            <w:shd w:val="clear" w:color="000000" w:fill="FFFFFF"/>
            <w:noWrap/>
            <w:vAlign w:val="bottom"/>
            <w:hideMark/>
          </w:tcPr>
          <w:p w14:paraId="615D3E74"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(2 627,5)</w:t>
            </w:r>
          </w:p>
        </w:tc>
        <w:tc>
          <w:tcPr>
            <w:tcW w:w="944" w:type="dxa"/>
            <w:tcBorders>
              <w:top w:val="single" w:sz="4" w:space="0" w:color="auto"/>
              <w:bottom w:val="single" w:sz="12" w:space="0" w:color="auto"/>
            </w:tcBorders>
            <w:shd w:val="clear" w:color="000000" w:fill="FFFFFF"/>
            <w:noWrap/>
            <w:vAlign w:val="bottom"/>
            <w:hideMark/>
          </w:tcPr>
          <w:p w14:paraId="5131D8C2"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(991,3)</w:t>
            </w:r>
          </w:p>
        </w:tc>
        <w:tc>
          <w:tcPr>
            <w:tcW w:w="944" w:type="dxa"/>
            <w:tcBorders>
              <w:top w:val="single" w:sz="4" w:space="0" w:color="auto"/>
              <w:bottom w:val="single" w:sz="12" w:space="0" w:color="auto"/>
            </w:tcBorders>
            <w:shd w:val="clear" w:color="000000" w:fill="FFFFFF"/>
            <w:noWrap/>
            <w:vAlign w:val="bottom"/>
            <w:hideMark/>
          </w:tcPr>
          <w:p w14:paraId="0055648B"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(3 618,8)</w:t>
            </w:r>
          </w:p>
        </w:tc>
        <w:tc>
          <w:tcPr>
            <w:tcW w:w="944" w:type="dxa"/>
            <w:gridSpan w:val="2"/>
            <w:tcBorders>
              <w:top w:val="single" w:sz="4" w:space="0" w:color="auto"/>
              <w:bottom w:val="single" w:sz="12" w:space="0" w:color="auto"/>
            </w:tcBorders>
            <w:shd w:val="clear" w:color="000000" w:fill="FFFFFF"/>
            <w:noWrap/>
            <w:vAlign w:val="bottom"/>
            <w:hideMark/>
          </w:tcPr>
          <w:p w14:paraId="66FEE8B5"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884,2 </w:t>
            </w:r>
          </w:p>
        </w:tc>
        <w:tc>
          <w:tcPr>
            <w:tcW w:w="944" w:type="dxa"/>
            <w:tcBorders>
              <w:top w:val="single" w:sz="4" w:space="0" w:color="auto"/>
              <w:bottom w:val="single" w:sz="12" w:space="0" w:color="auto"/>
            </w:tcBorders>
            <w:shd w:val="clear" w:color="000000" w:fill="FFFFFF"/>
            <w:noWrap/>
            <w:vAlign w:val="bottom"/>
            <w:hideMark/>
          </w:tcPr>
          <w:p w14:paraId="5C325B25"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(244,9)</w:t>
            </w:r>
          </w:p>
        </w:tc>
        <w:tc>
          <w:tcPr>
            <w:tcW w:w="944" w:type="dxa"/>
            <w:tcBorders>
              <w:top w:val="single" w:sz="4" w:space="0" w:color="auto"/>
              <w:bottom w:val="single" w:sz="12" w:space="0" w:color="auto"/>
            </w:tcBorders>
            <w:shd w:val="clear" w:color="000000" w:fill="FFFFFF"/>
            <w:noWrap/>
            <w:vAlign w:val="bottom"/>
            <w:hideMark/>
          </w:tcPr>
          <w:p w14:paraId="12DF782E"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639,3 </w:t>
            </w:r>
          </w:p>
        </w:tc>
        <w:tc>
          <w:tcPr>
            <w:tcW w:w="944" w:type="dxa"/>
            <w:gridSpan w:val="2"/>
            <w:tcBorders>
              <w:top w:val="single" w:sz="4" w:space="0" w:color="auto"/>
              <w:bottom w:val="single" w:sz="12" w:space="0" w:color="auto"/>
            </w:tcBorders>
            <w:shd w:val="clear" w:color="000000" w:fill="FFFFFF"/>
            <w:noWrap/>
            <w:vAlign w:val="bottom"/>
            <w:hideMark/>
          </w:tcPr>
          <w:p w14:paraId="2212391B"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37 571,7 </w:t>
            </w:r>
          </w:p>
        </w:tc>
        <w:tc>
          <w:tcPr>
            <w:tcW w:w="944" w:type="dxa"/>
            <w:tcBorders>
              <w:top w:val="single" w:sz="4" w:space="0" w:color="auto"/>
              <w:bottom w:val="single" w:sz="12" w:space="0" w:color="auto"/>
            </w:tcBorders>
            <w:shd w:val="clear" w:color="000000" w:fill="FFFFFF"/>
            <w:noWrap/>
            <w:vAlign w:val="bottom"/>
            <w:hideMark/>
          </w:tcPr>
          <w:p w14:paraId="302583B9"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9 669,2 </w:t>
            </w:r>
          </w:p>
        </w:tc>
        <w:tc>
          <w:tcPr>
            <w:tcW w:w="944" w:type="dxa"/>
            <w:tcBorders>
              <w:top w:val="single" w:sz="4" w:space="0" w:color="auto"/>
              <w:bottom w:val="single" w:sz="12" w:space="0" w:color="auto"/>
            </w:tcBorders>
            <w:shd w:val="clear" w:color="000000" w:fill="FFFFFF"/>
            <w:noWrap/>
            <w:vAlign w:val="bottom"/>
            <w:hideMark/>
          </w:tcPr>
          <w:p w14:paraId="2A3B0B8D"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47 240,9 </w:t>
            </w:r>
          </w:p>
        </w:tc>
      </w:tr>
    </w:tbl>
    <w:p w14:paraId="755512CB" w14:textId="77777777" w:rsidR="00744544" w:rsidRPr="00A66C9F" w:rsidRDefault="00744544" w:rsidP="00744544">
      <w:pPr>
        <w:pStyle w:val="SingleTxt"/>
        <w:rPr>
          <w:lang w:val="fr-FR"/>
        </w:rPr>
      </w:pPr>
    </w:p>
    <w:p w14:paraId="5BBEEB4F" w14:textId="77777777" w:rsidR="00744544" w:rsidRPr="00A66C9F" w:rsidRDefault="00744544" w:rsidP="00744544">
      <w:pPr>
        <w:spacing w:after="200" w:line="276" w:lineRule="auto"/>
        <w:rPr>
          <w:lang w:val="fr-FR"/>
        </w:rPr>
      </w:pPr>
      <w:r w:rsidRPr="00A66C9F">
        <w:rPr>
          <w:lang w:val="fr-FR"/>
        </w:rPr>
        <w:br w:type="page"/>
      </w:r>
    </w:p>
    <w:p w14:paraId="46560F63"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lastRenderedPageBreak/>
        <w:t>Caisse commune des pensions du personnel des Nations Unies</w:t>
      </w:r>
    </w:p>
    <w:p w14:paraId="6E993310"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fr-FR"/>
        </w:rPr>
      </w:pPr>
      <w:r w:rsidRPr="00A66C9F">
        <w:rPr>
          <w:lang w:val="fr-FR"/>
        </w:rPr>
        <w:t xml:space="preserve">Tableau B </w:t>
      </w:r>
      <w:r w:rsidRPr="00A66C9F">
        <w:rPr>
          <w:b w:val="0"/>
          <w:bCs/>
          <w:lang w:val="fr-FR"/>
        </w:rPr>
        <w:t>(</w:t>
      </w:r>
      <w:r w:rsidRPr="00A66C9F">
        <w:rPr>
          <w:b w:val="0"/>
          <w:bCs/>
          <w:i/>
          <w:iCs/>
          <w:lang w:val="fr-FR"/>
        </w:rPr>
        <w:t>suite</w:t>
      </w:r>
      <w:r w:rsidRPr="00A66C9F">
        <w:rPr>
          <w:b w:val="0"/>
          <w:bCs/>
          <w:lang w:val="fr-FR"/>
        </w:rPr>
        <w:t>)</w:t>
      </w:r>
    </w:p>
    <w:p w14:paraId="0648CE73" w14:textId="77777777" w:rsidR="00744544" w:rsidRPr="00A66C9F" w:rsidRDefault="00744544" w:rsidP="00744544">
      <w:pPr>
        <w:pStyle w:val="SingleTxt"/>
        <w:spacing w:after="0" w:line="120" w:lineRule="exact"/>
        <w:rPr>
          <w:sz w:val="10"/>
          <w:lang w:val="fr-FR"/>
        </w:rPr>
      </w:pPr>
    </w:p>
    <w:p w14:paraId="3224B8F7"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FR"/>
        </w:rPr>
      </w:pPr>
      <w:r w:rsidRPr="00A66C9F">
        <w:rPr>
          <w:lang w:val="fr-FR"/>
        </w:rPr>
        <w:t xml:space="preserve">V. État comparatif des montants inscrits au budget et des montants effectifs sur une base comparable ; dépenses d’administration pour l’année terminée le 31 décembre 2019 </w:t>
      </w:r>
      <w:r w:rsidRPr="00A66C9F">
        <w:rPr>
          <w:b w:val="0"/>
          <w:lang w:val="fr-FR"/>
        </w:rPr>
        <w:t>(</w:t>
      </w:r>
      <w:r w:rsidRPr="00A66C9F">
        <w:rPr>
          <w:b w:val="0"/>
          <w:i/>
          <w:iCs/>
          <w:lang w:val="fr-FR"/>
        </w:rPr>
        <w:t>suite</w:t>
      </w:r>
      <w:r w:rsidRPr="00A66C9F">
        <w:rPr>
          <w:b w:val="0"/>
          <w:lang w:val="fr-FR"/>
        </w:rPr>
        <w:t>)</w:t>
      </w:r>
    </w:p>
    <w:p w14:paraId="45D8B57F" w14:textId="77777777" w:rsidR="00744544" w:rsidRPr="00A66C9F" w:rsidRDefault="00744544" w:rsidP="0074454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sz w:val="14"/>
          <w:szCs w:val="14"/>
          <w:lang w:val="fr-FR"/>
        </w:rPr>
        <w:t>(En milliers de dollars des États-Unis)</w:t>
      </w:r>
    </w:p>
    <w:p w14:paraId="25B793D8" w14:textId="77777777" w:rsidR="00744544" w:rsidRPr="00A66C9F" w:rsidRDefault="00744544" w:rsidP="00744544">
      <w:pPr>
        <w:pStyle w:val="SingleTxt"/>
        <w:spacing w:after="0" w:line="100" w:lineRule="exact"/>
        <w:rPr>
          <w:sz w:val="10"/>
          <w:lang w:val="fr-FR"/>
        </w:rPr>
      </w:pPr>
    </w:p>
    <w:p w14:paraId="0EAF7C9F" w14:textId="77777777" w:rsidR="00744544" w:rsidRPr="00A66C9F" w:rsidRDefault="00744544" w:rsidP="00744544">
      <w:pPr>
        <w:pStyle w:val="SingleTxt"/>
        <w:spacing w:after="0" w:line="100" w:lineRule="exact"/>
        <w:rPr>
          <w:sz w:val="10"/>
          <w:lang w:val="fr-FR"/>
        </w:rPr>
      </w:pPr>
    </w:p>
    <w:tbl>
      <w:tblPr>
        <w:tblW w:w="13216" w:type="dxa"/>
        <w:shd w:val="clear" w:color="000000" w:fill="FFFFFF"/>
        <w:tblLayout w:type="fixed"/>
        <w:tblCellMar>
          <w:left w:w="0" w:type="dxa"/>
          <w:right w:w="0" w:type="dxa"/>
        </w:tblCellMar>
        <w:tblLook w:val="04A0" w:firstRow="1" w:lastRow="0" w:firstColumn="1" w:lastColumn="0" w:noHBand="0" w:noVBand="1"/>
      </w:tblPr>
      <w:tblGrid>
        <w:gridCol w:w="270"/>
        <w:gridCol w:w="1618"/>
        <w:gridCol w:w="944"/>
        <w:gridCol w:w="944"/>
        <w:gridCol w:w="944"/>
        <w:gridCol w:w="140"/>
        <w:gridCol w:w="804"/>
        <w:gridCol w:w="944"/>
        <w:gridCol w:w="944"/>
        <w:gridCol w:w="98"/>
        <w:gridCol w:w="846"/>
        <w:gridCol w:w="944"/>
        <w:gridCol w:w="944"/>
        <w:gridCol w:w="146"/>
        <w:gridCol w:w="798"/>
        <w:gridCol w:w="944"/>
        <w:gridCol w:w="944"/>
      </w:tblGrid>
      <w:tr w:rsidR="00744544" w:rsidRPr="00A66C9F" w14:paraId="6F23F959" w14:textId="77777777" w:rsidTr="00107D5D">
        <w:trPr>
          <w:cantSplit/>
          <w:tblHeader/>
        </w:trPr>
        <w:tc>
          <w:tcPr>
            <w:tcW w:w="1888" w:type="dxa"/>
            <w:gridSpan w:val="2"/>
            <w:tcBorders>
              <w:top w:val="single" w:sz="4" w:space="0" w:color="auto"/>
            </w:tcBorders>
            <w:shd w:val="clear" w:color="000000" w:fill="FFFFFF"/>
            <w:noWrap/>
            <w:vAlign w:val="bottom"/>
            <w:hideMark/>
          </w:tcPr>
          <w:p w14:paraId="7D4C873F" w14:textId="77777777" w:rsidR="00744544" w:rsidRPr="00A66C9F" w:rsidRDefault="00744544" w:rsidP="00107D5D">
            <w:pPr>
              <w:suppressAutoHyphens/>
              <w:spacing w:before="81" w:after="81" w:line="160" w:lineRule="exact"/>
              <w:ind w:right="40"/>
              <w:rPr>
                <w:i/>
                <w:sz w:val="14"/>
                <w:lang w:val="fr-FR"/>
              </w:rPr>
            </w:pPr>
          </w:p>
        </w:tc>
        <w:tc>
          <w:tcPr>
            <w:tcW w:w="2832" w:type="dxa"/>
            <w:gridSpan w:val="3"/>
            <w:tcBorders>
              <w:top w:val="single" w:sz="4" w:space="0" w:color="auto"/>
              <w:bottom w:val="single" w:sz="4" w:space="0" w:color="auto"/>
            </w:tcBorders>
            <w:shd w:val="clear" w:color="000000" w:fill="FFFFFF"/>
            <w:noWrap/>
            <w:vAlign w:val="bottom"/>
            <w:hideMark/>
          </w:tcPr>
          <w:p w14:paraId="7BED7185" w14:textId="77777777" w:rsidR="00744544" w:rsidRPr="00A66C9F" w:rsidRDefault="00744544" w:rsidP="00107D5D">
            <w:pPr>
              <w:suppressAutoHyphens/>
              <w:spacing w:before="81" w:after="81" w:line="160" w:lineRule="exact"/>
              <w:ind w:right="43"/>
              <w:jc w:val="center"/>
              <w:rPr>
                <w:i/>
                <w:sz w:val="14"/>
                <w:lang w:val="fr-FR"/>
              </w:rPr>
            </w:pPr>
            <w:r w:rsidRPr="00A66C9F">
              <w:rPr>
                <w:i/>
                <w:sz w:val="14"/>
                <w:lang w:val="fr-FR"/>
              </w:rPr>
              <w:t>Montant initial des crédits ouverts pour 2019</w:t>
            </w:r>
          </w:p>
        </w:tc>
        <w:tc>
          <w:tcPr>
            <w:tcW w:w="140" w:type="dxa"/>
            <w:tcBorders>
              <w:top w:val="single" w:sz="4" w:space="0" w:color="auto"/>
            </w:tcBorders>
            <w:shd w:val="clear" w:color="000000" w:fill="FFFFFF"/>
            <w:noWrap/>
            <w:vAlign w:val="bottom"/>
            <w:hideMark/>
          </w:tcPr>
          <w:p w14:paraId="5F290269" w14:textId="77777777" w:rsidR="00744544" w:rsidRPr="00A66C9F" w:rsidRDefault="00744544" w:rsidP="00107D5D">
            <w:pPr>
              <w:suppressAutoHyphens/>
              <w:spacing w:before="81" w:after="81" w:line="160" w:lineRule="exact"/>
              <w:ind w:right="43"/>
              <w:jc w:val="center"/>
              <w:rPr>
                <w:i/>
                <w:sz w:val="14"/>
                <w:lang w:val="fr-FR"/>
              </w:rPr>
            </w:pPr>
          </w:p>
        </w:tc>
        <w:tc>
          <w:tcPr>
            <w:tcW w:w="2692" w:type="dxa"/>
            <w:gridSpan w:val="3"/>
            <w:tcBorders>
              <w:top w:val="single" w:sz="4" w:space="0" w:color="auto"/>
              <w:bottom w:val="single" w:sz="4" w:space="0" w:color="auto"/>
            </w:tcBorders>
            <w:shd w:val="clear" w:color="000000" w:fill="FFFFFF"/>
            <w:vAlign w:val="bottom"/>
          </w:tcPr>
          <w:p w14:paraId="434E632A" w14:textId="77777777" w:rsidR="00744544" w:rsidRPr="00A66C9F" w:rsidRDefault="00744544" w:rsidP="00107D5D">
            <w:pPr>
              <w:suppressAutoHyphens/>
              <w:spacing w:before="81" w:after="81" w:line="160" w:lineRule="exact"/>
              <w:ind w:right="43"/>
              <w:jc w:val="center"/>
              <w:rPr>
                <w:i/>
                <w:sz w:val="14"/>
                <w:lang w:val="fr-FR"/>
              </w:rPr>
            </w:pPr>
            <w:r w:rsidRPr="00A66C9F">
              <w:rPr>
                <w:i/>
                <w:sz w:val="14"/>
                <w:lang w:val="fr-FR"/>
              </w:rPr>
              <w:t>Montant reporté (solde de 2018)</w:t>
            </w:r>
          </w:p>
        </w:tc>
        <w:tc>
          <w:tcPr>
            <w:tcW w:w="98" w:type="dxa"/>
            <w:tcBorders>
              <w:top w:val="single" w:sz="4" w:space="0" w:color="auto"/>
            </w:tcBorders>
            <w:shd w:val="clear" w:color="000000" w:fill="FFFFFF"/>
            <w:noWrap/>
            <w:vAlign w:val="bottom"/>
            <w:hideMark/>
          </w:tcPr>
          <w:p w14:paraId="313F271D" w14:textId="77777777" w:rsidR="00744544" w:rsidRPr="00A66C9F" w:rsidRDefault="00744544" w:rsidP="00107D5D">
            <w:pPr>
              <w:suppressAutoHyphens/>
              <w:spacing w:before="81" w:after="81" w:line="160" w:lineRule="exact"/>
              <w:ind w:right="43"/>
              <w:jc w:val="center"/>
              <w:rPr>
                <w:i/>
                <w:sz w:val="14"/>
                <w:lang w:val="fr-FR"/>
              </w:rPr>
            </w:pPr>
          </w:p>
        </w:tc>
        <w:tc>
          <w:tcPr>
            <w:tcW w:w="2734" w:type="dxa"/>
            <w:gridSpan w:val="3"/>
            <w:tcBorders>
              <w:top w:val="single" w:sz="4" w:space="0" w:color="auto"/>
              <w:bottom w:val="single" w:sz="4" w:space="0" w:color="auto"/>
            </w:tcBorders>
            <w:shd w:val="clear" w:color="000000" w:fill="FFFFFF"/>
            <w:vAlign w:val="bottom"/>
          </w:tcPr>
          <w:p w14:paraId="5ECC49BE" w14:textId="77777777" w:rsidR="00744544" w:rsidRPr="00A66C9F" w:rsidRDefault="00744544" w:rsidP="00107D5D">
            <w:pPr>
              <w:suppressAutoHyphens/>
              <w:spacing w:before="81" w:after="81" w:line="160" w:lineRule="exact"/>
              <w:ind w:right="43"/>
              <w:jc w:val="center"/>
              <w:rPr>
                <w:i/>
                <w:sz w:val="14"/>
                <w:lang w:val="fr-FR"/>
              </w:rPr>
            </w:pPr>
            <w:r w:rsidRPr="00A66C9F">
              <w:rPr>
                <w:i/>
                <w:sz w:val="14"/>
                <w:lang w:val="fr-FR"/>
              </w:rPr>
              <w:t>Montant révisé des crédits ouverts</w:t>
            </w:r>
          </w:p>
        </w:tc>
        <w:tc>
          <w:tcPr>
            <w:tcW w:w="146" w:type="dxa"/>
            <w:tcBorders>
              <w:top w:val="single" w:sz="4" w:space="0" w:color="auto"/>
            </w:tcBorders>
            <w:shd w:val="clear" w:color="000000" w:fill="FFFFFF"/>
            <w:noWrap/>
            <w:vAlign w:val="bottom"/>
            <w:hideMark/>
          </w:tcPr>
          <w:p w14:paraId="5E35DF6E" w14:textId="77777777" w:rsidR="00744544" w:rsidRPr="00A66C9F" w:rsidRDefault="00744544" w:rsidP="00107D5D">
            <w:pPr>
              <w:suppressAutoHyphens/>
              <w:spacing w:before="81" w:after="81" w:line="160" w:lineRule="exact"/>
              <w:ind w:right="43"/>
              <w:jc w:val="center"/>
              <w:rPr>
                <w:i/>
                <w:sz w:val="14"/>
                <w:lang w:val="fr-FR"/>
              </w:rPr>
            </w:pPr>
          </w:p>
        </w:tc>
        <w:tc>
          <w:tcPr>
            <w:tcW w:w="2686" w:type="dxa"/>
            <w:gridSpan w:val="3"/>
            <w:tcBorders>
              <w:top w:val="single" w:sz="4" w:space="0" w:color="auto"/>
              <w:bottom w:val="single" w:sz="4" w:space="0" w:color="auto"/>
            </w:tcBorders>
            <w:shd w:val="clear" w:color="000000" w:fill="FFFFFF"/>
            <w:vAlign w:val="bottom"/>
          </w:tcPr>
          <w:p w14:paraId="53C95DE5" w14:textId="77777777" w:rsidR="00744544" w:rsidRPr="00A66C9F" w:rsidRDefault="00744544" w:rsidP="00107D5D">
            <w:pPr>
              <w:suppressAutoHyphens/>
              <w:spacing w:before="81" w:after="81" w:line="160" w:lineRule="exact"/>
              <w:ind w:right="43"/>
              <w:jc w:val="center"/>
              <w:rPr>
                <w:i/>
                <w:sz w:val="14"/>
                <w:lang w:val="fr-FR"/>
              </w:rPr>
            </w:pPr>
            <w:r w:rsidRPr="00A66C9F">
              <w:rPr>
                <w:i/>
                <w:sz w:val="14"/>
                <w:lang w:val="fr-FR"/>
              </w:rPr>
              <w:t>Budget définitif pour 2019</w:t>
            </w:r>
          </w:p>
        </w:tc>
      </w:tr>
      <w:tr w:rsidR="00744544" w:rsidRPr="00A66C9F" w14:paraId="02DB08D3" w14:textId="77777777" w:rsidTr="00107D5D">
        <w:trPr>
          <w:cantSplit/>
          <w:tblHeader/>
        </w:trPr>
        <w:tc>
          <w:tcPr>
            <w:tcW w:w="1888" w:type="dxa"/>
            <w:gridSpan w:val="2"/>
            <w:tcBorders>
              <w:bottom w:val="single" w:sz="12" w:space="0" w:color="auto"/>
            </w:tcBorders>
            <w:shd w:val="clear" w:color="000000" w:fill="FFFFFF"/>
            <w:noWrap/>
            <w:vAlign w:val="bottom"/>
            <w:hideMark/>
          </w:tcPr>
          <w:p w14:paraId="5221BF65" w14:textId="77777777" w:rsidR="00744544" w:rsidRPr="00A66C9F" w:rsidRDefault="00744544" w:rsidP="00107D5D">
            <w:pPr>
              <w:suppressAutoHyphens/>
              <w:spacing w:before="81" w:after="81" w:line="160" w:lineRule="exact"/>
              <w:ind w:right="40"/>
              <w:rPr>
                <w:i/>
                <w:sz w:val="14"/>
                <w:lang w:val="fr-FR"/>
              </w:rPr>
            </w:pPr>
          </w:p>
        </w:tc>
        <w:tc>
          <w:tcPr>
            <w:tcW w:w="944" w:type="dxa"/>
            <w:tcBorders>
              <w:top w:val="single" w:sz="4" w:space="0" w:color="auto"/>
              <w:bottom w:val="single" w:sz="12" w:space="0" w:color="auto"/>
            </w:tcBorders>
            <w:shd w:val="clear" w:color="000000" w:fill="FFFFFF"/>
            <w:noWrap/>
            <w:vAlign w:val="bottom"/>
            <w:hideMark/>
          </w:tcPr>
          <w:p w14:paraId="73B86D77"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 xml:space="preserve">Caisse </w:t>
            </w:r>
            <w:r w:rsidRPr="00A66C9F">
              <w:rPr>
                <w:i/>
                <w:sz w:val="14"/>
                <w:lang w:val="fr-FR"/>
              </w:rPr>
              <w:br/>
              <w:t>des pensions</w:t>
            </w:r>
          </w:p>
        </w:tc>
        <w:tc>
          <w:tcPr>
            <w:tcW w:w="944" w:type="dxa"/>
            <w:tcBorders>
              <w:top w:val="single" w:sz="4" w:space="0" w:color="auto"/>
              <w:bottom w:val="single" w:sz="12" w:space="0" w:color="auto"/>
            </w:tcBorders>
            <w:shd w:val="clear" w:color="000000" w:fill="FFFFFF"/>
            <w:noWrap/>
            <w:vAlign w:val="bottom"/>
            <w:hideMark/>
          </w:tcPr>
          <w:p w14:paraId="054C5E07"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ONU</w:t>
            </w:r>
          </w:p>
        </w:tc>
        <w:tc>
          <w:tcPr>
            <w:tcW w:w="944" w:type="dxa"/>
            <w:tcBorders>
              <w:top w:val="single" w:sz="4" w:space="0" w:color="auto"/>
              <w:bottom w:val="single" w:sz="12" w:space="0" w:color="auto"/>
            </w:tcBorders>
            <w:shd w:val="clear" w:color="000000" w:fill="FFFFFF"/>
            <w:noWrap/>
            <w:vAlign w:val="bottom"/>
            <w:hideMark/>
          </w:tcPr>
          <w:p w14:paraId="5DBFE651"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Total</w:t>
            </w:r>
          </w:p>
        </w:tc>
        <w:tc>
          <w:tcPr>
            <w:tcW w:w="944" w:type="dxa"/>
            <w:gridSpan w:val="2"/>
            <w:tcBorders>
              <w:bottom w:val="single" w:sz="12" w:space="0" w:color="auto"/>
            </w:tcBorders>
            <w:shd w:val="clear" w:color="000000" w:fill="FFFFFF"/>
            <w:noWrap/>
            <w:vAlign w:val="bottom"/>
            <w:hideMark/>
          </w:tcPr>
          <w:p w14:paraId="25F39EF9"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 xml:space="preserve">Caisse </w:t>
            </w:r>
            <w:r w:rsidRPr="00A66C9F">
              <w:rPr>
                <w:i/>
                <w:sz w:val="14"/>
                <w:lang w:val="fr-FR"/>
              </w:rPr>
              <w:br/>
              <w:t>des pensions</w:t>
            </w:r>
          </w:p>
        </w:tc>
        <w:tc>
          <w:tcPr>
            <w:tcW w:w="944" w:type="dxa"/>
            <w:tcBorders>
              <w:bottom w:val="single" w:sz="12" w:space="0" w:color="auto"/>
            </w:tcBorders>
            <w:shd w:val="clear" w:color="000000" w:fill="FFFFFF"/>
            <w:noWrap/>
            <w:vAlign w:val="bottom"/>
            <w:hideMark/>
          </w:tcPr>
          <w:p w14:paraId="0E267F5E"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ONU</w:t>
            </w:r>
          </w:p>
        </w:tc>
        <w:tc>
          <w:tcPr>
            <w:tcW w:w="944" w:type="dxa"/>
            <w:tcBorders>
              <w:bottom w:val="single" w:sz="12" w:space="0" w:color="auto"/>
            </w:tcBorders>
            <w:shd w:val="clear" w:color="000000" w:fill="FFFFFF"/>
            <w:noWrap/>
            <w:vAlign w:val="bottom"/>
            <w:hideMark/>
          </w:tcPr>
          <w:p w14:paraId="75F0E282"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Total</w:t>
            </w:r>
          </w:p>
        </w:tc>
        <w:tc>
          <w:tcPr>
            <w:tcW w:w="944" w:type="dxa"/>
            <w:gridSpan w:val="2"/>
            <w:tcBorders>
              <w:bottom w:val="single" w:sz="12" w:space="0" w:color="auto"/>
            </w:tcBorders>
            <w:shd w:val="clear" w:color="000000" w:fill="FFFFFF"/>
            <w:noWrap/>
            <w:vAlign w:val="bottom"/>
            <w:hideMark/>
          </w:tcPr>
          <w:p w14:paraId="352E7942"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 xml:space="preserve">Caisse </w:t>
            </w:r>
            <w:r w:rsidRPr="00A66C9F">
              <w:rPr>
                <w:i/>
                <w:sz w:val="14"/>
                <w:lang w:val="fr-FR"/>
              </w:rPr>
              <w:br/>
              <w:t>des pensions</w:t>
            </w:r>
          </w:p>
        </w:tc>
        <w:tc>
          <w:tcPr>
            <w:tcW w:w="944" w:type="dxa"/>
            <w:tcBorders>
              <w:bottom w:val="single" w:sz="12" w:space="0" w:color="auto"/>
            </w:tcBorders>
            <w:shd w:val="clear" w:color="000000" w:fill="FFFFFF"/>
            <w:noWrap/>
            <w:vAlign w:val="bottom"/>
            <w:hideMark/>
          </w:tcPr>
          <w:p w14:paraId="52EE9F55"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ONU</w:t>
            </w:r>
          </w:p>
        </w:tc>
        <w:tc>
          <w:tcPr>
            <w:tcW w:w="944" w:type="dxa"/>
            <w:tcBorders>
              <w:bottom w:val="single" w:sz="12" w:space="0" w:color="auto"/>
            </w:tcBorders>
            <w:shd w:val="clear" w:color="000000" w:fill="FFFFFF"/>
            <w:noWrap/>
            <w:vAlign w:val="bottom"/>
            <w:hideMark/>
          </w:tcPr>
          <w:p w14:paraId="27636F39"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Total</w:t>
            </w:r>
          </w:p>
        </w:tc>
        <w:tc>
          <w:tcPr>
            <w:tcW w:w="944" w:type="dxa"/>
            <w:gridSpan w:val="2"/>
            <w:tcBorders>
              <w:bottom w:val="single" w:sz="12" w:space="0" w:color="auto"/>
            </w:tcBorders>
            <w:shd w:val="clear" w:color="000000" w:fill="FFFFFF"/>
            <w:noWrap/>
            <w:vAlign w:val="bottom"/>
            <w:hideMark/>
          </w:tcPr>
          <w:p w14:paraId="2CAEB467"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 xml:space="preserve">Caisse </w:t>
            </w:r>
            <w:r w:rsidRPr="00A66C9F">
              <w:rPr>
                <w:i/>
                <w:sz w:val="14"/>
                <w:lang w:val="fr-FR"/>
              </w:rPr>
              <w:br/>
              <w:t>des pensions</w:t>
            </w:r>
          </w:p>
        </w:tc>
        <w:tc>
          <w:tcPr>
            <w:tcW w:w="944" w:type="dxa"/>
            <w:tcBorders>
              <w:bottom w:val="single" w:sz="12" w:space="0" w:color="auto"/>
            </w:tcBorders>
            <w:shd w:val="clear" w:color="000000" w:fill="FFFFFF"/>
            <w:noWrap/>
            <w:vAlign w:val="bottom"/>
            <w:hideMark/>
          </w:tcPr>
          <w:p w14:paraId="454B8CF7"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ONU</w:t>
            </w:r>
          </w:p>
        </w:tc>
        <w:tc>
          <w:tcPr>
            <w:tcW w:w="944" w:type="dxa"/>
            <w:tcBorders>
              <w:bottom w:val="single" w:sz="12" w:space="0" w:color="auto"/>
            </w:tcBorders>
            <w:shd w:val="clear" w:color="000000" w:fill="FFFFFF"/>
            <w:noWrap/>
            <w:vAlign w:val="bottom"/>
            <w:hideMark/>
          </w:tcPr>
          <w:p w14:paraId="7E6BA662"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Total</w:t>
            </w:r>
          </w:p>
        </w:tc>
      </w:tr>
      <w:tr w:rsidR="00744544" w:rsidRPr="00A66C9F" w14:paraId="0D636E68" w14:textId="77777777" w:rsidTr="00107D5D">
        <w:trPr>
          <w:cantSplit/>
          <w:trHeight w:hRule="exact" w:val="115"/>
          <w:tblHeader/>
        </w:trPr>
        <w:tc>
          <w:tcPr>
            <w:tcW w:w="270" w:type="dxa"/>
            <w:tcBorders>
              <w:top w:val="single" w:sz="12" w:space="0" w:color="auto"/>
            </w:tcBorders>
            <w:shd w:val="clear" w:color="000000" w:fill="FFFFFF"/>
            <w:noWrap/>
            <w:vAlign w:val="bottom"/>
          </w:tcPr>
          <w:p w14:paraId="27EE26A6" w14:textId="77777777" w:rsidR="00744544" w:rsidRPr="00A66C9F" w:rsidRDefault="00744544" w:rsidP="00107D5D">
            <w:pPr>
              <w:suppressAutoHyphens/>
              <w:spacing w:before="40" w:after="40" w:line="210" w:lineRule="exact"/>
              <w:ind w:right="40"/>
              <w:rPr>
                <w:sz w:val="17"/>
                <w:lang w:val="fr-FR"/>
              </w:rPr>
            </w:pPr>
          </w:p>
        </w:tc>
        <w:tc>
          <w:tcPr>
            <w:tcW w:w="1618" w:type="dxa"/>
            <w:tcBorders>
              <w:top w:val="single" w:sz="12" w:space="0" w:color="auto"/>
            </w:tcBorders>
            <w:shd w:val="clear" w:color="000000" w:fill="FFFFFF"/>
            <w:noWrap/>
            <w:vAlign w:val="bottom"/>
          </w:tcPr>
          <w:p w14:paraId="764D7749" w14:textId="77777777" w:rsidR="00744544" w:rsidRPr="00A66C9F" w:rsidRDefault="00744544" w:rsidP="00107D5D">
            <w:pPr>
              <w:suppressAutoHyphens/>
              <w:spacing w:before="40" w:after="40" w:line="210" w:lineRule="exact"/>
              <w:ind w:right="43"/>
              <w:rPr>
                <w:sz w:val="17"/>
                <w:lang w:val="fr-FR"/>
              </w:rPr>
            </w:pPr>
          </w:p>
        </w:tc>
        <w:tc>
          <w:tcPr>
            <w:tcW w:w="944" w:type="dxa"/>
            <w:tcBorders>
              <w:top w:val="single" w:sz="12" w:space="0" w:color="auto"/>
            </w:tcBorders>
            <w:shd w:val="clear" w:color="000000" w:fill="FFFFFF"/>
            <w:noWrap/>
            <w:vAlign w:val="bottom"/>
          </w:tcPr>
          <w:p w14:paraId="14E61938" w14:textId="77777777" w:rsidR="00744544" w:rsidRPr="00A66C9F" w:rsidRDefault="00744544" w:rsidP="00107D5D">
            <w:pPr>
              <w:suppressAutoHyphens/>
              <w:spacing w:before="40" w:after="40" w:line="210" w:lineRule="exact"/>
              <w:ind w:right="43"/>
              <w:jc w:val="right"/>
              <w:rPr>
                <w:sz w:val="17"/>
                <w:lang w:val="fr-FR"/>
              </w:rPr>
            </w:pPr>
          </w:p>
        </w:tc>
        <w:tc>
          <w:tcPr>
            <w:tcW w:w="944" w:type="dxa"/>
            <w:tcBorders>
              <w:top w:val="single" w:sz="12" w:space="0" w:color="auto"/>
            </w:tcBorders>
            <w:shd w:val="clear" w:color="000000" w:fill="FFFFFF"/>
            <w:noWrap/>
            <w:vAlign w:val="bottom"/>
          </w:tcPr>
          <w:p w14:paraId="5A6229D2" w14:textId="77777777" w:rsidR="00744544" w:rsidRPr="00A66C9F" w:rsidRDefault="00744544" w:rsidP="00107D5D">
            <w:pPr>
              <w:suppressAutoHyphens/>
              <w:spacing w:before="40" w:after="40" w:line="210" w:lineRule="exact"/>
              <w:ind w:right="43"/>
              <w:jc w:val="right"/>
              <w:rPr>
                <w:sz w:val="17"/>
                <w:lang w:val="fr-FR"/>
              </w:rPr>
            </w:pPr>
          </w:p>
        </w:tc>
        <w:tc>
          <w:tcPr>
            <w:tcW w:w="944" w:type="dxa"/>
            <w:tcBorders>
              <w:top w:val="single" w:sz="12" w:space="0" w:color="auto"/>
            </w:tcBorders>
            <w:shd w:val="clear" w:color="000000" w:fill="FFFFFF"/>
            <w:noWrap/>
            <w:vAlign w:val="bottom"/>
          </w:tcPr>
          <w:p w14:paraId="02EB4B23" w14:textId="77777777" w:rsidR="00744544" w:rsidRPr="00A66C9F" w:rsidRDefault="00744544" w:rsidP="00107D5D">
            <w:pPr>
              <w:suppressAutoHyphens/>
              <w:spacing w:before="40" w:after="40" w:line="210" w:lineRule="exact"/>
              <w:ind w:right="43"/>
              <w:jc w:val="right"/>
              <w:rPr>
                <w:sz w:val="17"/>
                <w:lang w:val="fr-FR"/>
              </w:rPr>
            </w:pPr>
          </w:p>
        </w:tc>
        <w:tc>
          <w:tcPr>
            <w:tcW w:w="944" w:type="dxa"/>
            <w:gridSpan w:val="2"/>
            <w:tcBorders>
              <w:top w:val="single" w:sz="12" w:space="0" w:color="auto"/>
            </w:tcBorders>
            <w:shd w:val="clear" w:color="000000" w:fill="FFFFFF"/>
            <w:noWrap/>
            <w:vAlign w:val="bottom"/>
          </w:tcPr>
          <w:p w14:paraId="17AE3C22" w14:textId="77777777" w:rsidR="00744544" w:rsidRPr="00A66C9F" w:rsidRDefault="00744544" w:rsidP="00107D5D">
            <w:pPr>
              <w:suppressAutoHyphens/>
              <w:spacing w:before="40" w:after="40" w:line="210" w:lineRule="exact"/>
              <w:ind w:right="43"/>
              <w:jc w:val="right"/>
              <w:rPr>
                <w:sz w:val="17"/>
                <w:lang w:val="fr-FR"/>
              </w:rPr>
            </w:pPr>
          </w:p>
        </w:tc>
        <w:tc>
          <w:tcPr>
            <w:tcW w:w="944" w:type="dxa"/>
            <w:tcBorders>
              <w:top w:val="single" w:sz="12" w:space="0" w:color="auto"/>
            </w:tcBorders>
            <w:shd w:val="clear" w:color="000000" w:fill="FFFFFF"/>
            <w:noWrap/>
            <w:vAlign w:val="bottom"/>
          </w:tcPr>
          <w:p w14:paraId="1245A399" w14:textId="77777777" w:rsidR="00744544" w:rsidRPr="00A66C9F" w:rsidRDefault="00744544" w:rsidP="00107D5D">
            <w:pPr>
              <w:suppressAutoHyphens/>
              <w:spacing w:before="40" w:after="40" w:line="210" w:lineRule="exact"/>
              <w:ind w:right="43"/>
              <w:jc w:val="right"/>
              <w:rPr>
                <w:sz w:val="17"/>
                <w:lang w:val="fr-FR"/>
              </w:rPr>
            </w:pPr>
          </w:p>
        </w:tc>
        <w:tc>
          <w:tcPr>
            <w:tcW w:w="944" w:type="dxa"/>
            <w:tcBorders>
              <w:top w:val="single" w:sz="12" w:space="0" w:color="auto"/>
            </w:tcBorders>
            <w:shd w:val="clear" w:color="000000" w:fill="FFFFFF"/>
            <w:noWrap/>
            <w:vAlign w:val="bottom"/>
          </w:tcPr>
          <w:p w14:paraId="14A1D464" w14:textId="77777777" w:rsidR="00744544" w:rsidRPr="00A66C9F" w:rsidRDefault="00744544" w:rsidP="00107D5D">
            <w:pPr>
              <w:suppressAutoHyphens/>
              <w:spacing w:before="40" w:after="40" w:line="210" w:lineRule="exact"/>
              <w:ind w:right="43"/>
              <w:jc w:val="right"/>
              <w:rPr>
                <w:sz w:val="17"/>
                <w:lang w:val="fr-FR"/>
              </w:rPr>
            </w:pPr>
          </w:p>
        </w:tc>
        <w:tc>
          <w:tcPr>
            <w:tcW w:w="944" w:type="dxa"/>
            <w:gridSpan w:val="2"/>
            <w:tcBorders>
              <w:top w:val="single" w:sz="12" w:space="0" w:color="auto"/>
            </w:tcBorders>
            <w:shd w:val="clear" w:color="000000" w:fill="FFFFFF"/>
            <w:noWrap/>
            <w:vAlign w:val="bottom"/>
          </w:tcPr>
          <w:p w14:paraId="1F5DAF76" w14:textId="77777777" w:rsidR="00744544" w:rsidRPr="00A66C9F" w:rsidRDefault="00744544" w:rsidP="00107D5D">
            <w:pPr>
              <w:suppressAutoHyphens/>
              <w:spacing w:before="40" w:after="40" w:line="210" w:lineRule="exact"/>
              <w:ind w:right="43"/>
              <w:jc w:val="right"/>
              <w:rPr>
                <w:sz w:val="17"/>
                <w:lang w:val="fr-FR"/>
              </w:rPr>
            </w:pPr>
          </w:p>
        </w:tc>
        <w:tc>
          <w:tcPr>
            <w:tcW w:w="944" w:type="dxa"/>
            <w:tcBorders>
              <w:top w:val="single" w:sz="12" w:space="0" w:color="auto"/>
            </w:tcBorders>
            <w:shd w:val="clear" w:color="000000" w:fill="FFFFFF"/>
            <w:noWrap/>
            <w:vAlign w:val="bottom"/>
          </w:tcPr>
          <w:p w14:paraId="6820FF02" w14:textId="77777777" w:rsidR="00744544" w:rsidRPr="00A66C9F" w:rsidRDefault="00744544" w:rsidP="00107D5D">
            <w:pPr>
              <w:suppressAutoHyphens/>
              <w:spacing w:before="40" w:after="40" w:line="210" w:lineRule="exact"/>
              <w:ind w:right="43"/>
              <w:jc w:val="right"/>
              <w:rPr>
                <w:sz w:val="17"/>
                <w:lang w:val="fr-FR"/>
              </w:rPr>
            </w:pPr>
          </w:p>
        </w:tc>
        <w:tc>
          <w:tcPr>
            <w:tcW w:w="944" w:type="dxa"/>
            <w:tcBorders>
              <w:top w:val="single" w:sz="12" w:space="0" w:color="auto"/>
            </w:tcBorders>
            <w:shd w:val="clear" w:color="000000" w:fill="FFFFFF"/>
            <w:noWrap/>
            <w:vAlign w:val="bottom"/>
          </w:tcPr>
          <w:p w14:paraId="54E3D1F5" w14:textId="77777777" w:rsidR="00744544" w:rsidRPr="00A66C9F" w:rsidRDefault="00744544" w:rsidP="00107D5D">
            <w:pPr>
              <w:suppressAutoHyphens/>
              <w:spacing w:before="40" w:after="40" w:line="210" w:lineRule="exact"/>
              <w:ind w:right="43"/>
              <w:jc w:val="right"/>
              <w:rPr>
                <w:sz w:val="17"/>
                <w:lang w:val="fr-FR"/>
              </w:rPr>
            </w:pPr>
          </w:p>
        </w:tc>
        <w:tc>
          <w:tcPr>
            <w:tcW w:w="944" w:type="dxa"/>
            <w:gridSpan w:val="2"/>
            <w:tcBorders>
              <w:top w:val="single" w:sz="12" w:space="0" w:color="auto"/>
            </w:tcBorders>
            <w:shd w:val="clear" w:color="000000" w:fill="FFFFFF"/>
            <w:noWrap/>
            <w:vAlign w:val="bottom"/>
          </w:tcPr>
          <w:p w14:paraId="42FA82DD" w14:textId="77777777" w:rsidR="00744544" w:rsidRPr="00A66C9F" w:rsidRDefault="00744544" w:rsidP="00107D5D">
            <w:pPr>
              <w:suppressAutoHyphens/>
              <w:spacing w:before="40" w:after="40" w:line="210" w:lineRule="exact"/>
              <w:ind w:right="43"/>
              <w:jc w:val="right"/>
              <w:rPr>
                <w:sz w:val="17"/>
                <w:lang w:val="fr-FR"/>
              </w:rPr>
            </w:pPr>
          </w:p>
        </w:tc>
        <w:tc>
          <w:tcPr>
            <w:tcW w:w="944" w:type="dxa"/>
            <w:tcBorders>
              <w:top w:val="single" w:sz="12" w:space="0" w:color="auto"/>
            </w:tcBorders>
            <w:shd w:val="clear" w:color="000000" w:fill="FFFFFF"/>
            <w:noWrap/>
            <w:vAlign w:val="bottom"/>
          </w:tcPr>
          <w:p w14:paraId="1F7B307A" w14:textId="77777777" w:rsidR="00744544" w:rsidRPr="00A66C9F" w:rsidRDefault="00744544" w:rsidP="00107D5D">
            <w:pPr>
              <w:suppressAutoHyphens/>
              <w:spacing w:before="40" w:after="40" w:line="210" w:lineRule="exact"/>
              <w:ind w:right="43"/>
              <w:jc w:val="right"/>
              <w:rPr>
                <w:sz w:val="17"/>
                <w:lang w:val="fr-FR"/>
              </w:rPr>
            </w:pPr>
          </w:p>
        </w:tc>
        <w:tc>
          <w:tcPr>
            <w:tcW w:w="944" w:type="dxa"/>
            <w:tcBorders>
              <w:top w:val="single" w:sz="12" w:space="0" w:color="auto"/>
            </w:tcBorders>
            <w:shd w:val="clear" w:color="000000" w:fill="FFFFFF"/>
            <w:noWrap/>
            <w:vAlign w:val="bottom"/>
          </w:tcPr>
          <w:p w14:paraId="53FF8A24" w14:textId="77777777" w:rsidR="00744544" w:rsidRPr="00A66C9F" w:rsidRDefault="00744544" w:rsidP="00107D5D">
            <w:pPr>
              <w:suppressAutoHyphens/>
              <w:spacing w:before="40" w:after="40" w:line="210" w:lineRule="exact"/>
              <w:ind w:right="43"/>
              <w:jc w:val="right"/>
              <w:rPr>
                <w:sz w:val="17"/>
                <w:lang w:val="fr-FR"/>
              </w:rPr>
            </w:pPr>
          </w:p>
        </w:tc>
      </w:tr>
      <w:tr w:rsidR="00744544" w:rsidRPr="00A66C9F" w14:paraId="3EEE0A12" w14:textId="77777777" w:rsidTr="00107D5D">
        <w:trPr>
          <w:cantSplit/>
        </w:trPr>
        <w:tc>
          <w:tcPr>
            <w:tcW w:w="3776" w:type="dxa"/>
            <w:gridSpan w:val="4"/>
            <w:shd w:val="clear" w:color="000000" w:fill="FFFFFF"/>
            <w:noWrap/>
            <w:vAlign w:val="bottom"/>
            <w:hideMark/>
          </w:tcPr>
          <w:p w14:paraId="3A8F51C4"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rPr>
                <w:b/>
                <w:bCs/>
                <w:sz w:val="17"/>
                <w:lang w:val="fr-FR"/>
              </w:rPr>
            </w:pPr>
            <w:r w:rsidRPr="00A66C9F">
              <w:rPr>
                <w:b/>
                <w:bCs/>
                <w:sz w:val="17"/>
                <w:lang w:val="fr-FR"/>
              </w:rPr>
              <w:t>B.</w:t>
            </w:r>
            <w:r w:rsidRPr="00A66C9F">
              <w:rPr>
                <w:b/>
                <w:bCs/>
                <w:sz w:val="17"/>
                <w:lang w:val="fr-FR"/>
              </w:rPr>
              <w:tab/>
              <w:t>Bureau de la gestion des investissements</w:t>
            </w:r>
          </w:p>
        </w:tc>
        <w:tc>
          <w:tcPr>
            <w:tcW w:w="944" w:type="dxa"/>
            <w:shd w:val="clear" w:color="000000" w:fill="FFFFFF"/>
            <w:noWrap/>
            <w:vAlign w:val="bottom"/>
          </w:tcPr>
          <w:p w14:paraId="274098B5"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p>
        </w:tc>
        <w:tc>
          <w:tcPr>
            <w:tcW w:w="944" w:type="dxa"/>
            <w:gridSpan w:val="2"/>
            <w:shd w:val="clear" w:color="000000" w:fill="FFFFFF"/>
            <w:noWrap/>
            <w:vAlign w:val="bottom"/>
          </w:tcPr>
          <w:p w14:paraId="742F1CAF"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p>
        </w:tc>
        <w:tc>
          <w:tcPr>
            <w:tcW w:w="944" w:type="dxa"/>
            <w:shd w:val="clear" w:color="000000" w:fill="FFFFFF"/>
            <w:noWrap/>
            <w:vAlign w:val="bottom"/>
          </w:tcPr>
          <w:p w14:paraId="4E6C69F9"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p>
        </w:tc>
        <w:tc>
          <w:tcPr>
            <w:tcW w:w="944" w:type="dxa"/>
            <w:shd w:val="clear" w:color="000000" w:fill="FFFFFF"/>
            <w:noWrap/>
            <w:vAlign w:val="bottom"/>
          </w:tcPr>
          <w:p w14:paraId="302A4DCC"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p>
        </w:tc>
        <w:tc>
          <w:tcPr>
            <w:tcW w:w="944" w:type="dxa"/>
            <w:gridSpan w:val="2"/>
            <w:shd w:val="clear" w:color="000000" w:fill="FFFFFF"/>
            <w:noWrap/>
            <w:vAlign w:val="bottom"/>
          </w:tcPr>
          <w:p w14:paraId="61F76ADE"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p>
        </w:tc>
        <w:tc>
          <w:tcPr>
            <w:tcW w:w="944" w:type="dxa"/>
            <w:shd w:val="clear" w:color="000000" w:fill="FFFFFF"/>
            <w:noWrap/>
            <w:vAlign w:val="bottom"/>
          </w:tcPr>
          <w:p w14:paraId="6BCBA5BB"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p>
        </w:tc>
        <w:tc>
          <w:tcPr>
            <w:tcW w:w="944" w:type="dxa"/>
            <w:shd w:val="clear" w:color="000000" w:fill="FFFFFF"/>
            <w:noWrap/>
            <w:vAlign w:val="bottom"/>
          </w:tcPr>
          <w:p w14:paraId="7EA1E407"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p>
        </w:tc>
        <w:tc>
          <w:tcPr>
            <w:tcW w:w="944" w:type="dxa"/>
            <w:gridSpan w:val="2"/>
            <w:shd w:val="clear" w:color="000000" w:fill="FFFFFF"/>
            <w:noWrap/>
            <w:vAlign w:val="bottom"/>
          </w:tcPr>
          <w:p w14:paraId="23B5CC5E"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p>
        </w:tc>
        <w:tc>
          <w:tcPr>
            <w:tcW w:w="944" w:type="dxa"/>
            <w:shd w:val="clear" w:color="000000" w:fill="FFFFFF"/>
            <w:noWrap/>
            <w:vAlign w:val="bottom"/>
          </w:tcPr>
          <w:p w14:paraId="106DF450"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p>
        </w:tc>
        <w:tc>
          <w:tcPr>
            <w:tcW w:w="944" w:type="dxa"/>
            <w:shd w:val="clear" w:color="000000" w:fill="FFFFFF"/>
            <w:noWrap/>
            <w:vAlign w:val="bottom"/>
          </w:tcPr>
          <w:p w14:paraId="65426372"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p>
        </w:tc>
      </w:tr>
      <w:tr w:rsidR="00744544" w:rsidRPr="00A66C9F" w14:paraId="61AB1796" w14:textId="77777777" w:rsidTr="00107D5D">
        <w:trPr>
          <w:cantSplit/>
        </w:trPr>
        <w:tc>
          <w:tcPr>
            <w:tcW w:w="1888" w:type="dxa"/>
            <w:gridSpan w:val="2"/>
            <w:shd w:val="clear" w:color="000000" w:fill="FFFFFF"/>
            <w:noWrap/>
            <w:vAlign w:val="bottom"/>
            <w:hideMark/>
          </w:tcPr>
          <w:p w14:paraId="4D051F78" w14:textId="77777777" w:rsidR="00744544" w:rsidRPr="00A66C9F" w:rsidRDefault="00744544" w:rsidP="00107D5D">
            <w:pPr>
              <w:tabs>
                <w:tab w:val="left" w:pos="288"/>
                <w:tab w:val="left" w:pos="576"/>
                <w:tab w:val="left" w:pos="864"/>
                <w:tab w:val="left" w:pos="1152"/>
              </w:tabs>
              <w:suppressAutoHyphens/>
              <w:spacing w:before="20" w:after="20" w:line="210" w:lineRule="exact"/>
              <w:ind w:right="40"/>
              <w:rPr>
                <w:sz w:val="17"/>
                <w:lang w:val="fr-FR"/>
              </w:rPr>
            </w:pPr>
            <w:r w:rsidRPr="00A66C9F">
              <w:rPr>
                <w:sz w:val="17"/>
                <w:lang w:val="fr-FR"/>
              </w:rPr>
              <w:tab/>
              <w:t>Postes</w:t>
            </w:r>
          </w:p>
        </w:tc>
        <w:tc>
          <w:tcPr>
            <w:tcW w:w="944" w:type="dxa"/>
            <w:shd w:val="clear" w:color="000000" w:fill="FFFFFF"/>
            <w:noWrap/>
            <w:vAlign w:val="bottom"/>
            <w:hideMark/>
          </w:tcPr>
          <w:p w14:paraId="58950AA5"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12 689,8 </w:t>
            </w:r>
          </w:p>
        </w:tc>
        <w:tc>
          <w:tcPr>
            <w:tcW w:w="944" w:type="dxa"/>
            <w:shd w:val="clear" w:color="000000" w:fill="FFFFFF"/>
            <w:noWrap/>
            <w:vAlign w:val="bottom"/>
            <w:hideMark/>
          </w:tcPr>
          <w:p w14:paraId="68C643CA"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19239326"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12 689,8 </w:t>
            </w:r>
          </w:p>
        </w:tc>
        <w:tc>
          <w:tcPr>
            <w:tcW w:w="944" w:type="dxa"/>
            <w:gridSpan w:val="2"/>
            <w:shd w:val="clear" w:color="000000" w:fill="FFFFFF"/>
            <w:noWrap/>
            <w:vAlign w:val="bottom"/>
            <w:hideMark/>
          </w:tcPr>
          <w:p w14:paraId="04D0C877"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(264,3)</w:t>
            </w:r>
          </w:p>
        </w:tc>
        <w:tc>
          <w:tcPr>
            <w:tcW w:w="944" w:type="dxa"/>
            <w:shd w:val="clear" w:color="000000" w:fill="FFFFFF"/>
            <w:noWrap/>
            <w:vAlign w:val="bottom"/>
            <w:hideMark/>
          </w:tcPr>
          <w:p w14:paraId="58A71E6C"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1E4700FC"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(264,3)</w:t>
            </w:r>
          </w:p>
        </w:tc>
        <w:tc>
          <w:tcPr>
            <w:tcW w:w="944" w:type="dxa"/>
            <w:gridSpan w:val="2"/>
            <w:shd w:val="clear" w:color="000000" w:fill="FFFFFF"/>
            <w:noWrap/>
            <w:vAlign w:val="bottom"/>
            <w:hideMark/>
          </w:tcPr>
          <w:p w14:paraId="24FD7EAB"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692,1 </w:t>
            </w:r>
          </w:p>
        </w:tc>
        <w:tc>
          <w:tcPr>
            <w:tcW w:w="944" w:type="dxa"/>
            <w:shd w:val="clear" w:color="000000" w:fill="FFFFFF"/>
            <w:noWrap/>
            <w:vAlign w:val="bottom"/>
            <w:hideMark/>
          </w:tcPr>
          <w:p w14:paraId="2BF125A9"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5D3E9F6E"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692,1 </w:t>
            </w:r>
          </w:p>
        </w:tc>
        <w:tc>
          <w:tcPr>
            <w:tcW w:w="944" w:type="dxa"/>
            <w:gridSpan w:val="2"/>
            <w:shd w:val="clear" w:color="000000" w:fill="FFFFFF"/>
            <w:noWrap/>
            <w:vAlign w:val="bottom"/>
            <w:hideMark/>
          </w:tcPr>
          <w:p w14:paraId="46773366"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13 117,6 </w:t>
            </w:r>
          </w:p>
        </w:tc>
        <w:tc>
          <w:tcPr>
            <w:tcW w:w="944" w:type="dxa"/>
            <w:shd w:val="clear" w:color="000000" w:fill="FFFFFF"/>
            <w:noWrap/>
            <w:vAlign w:val="bottom"/>
            <w:hideMark/>
          </w:tcPr>
          <w:p w14:paraId="65FBB43B"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043E3605"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13 117,6 </w:t>
            </w:r>
          </w:p>
        </w:tc>
      </w:tr>
      <w:tr w:rsidR="00744544" w:rsidRPr="00A66C9F" w14:paraId="13BE77B5" w14:textId="77777777" w:rsidTr="00107D5D">
        <w:trPr>
          <w:cantSplit/>
        </w:trPr>
        <w:tc>
          <w:tcPr>
            <w:tcW w:w="1888" w:type="dxa"/>
            <w:gridSpan w:val="2"/>
            <w:shd w:val="clear" w:color="000000" w:fill="FFFFFF"/>
            <w:noWrap/>
            <w:vAlign w:val="bottom"/>
            <w:hideMark/>
          </w:tcPr>
          <w:p w14:paraId="7BB4B10D" w14:textId="77777777" w:rsidR="00744544" w:rsidRPr="00A66C9F" w:rsidRDefault="00744544" w:rsidP="00107D5D">
            <w:pPr>
              <w:tabs>
                <w:tab w:val="left" w:pos="288"/>
                <w:tab w:val="left" w:pos="576"/>
                <w:tab w:val="left" w:pos="864"/>
                <w:tab w:val="left" w:pos="1152"/>
              </w:tabs>
              <w:suppressAutoHyphens/>
              <w:spacing w:before="20" w:after="20" w:line="210" w:lineRule="exact"/>
              <w:ind w:left="288" w:right="40" w:hanging="288"/>
              <w:rPr>
                <w:sz w:val="17"/>
                <w:lang w:val="fr-FR"/>
              </w:rPr>
            </w:pPr>
            <w:r w:rsidRPr="00A66C9F">
              <w:rPr>
                <w:sz w:val="17"/>
                <w:lang w:val="fr-FR"/>
              </w:rPr>
              <w:tab/>
              <w:t>Autres dépenses de personnel</w:t>
            </w:r>
          </w:p>
        </w:tc>
        <w:tc>
          <w:tcPr>
            <w:tcW w:w="944" w:type="dxa"/>
            <w:shd w:val="clear" w:color="000000" w:fill="FFFFFF"/>
            <w:noWrap/>
            <w:vAlign w:val="bottom"/>
            <w:hideMark/>
          </w:tcPr>
          <w:p w14:paraId="5DF93E93"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1 765,6 </w:t>
            </w:r>
          </w:p>
        </w:tc>
        <w:tc>
          <w:tcPr>
            <w:tcW w:w="944" w:type="dxa"/>
            <w:shd w:val="clear" w:color="000000" w:fill="FFFFFF"/>
            <w:noWrap/>
            <w:vAlign w:val="bottom"/>
            <w:hideMark/>
          </w:tcPr>
          <w:p w14:paraId="3DE27B2C"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 </w:t>
            </w:r>
          </w:p>
        </w:tc>
        <w:tc>
          <w:tcPr>
            <w:tcW w:w="944" w:type="dxa"/>
            <w:shd w:val="clear" w:color="000000" w:fill="FFFFFF"/>
            <w:noWrap/>
            <w:vAlign w:val="bottom"/>
            <w:hideMark/>
          </w:tcPr>
          <w:p w14:paraId="349C24CC"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1 765,6 </w:t>
            </w:r>
          </w:p>
        </w:tc>
        <w:tc>
          <w:tcPr>
            <w:tcW w:w="944" w:type="dxa"/>
            <w:gridSpan w:val="2"/>
            <w:shd w:val="clear" w:color="000000" w:fill="FFFFFF"/>
            <w:noWrap/>
            <w:vAlign w:val="bottom"/>
            <w:hideMark/>
          </w:tcPr>
          <w:p w14:paraId="653C6978"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666,8 </w:t>
            </w:r>
          </w:p>
        </w:tc>
        <w:tc>
          <w:tcPr>
            <w:tcW w:w="944" w:type="dxa"/>
            <w:shd w:val="clear" w:color="000000" w:fill="FFFFFF"/>
            <w:noWrap/>
            <w:vAlign w:val="bottom"/>
            <w:hideMark/>
          </w:tcPr>
          <w:p w14:paraId="59A705BF"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77945277"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666,8 </w:t>
            </w:r>
          </w:p>
        </w:tc>
        <w:tc>
          <w:tcPr>
            <w:tcW w:w="944" w:type="dxa"/>
            <w:gridSpan w:val="2"/>
            <w:shd w:val="clear" w:color="000000" w:fill="FFFFFF"/>
            <w:noWrap/>
            <w:vAlign w:val="bottom"/>
            <w:hideMark/>
          </w:tcPr>
          <w:p w14:paraId="102C9685"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608,0 </w:t>
            </w:r>
          </w:p>
        </w:tc>
        <w:tc>
          <w:tcPr>
            <w:tcW w:w="944" w:type="dxa"/>
            <w:shd w:val="clear" w:color="000000" w:fill="FFFFFF"/>
            <w:noWrap/>
            <w:vAlign w:val="bottom"/>
            <w:hideMark/>
          </w:tcPr>
          <w:p w14:paraId="19972663"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56A87509"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608,0 </w:t>
            </w:r>
          </w:p>
        </w:tc>
        <w:tc>
          <w:tcPr>
            <w:tcW w:w="944" w:type="dxa"/>
            <w:gridSpan w:val="2"/>
            <w:shd w:val="clear" w:color="000000" w:fill="FFFFFF"/>
            <w:noWrap/>
            <w:vAlign w:val="bottom"/>
            <w:hideMark/>
          </w:tcPr>
          <w:p w14:paraId="179EC8A4"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3 040,4 </w:t>
            </w:r>
          </w:p>
        </w:tc>
        <w:tc>
          <w:tcPr>
            <w:tcW w:w="944" w:type="dxa"/>
            <w:shd w:val="clear" w:color="000000" w:fill="FFFFFF"/>
            <w:noWrap/>
            <w:vAlign w:val="bottom"/>
            <w:hideMark/>
          </w:tcPr>
          <w:p w14:paraId="41840469"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00A9F8E7"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3 040,4 </w:t>
            </w:r>
          </w:p>
        </w:tc>
      </w:tr>
      <w:tr w:rsidR="00744544" w:rsidRPr="00A66C9F" w14:paraId="5CB24B47" w14:textId="77777777" w:rsidTr="00107D5D">
        <w:trPr>
          <w:cantSplit/>
        </w:trPr>
        <w:tc>
          <w:tcPr>
            <w:tcW w:w="1888" w:type="dxa"/>
            <w:gridSpan w:val="2"/>
            <w:shd w:val="clear" w:color="000000" w:fill="FFFFFF"/>
            <w:noWrap/>
            <w:vAlign w:val="bottom"/>
            <w:hideMark/>
          </w:tcPr>
          <w:p w14:paraId="0D0320AB" w14:textId="77777777" w:rsidR="00744544" w:rsidRPr="00A66C9F" w:rsidRDefault="00744544" w:rsidP="00107D5D">
            <w:pPr>
              <w:tabs>
                <w:tab w:val="left" w:pos="288"/>
                <w:tab w:val="left" w:pos="576"/>
                <w:tab w:val="left" w:pos="864"/>
                <w:tab w:val="left" w:pos="1152"/>
              </w:tabs>
              <w:suppressAutoHyphens/>
              <w:spacing w:before="20" w:after="20" w:line="210" w:lineRule="exact"/>
              <w:ind w:left="288" w:right="40" w:hanging="288"/>
              <w:rPr>
                <w:sz w:val="17"/>
                <w:lang w:val="fr-FR"/>
              </w:rPr>
            </w:pPr>
            <w:r w:rsidRPr="00A66C9F">
              <w:rPr>
                <w:sz w:val="17"/>
                <w:lang w:val="fr-FR"/>
              </w:rPr>
              <w:tab/>
              <w:t>Frais de représentation</w:t>
            </w:r>
          </w:p>
        </w:tc>
        <w:tc>
          <w:tcPr>
            <w:tcW w:w="944" w:type="dxa"/>
            <w:shd w:val="clear" w:color="000000" w:fill="FFFFFF"/>
            <w:noWrap/>
            <w:vAlign w:val="bottom"/>
            <w:hideMark/>
          </w:tcPr>
          <w:p w14:paraId="4C08EACB"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13,5</w:t>
            </w:r>
          </w:p>
        </w:tc>
        <w:tc>
          <w:tcPr>
            <w:tcW w:w="944" w:type="dxa"/>
            <w:shd w:val="clear" w:color="000000" w:fill="FFFFFF"/>
            <w:noWrap/>
            <w:vAlign w:val="bottom"/>
            <w:hideMark/>
          </w:tcPr>
          <w:p w14:paraId="0D244574"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43892AE3"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13,5</w:t>
            </w:r>
          </w:p>
        </w:tc>
        <w:tc>
          <w:tcPr>
            <w:tcW w:w="944" w:type="dxa"/>
            <w:gridSpan w:val="2"/>
            <w:shd w:val="clear" w:color="000000" w:fill="FFFFFF"/>
            <w:noWrap/>
            <w:vAlign w:val="bottom"/>
            <w:hideMark/>
          </w:tcPr>
          <w:p w14:paraId="003F25B4"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7,7</w:t>
            </w:r>
          </w:p>
        </w:tc>
        <w:tc>
          <w:tcPr>
            <w:tcW w:w="944" w:type="dxa"/>
            <w:shd w:val="clear" w:color="000000" w:fill="FFFFFF"/>
            <w:noWrap/>
            <w:vAlign w:val="bottom"/>
            <w:hideMark/>
          </w:tcPr>
          <w:p w14:paraId="119618B3"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463E483F"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7,7</w:t>
            </w:r>
          </w:p>
        </w:tc>
        <w:tc>
          <w:tcPr>
            <w:tcW w:w="944" w:type="dxa"/>
            <w:gridSpan w:val="2"/>
            <w:shd w:val="clear" w:color="000000" w:fill="FFFFFF"/>
            <w:noWrap/>
            <w:vAlign w:val="bottom"/>
            <w:hideMark/>
          </w:tcPr>
          <w:p w14:paraId="5E666A17"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1A00D22B"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2C8B7EFC"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w:t>
            </w:r>
          </w:p>
        </w:tc>
        <w:tc>
          <w:tcPr>
            <w:tcW w:w="944" w:type="dxa"/>
            <w:gridSpan w:val="2"/>
            <w:shd w:val="clear" w:color="000000" w:fill="FFFFFF"/>
            <w:noWrap/>
            <w:vAlign w:val="bottom"/>
            <w:hideMark/>
          </w:tcPr>
          <w:p w14:paraId="7E934855"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21,2</w:t>
            </w:r>
          </w:p>
        </w:tc>
        <w:tc>
          <w:tcPr>
            <w:tcW w:w="944" w:type="dxa"/>
            <w:shd w:val="clear" w:color="000000" w:fill="FFFFFF"/>
            <w:noWrap/>
            <w:vAlign w:val="bottom"/>
            <w:hideMark/>
          </w:tcPr>
          <w:p w14:paraId="734AED52"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1C7F5A27"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21,2</w:t>
            </w:r>
          </w:p>
        </w:tc>
      </w:tr>
      <w:tr w:rsidR="00744544" w:rsidRPr="00A66C9F" w14:paraId="1431EB74" w14:textId="77777777" w:rsidTr="00107D5D">
        <w:trPr>
          <w:cantSplit/>
        </w:trPr>
        <w:tc>
          <w:tcPr>
            <w:tcW w:w="1888" w:type="dxa"/>
            <w:gridSpan w:val="2"/>
            <w:shd w:val="clear" w:color="000000" w:fill="FFFFFF"/>
            <w:noWrap/>
            <w:vAlign w:val="bottom"/>
            <w:hideMark/>
          </w:tcPr>
          <w:p w14:paraId="3EFEDD14" w14:textId="77777777" w:rsidR="00744544" w:rsidRPr="00A66C9F" w:rsidRDefault="00744544" w:rsidP="00107D5D">
            <w:pPr>
              <w:tabs>
                <w:tab w:val="left" w:pos="288"/>
                <w:tab w:val="left" w:pos="576"/>
                <w:tab w:val="left" w:pos="864"/>
                <w:tab w:val="left" w:pos="1152"/>
              </w:tabs>
              <w:suppressAutoHyphens/>
              <w:spacing w:before="20" w:after="20" w:line="210" w:lineRule="exact"/>
              <w:ind w:right="40"/>
              <w:rPr>
                <w:sz w:val="17"/>
                <w:lang w:val="fr-FR"/>
              </w:rPr>
            </w:pPr>
            <w:r w:rsidRPr="00A66C9F">
              <w:rPr>
                <w:sz w:val="17"/>
                <w:lang w:val="fr-FR"/>
              </w:rPr>
              <w:tab/>
              <w:t>Consultants</w:t>
            </w:r>
          </w:p>
        </w:tc>
        <w:tc>
          <w:tcPr>
            <w:tcW w:w="944" w:type="dxa"/>
            <w:shd w:val="clear" w:color="000000" w:fill="FFFFFF"/>
            <w:noWrap/>
            <w:vAlign w:val="bottom"/>
            <w:hideMark/>
          </w:tcPr>
          <w:p w14:paraId="52740C86"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504,5 </w:t>
            </w:r>
          </w:p>
        </w:tc>
        <w:tc>
          <w:tcPr>
            <w:tcW w:w="944" w:type="dxa"/>
            <w:shd w:val="clear" w:color="000000" w:fill="FFFFFF"/>
            <w:noWrap/>
            <w:vAlign w:val="bottom"/>
            <w:hideMark/>
          </w:tcPr>
          <w:p w14:paraId="49115CBA"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3A1F2290"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504,5 </w:t>
            </w:r>
          </w:p>
        </w:tc>
        <w:tc>
          <w:tcPr>
            <w:tcW w:w="944" w:type="dxa"/>
            <w:gridSpan w:val="2"/>
            <w:shd w:val="clear" w:color="000000" w:fill="FFFFFF"/>
            <w:noWrap/>
            <w:vAlign w:val="bottom"/>
            <w:hideMark/>
          </w:tcPr>
          <w:p w14:paraId="577DC3BB"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241,2</w:t>
            </w:r>
          </w:p>
        </w:tc>
        <w:tc>
          <w:tcPr>
            <w:tcW w:w="944" w:type="dxa"/>
            <w:shd w:val="clear" w:color="000000" w:fill="FFFFFF"/>
            <w:noWrap/>
            <w:vAlign w:val="bottom"/>
            <w:hideMark/>
          </w:tcPr>
          <w:p w14:paraId="0ECAB979"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123A16F3"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241,2</w:t>
            </w:r>
          </w:p>
        </w:tc>
        <w:tc>
          <w:tcPr>
            <w:tcW w:w="944" w:type="dxa"/>
            <w:gridSpan w:val="2"/>
            <w:shd w:val="clear" w:color="000000" w:fill="FFFFFF"/>
            <w:noWrap/>
            <w:vAlign w:val="bottom"/>
            <w:hideMark/>
          </w:tcPr>
          <w:p w14:paraId="598F2066"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(207,5)</w:t>
            </w:r>
          </w:p>
        </w:tc>
        <w:tc>
          <w:tcPr>
            <w:tcW w:w="944" w:type="dxa"/>
            <w:shd w:val="clear" w:color="000000" w:fill="FFFFFF"/>
            <w:noWrap/>
            <w:vAlign w:val="bottom"/>
            <w:hideMark/>
          </w:tcPr>
          <w:p w14:paraId="62DAC4C4"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7DBB79A0"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(207,5)</w:t>
            </w:r>
          </w:p>
        </w:tc>
        <w:tc>
          <w:tcPr>
            <w:tcW w:w="944" w:type="dxa"/>
            <w:gridSpan w:val="2"/>
            <w:shd w:val="clear" w:color="000000" w:fill="FFFFFF"/>
            <w:noWrap/>
            <w:vAlign w:val="bottom"/>
            <w:hideMark/>
          </w:tcPr>
          <w:p w14:paraId="1C35FAF2"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538,2 </w:t>
            </w:r>
          </w:p>
        </w:tc>
        <w:tc>
          <w:tcPr>
            <w:tcW w:w="944" w:type="dxa"/>
            <w:shd w:val="clear" w:color="000000" w:fill="FFFFFF"/>
            <w:noWrap/>
            <w:vAlign w:val="bottom"/>
            <w:hideMark/>
          </w:tcPr>
          <w:p w14:paraId="5DE8C74A"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4632569F"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538,2 </w:t>
            </w:r>
          </w:p>
        </w:tc>
      </w:tr>
      <w:tr w:rsidR="00744544" w:rsidRPr="00A66C9F" w14:paraId="35EA98F9" w14:textId="77777777" w:rsidTr="00107D5D">
        <w:trPr>
          <w:cantSplit/>
        </w:trPr>
        <w:tc>
          <w:tcPr>
            <w:tcW w:w="1888" w:type="dxa"/>
            <w:gridSpan w:val="2"/>
            <w:shd w:val="clear" w:color="000000" w:fill="FFFFFF"/>
            <w:noWrap/>
            <w:vAlign w:val="bottom"/>
            <w:hideMark/>
          </w:tcPr>
          <w:p w14:paraId="5A2284E0" w14:textId="77777777" w:rsidR="00744544" w:rsidRPr="00A66C9F" w:rsidRDefault="00744544" w:rsidP="00107D5D">
            <w:pPr>
              <w:tabs>
                <w:tab w:val="left" w:pos="288"/>
                <w:tab w:val="left" w:pos="576"/>
                <w:tab w:val="left" w:pos="864"/>
                <w:tab w:val="left" w:pos="1152"/>
              </w:tabs>
              <w:suppressAutoHyphens/>
              <w:spacing w:before="20" w:after="20" w:line="210" w:lineRule="exact"/>
              <w:ind w:left="288" w:right="40" w:hanging="288"/>
              <w:rPr>
                <w:sz w:val="17"/>
                <w:lang w:val="fr-FR"/>
              </w:rPr>
            </w:pPr>
            <w:r w:rsidRPr="00A66C9F">
              <w:rPr>
                <w:sz w:val="17"/>
                <w:lang w:val="fr-FR"/>
              </w:rPr>
              <w:tab/>
              <w:t>Voyages des représentants</w:t>
            </w:r>
            <w:r w:rsidRPr="00A66C9F">
              <w:rPr>
                <w:i/>
                <w:iCs/>
                <w:sz w:val="17"/>
                <w:vertAlign w:val="superscript"/>
                <w:lang w:val="fr-FR"/>
              </w:rPr>
              <w:t>a</w:t>
            </w:r>
          </w:p>
        </w:tc>
        <w:tc>
          <w:tcPr>
            <w:tcW w:w="944" w:type="dxa"/>
            <w:shd w:val="clear" w:color="000000" w:fill="FFFFFF"/>
            <w:noWrap/>
            <w:vAlign w:val="bottom"/>
            <w:hideMark/>
          </w:tcPr>
          <w:p w14:paraId="79506701"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355,9</w:t>
            </w:r>
          </w:p>
        </w:tc>
        <w:tc>
          <w:tcPr>
            <w:tcW w:w="944" w:type="dxa"/>
            <w:shd w:val="clear" w:color="000000" w:fill="FFFFFF"/>
            <w:noWrap/>
            <w:vAlign w:val="bottom"/>
            <w:hideMark/>
          </w:tcPr>
          <w:p w14:paraId="1C8C8534"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55DEEED6"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355,9</w:t>
            </w:r>
          </w:p>
        </w:tc>
        <w:tc>
          <w:tcPr>
            <w:tcW w:w="944" w:type="dxa"/>
            <w:gridSpan w:val="2"/>
            <w:shd w:val="clear" w:color="000000" w:fill="FFFFFF"/>
            <w:noWrap/>
            <w:vAlign w:val="bottom"/>
            <w:hideMark/>
          </w:tcPr>
          <w:p w14:paraId="647D6480"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136,9</w:t>
            </w:r>
          </w:p>
        </w:tc>
        <w:tc>
          <w:tcPr>
            <w:tcW w:w="944" w:type="dxa"/>
            <w:shd w:val="clear" w:color="000000" w:fill="FFFFFF"/>
            <w:noWrap/>
            <w:vAlign w:val="bottom"/>
            <w:hideMark/>
          </w:tcPr>
          <w:p w14:paraId="39857DC2"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51364D99"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136,9</w:t>
            </w:r>
          </w:p>
        </w:tc>
        <w:tc>
          <w:tcPr>
            <w:tcW w:w="944" w:type="dxa"/>
            <w:gridSpan w:val="2"/>
            <w:shd w:val="clear" w:color="000000" w:fill="FFFFFF"/>
            <w:noWrap/>
            <w:vAlign w:val="bottom"/>
            <w:hideMark/>
          </w:tcPr>
          <w:p w14:paraId="2B4BC36B"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(98,2)</w:t>
            </w:r>
          </w:p>
        </w:tc>
        <w:tc>
          <w:tcPr>
            <w:tcW w:w="944" w:type="dxa"/>
            <w:shd w:val="clear" w:color="000000" w:fill="FFFFFF"/>
            <w:noWrap/>
            <w:vAlign w:val="bottom"/>
            <w:hideMark/>
          </w:tcPr>
          <w:p w14:paraId="1494BBBC"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28F2E94D"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(98,2)</w:t>
            </w:r>
          </w:p>
        </w:tc>
        <w:tc>
          <w:tcPr>
            <w:tcW w:w="944" w:type="dxa"/>
            <w:gridSpan w:val="2"/>
            <w:shd w:val="clear" w:color="000000" w:fill="FFFFFF"/>
            <w:noWrap/>
            <w:vAlign w:val="bottom"/>
            <w:hideMark/>
          </w:tcPr>
          <w:p w14:paraId="09ECE5D3"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394,6</w:t>
            </w:r>
          </w:p>
        </w:tc>
        <w:tc>
          <w:tcPr>
            <w:tcW w:w="944" w:type="dxa"/>
            <w:shd w:val="clear" w:color="000000" w:fill="FFFFFF"/>
            <w:noWrap/>
            <w:vAlign w:val="bottom"/>
            <w:hideMark/>
          </w:tcPr>
          <w:p w14:paraId="603981A1"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192EDD40"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394,6</w:t>
            </w:r>
          </w:p>
        </w:tc>
      </w:tr>
      <w:tr w:rsidR="00744544" w:rsidRPr="00A66C9F" w14:paraId="2329E36D" w14:textId="77777777" w:rsidTr="00107D5D">
        <w:trPr>
          <w:cantSplit/>
        </w:trPr>
        <w:tc>
          <w:tcPr>
            <w:tcW w:w="1888" w:type="dxa"/>
            <w:gridSpan w:val="2"/>
            <w:shd w:val="clear" w:color="000000" w:fill="FFFFFF"/>
            <w:noWrap/>
            <w:vAlign w:val="bottom"/>
            <w:hideMark/>
          </w:tcPr>
          <w:p w14:paraId="03FB4F31" w14:textId="77777777" w:rsidR="00744544" w:rsidRPr="00A66C9F" w:rsidRDefault="00744544" w:rsidP="00107D5D">
            <w:pPr>
              <w:tabs>
                <w:tab w:val="left" w:pos="288"/>
                <w:tab w:val="left" w:pos="576"/>
                <w:tab w:val="left" w:pos="864"/>
                <w:tab w:val="left" w:pos="1152"/>
              </w:tabs>
              <w:suppressAutoHyphens/>
              <w:spacing w:before="20" w:after="20" w:line="210" w:lineRule="exact"/>
              <w:ind w:left="288" w:right="40" w:hanging="288"/>
              <w:rPr>
                <w:sz w:val="17"/>
                <w:lang w:val="fr-FR"/>
              </w:rPr>
            </w:pPr>
            <w:r w:rsidRPr="00A66C9F">
              <w:rPr>
                <w:sz w:val="17"/>
                <w:lang w:val="fr-FR"/>
              </w:rPr>
              <w:tab/>
              <w:t>Voyages du personnel</w:t>
            </w:r>
          </w:p>
        </w:tc>
        <w:tc>
          <w:tcPr>
            <w:tcW w:w="944" w:type="dxa"/>
            <w:shd w:val="clear" w:color="000000" w:fill="FFFFFF"/>
            <w:noWrap/>
            <w:vAlign w:val="bottom"/>
            <w:hideMark/>
          </w:tcPr>
          <w:p w14:paraId="5B19D042"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707,2 </w:t>
            </w:r>
          </w:p>
        </w:tc>
        <w:tc>
          <w:tcPr>
            <w:tcW w:w="944" w:type="dxa"/>
            <w:shd w:val="clear" w:color="000000" w:fill="FFFFFF"/>
            <w:noWrap/>
            <w:vAlign w:val="bottom"/>
            <w:hideMark/>
          </w:tcPr>
          <w:p w14:paraId="08575C6E"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1A81A362"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707,2 </w:t>
            </w:r>
          </w:p>
        </w:tc>
        <w:tc>
          <w:tcPr>
            <w:tcW w:w="944" w:type="dxa"/>
            <w:gridSpan w:val="2"/>
            <w:shd w:val="clear" w:color="000000" w:fill="FFFFFF"/>
            <w:noWrap/>
            <w:vAlign w:val="bottom"/>
            <w:hideMark/>
          </w:tcPr>
          <w:p w14:paraId="7A659BA6"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290,9</w:t>
            </w:r>
          </w:p>
        </w:tc>
        <w:tc>
          <w:tcPr>
            <w:tcW w:w="944" w:type="dxa"/>
            <w:shd w:val="clear" w:color="000000" w:fill="FFFFFF"/>
            <w:noWrap/>
            <w:vAlign w:val="bottom"/>
            <w:hideMark/>
          </w:tcPr>
          <w:p w14:paraId="27112039"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570DFA5B"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290,9</w:t>
            </w:r>
          </w:p>
        </w:tc>
        <w:tc>
          <w:tcPr>
            <w:tcW w:w="944" w:type="dxa"/>
            <w:gridSpan w:val="2"/>
            <w:shd w:val="clear" w:color="000000" w:fill="FFFFFF"/>
            <w:noWrap/>
            <w:vAlign w:val="bottom"/>
            <w:hideMark/>
          </w:tcPr>
          <w:p w14:paraId="4E4A521E"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143D39AB"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0BDA16C3"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w:t>
            </w:r>
          </w:p>
        </w:tc>
        <w:tc>
          <w:tcPr>
            <w:tcW w:w="944" w:type="dxa"/>
            <w:gridSpan w:val="2"/>
            <w:shd w:val="clear" w:color="000000" w:fill="FFFFFF"/>
            <w:noWrap/>
            <w:vAlign w:val="bottom"/>
            <w:hideMark/>
          </w:tcPr>
          <w:p w14:paraId="48A7EED0"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998,1 </w:t>
            </w:r>
          </w:p>
        </w:tc>
        <w:tc>
          <w:tcPr>
            <w:tcW w:w="944" w:type="dxa"/>
            <w:shd w:val="clear" w:color="000000" w:fill="FFFFFF"/>
            <w:noWrap/>
            <w:vAlign w:val="bottom"/>
            <w:hideMark/>
          </w:tcPr>
          <w:p w14:paraId="6D816F56"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199924EA"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998,1 </w:t>
            </w:r>
          </w:p>
        </w:tc>
      </w:tr>
      <w:tr w:rsidR="00744544" w:rsidRPr="00A66C9F" w14:paraId="432F85D0" w14:textId="77777777" w:rsidTr="00107D5D">
        <w:trPr>
          <w:cantSplit/>
        </w:trPr>
        <w:tc>
          <w:tcPr>
            <w:tcW w:w="1888" w:type="dxa"/>
            <w:gridSpan w:val="2"/>
            <w:shd w:val="clear" w:color="000000" w:fill="FFFFFF"/>
            <w:noWrap/>
            <w:vAlign w:val="bottom"/>
            <w:hideMark/>
          </w:tcPr>
          <w:p w14:paraId="19068BD7" w14:textId="77777777" w:rsidR="00744544" w:rsidRPr="00A66C9F" w:rsidRDefault="00744544" w:rsidP="00107D5D">
            <w:pPr>
              <w:tabs>
                <w:tab w:val="left" w:pos="288"/>
                <w:tab w:val="left" w:pos="576"/>
                <w:tab w:val="left" w:pos="864"/>
                <w:tab w:val="left" w:pos="1152"/>
              </w:tabs>
              <w:suppressAutoHyphens/>
              <w:spacing w:before="20" w:after="20" w:line="210" w:lineRule="exact"/>
              <w:ind w:left="288" w:right="40" w:hanging="288"/>
              <w:rPr>
                <w:sz w:val="17"/>
                <w:lang w:val="fr-FR"/>
              </w:rPr>
            </w:pPr>
            <w:r w:rsidRPr="00A66C9F">
              <w:rPr>
                <w:sz w:val="17"/>
                <w:lang w:val="fr-FR"/>
              </w:rPr>
              <w:tab/>
              <w:t>Services contractuels</w:t>
            </w:r>
          </w:p>
        </w:tc>
        <w:tc>
          <w:tcPr>
            <w:tcW w:w="944" w:type="dxa"/>
            <w:shd w:val="clear" w:color="000000" w:fill="FFFFFF"/>
            <w:noWrap/>
            <w:vAlign w:val="bottom"/>
            <w:hideMark/>
          </w:tcPr>
          <w:p w14:paraId="2B2F7646"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22 884,5 </w:t>
            </w:r>
          </w:p>
        </w:tc>
        <w:tc>
          <w:tcPr>
            <w:tcW w:w="944" w:type="dxa"/>
            <w:shd w:val="clear" w:color="000000" w:fill="FFFFFF"/>
            <w:noWrap/>
            <w:vAlign w:val="bottom"/>
            <w:hideMark/>
          </w:tcPr>
          <w:p w14:paraId="56D913A0"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60D2C3CE"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22 884,5 </w:t>
            </w:r>
          </w:p>
        </w:tc>
        <w:tc>
          <w:tcPr>
            <w:tcW w:w="944" w:type="dxa"/>
            <w:gridSpan w:val="2"/>
            <w:shd w:val="clear" w:color="000000" w:fill="FFFFFF"/>
            <w:noWrap/>
            <w:vAlign w:val="bottom"/>
            <w:hideMark/>
          </w:tcPr>
          <w:p w14:paraId="10AE9825"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6 237,8 </w:t>
            </w:r>
          </w:p>
        </w:tc>
        <w:tc>
          <w:tcPr>
            <w:tcW w:w="944" w:type="dxa"/>
            <w:shd w:val="clear" w:color="000000" w:fill="FFFFFF"/>
            <w:noWrap/>
            <w:vAlign w:val="bottom"/>
            <w:hideMark/>
          </w:tcPr>
          <w:p w14:paraId="150F82E9"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0F1DD25B"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6 237,8 </w:t>
            </w:r>
          </w:p>
        </w:tc>
        <w:tc>
          <w:tcPr>
            <w:tcW w:w="944" w:type="dxa"/>
            <w:gridSpan w:val="2"/>
            <w:shd w:val="clear" w:color="000000" w:fill="FFFFFF"/>
            <w:noWrap/>
            <w:vAlign w:val="bottom"/>
            <w:hideMark/>
          </w:tcPr>
          <w:p w14:paraId="061B98E5"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(6 460,9)</w:t>
            </w:r>
          </w:p>
        </w:tc>
        <w:tc>
          <w:tcPr>
            <w:tcW w:w="944" w:type="dxa"/>
            <w:shd w:val="clear" w:color="000000" w:fill="FFFFFF"/>
            <w:noWrap/>
            <w:vAlign w:val="bottom"/>
            <w:hideMark/>
          </w:tcPr>
          <w:p w14:paraId="6BC546A1"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0A338C99"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(6 460,9)</w:t>
            </w:r>
          </w:p>
        </w:tc>
        <w:tc>
          <w:tcPr>
            <w:tcW w:w="944" w:type="dxa"/>
            <w:gridSpan w:val="2"/>
            <w:shd w:val="clear" w:color="000000" w:fill="FFFFFF"/>
            <w:noWrap/>
            <w:vAlign w:val="bottom"/>
            <w:hideMark/>
          </w:tcPr>
          <w:p w14:paraId="76A571AA"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22 661,4 </w:t>
            </w:r>
          </w:p>
        </w:tc>
        <w:tc>
          <w:tcPr>
            <w:tcW w:w="944" w:type="dxa"/>
            <w:shd w:val="clear" w:color="000000" w:fill="FFFFFF"/>
            <w:noWrap/>
            <w:vAlign w:val="bottom"/>
            <w:hideMark/>
          </w:tcPr>
          <w:p w14:paraId="44068DC7"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4A79F16B"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22 661,4 </w:t>
            </w:r>
          </w:p>
        </w:tc>
      </w:tr>
      <w:tr w:rsidR="00744544" w:rsidRPr="00A66C9F" w14:paraId="2B442931" w14:textId="77777777" w:rsidTr="00107D5D">
        <w:trPr>
          <w:cantSplit/>
        </w:trPr>
        <w:tc>
          <w:tcPr>
            <w:tcW w:w="1888" w:type="dxa"/>
            <w:gridSpan w:val="2"/>
            <w:shd w:val="clear" w:color="000000" w:fill="FFFFFF"/>
            <w:noWrap/>
            <w:vAlign w:val="bottom"/>
            <w:hideMark/>
          </w:tcPr>
          <w:p w14:paraId="112D64A4" w14:textId="77777777" w:rsidR="00744544" w:rsidRPr="00A66C9F" w:rsidRDefault="00744544" w:rsidP="00107D5D">
            <w:pPr>
              <w:tabs>
                <w:tab w:val="left" w:pos="288"/>
                <w:tab w:val="left" w:pos="576"/>
                <w:tab w:val="left" w:pos="864"/>
                <w:tab w:val="left" w:pos="1152"/>
              </w:tabs>
              <w:suppressAutoHyphens/>
              <w:spacing w:before="20" w:after="20" w:line="210" w:lineRule="exact"/>
              <w:ind w:left="288" w:right="40" w:hanging="288"/>
              <w:rPr>
                <w:sz w:val="17"/>
                <w:lang w:val="fr-FR"/>
              </w:rPr>
            </w:pPr>
            <w:r w:rsidRPr="00A66C9F">
              <w:rPr>
                <w:sz w:val="17"/>
                <w:lang w:val="fr-FR"/>
              </w:rPr>
              <w:tab/>
              <w:t>Frais généraux de fonctionnement</w:t>
            </w:r>
          </w:p>
        </w:tc>
        <w:tc>
          <w:tcPr>
            <w:tcW w:w="944" w:type="dxa"/>
            <w:shd w:val="clear" w:color="000000" w:fill="FFFFFF"/>
            <w:noWrap/>
            <w:vAlign w:val="bottom"/>
            <w:hideMark/>
          </w:tcPr>
          <w:p w14:paraId="157AA685"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4 193,8 </w:t>
            </w:r>
          </w:p>
        </w:tc>
        <w:tc>
          <w:tcPr>
            <w:tcW w:w="944" w:type="dxa"/>
            <w:shd w:val="clear" w:color="000000" w:fill="FFFFFF"/>
            <w:noWrap/>
            <w:vAlign w:val="bottom"/>
            <w:hideMark/>
          </w:tcPr>
          <w:p w14:paraId="1D5305F9"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1518EA24"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4 193,8 </w:t>
            </w:r>
          </w:p>
        </w:tc>
        <w:tc>
          <w:tcPr>
            <w:tcW w:w="944" w:type="dxa"/>
            <w:gridSpan w:val="2"/>
            <w:shd w:val="clear" w:color="000000" w:fill="FFFFFF"/>
            <w:noWrap/>
            <w:vAlign w:val="bottom"/>
            <w:hideMark/>
          </w:tcPr>
          <w:p w14:paraId="77DB21E5"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(300,6)</w:t>
            </w:r>
          </w:p>
        </w:tc>
        <w:tc>
          <w:tcPr>
            <w:tcW w:w="944" w:type="dxa"/>
            <w:shd w:val="clear" w:color="000000" w:fill="FFFFFF"/>
            <w:noWrap/>
            <w:vAlign w:val="bottom"/>
            <w:hideMark/>
          </w:tcPr>
          <w:p w14:paraId="2CB03E96"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005DC5A8"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(300,6)</w:t>
            </w:r>
          </w:p>
        </w:tc>
        <w:tc>
          <w:tcPr>
            <w:tcW w:w="944" w:type="dxa"/>
            <w:gridSpan w:val="2"/>
            <w:shd w:val="clear" w:color="000000" w:fill="FFFFFF"/>
            <w:noWrap/>
            <w:vAlign w:val="bottom"/>
            <w:hideMark/>
          </w:tcPr>
          <w:p w14:paraId="2874643F"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(2 073,3)</w:t>
            </w:r>
          </w:p>
        </w:tc>
        <w:tc>
          <w:tcPr>
            <w:tcW w:w="944" w:type="dxa"/>
            <w:shd w:val="clear" w:color="000000" w:fill="FFFFFF"/>
            <w:noWrap/>
            <w:vAlign w:val="bottom"/>
            <w:hideMark/>
          </w:tcPr>
          <w:p w14:paraId="143690CB"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0C5D7DB0"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(2 073,3)</w:t>
            </w:r>
          </w:p>
        </w:tc>
        <w:tc>
          <w:tcPr>
            <w:tcW w:w="944" w:type="dxa"/>
            <w:gridSpan w:val="2"/>
            <w:shd w:val="clear" w:color="000000" w:fill="FFFFFF"/>
            <w:noWrap/>
            <w:vAlign w:val="bottom"/>
            <w:hideMark/>
          </w:tcPr>
          <w:p w14:paraId="79AB766A"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1 819,9 </w:t>
            </w:r>
          </w:p>
        </w:tc>
        <w:tc>
          <w:tcPr>
            <w:tcW w:w="944" w:type="dxa"/>
            <w:shd w:val="clear" w:color="000000" w:fill="FFFFFF"/>
            <w:noWrap/>
            <w:vAlign w:val="bottom"/>
            <w:hideMark/>
          </w:tcPr>
          <w:p w14:paraId="41EACA87"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676866FF"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1 819,9 </w:t>
            </w:r>
          </w:p>
        </w:tc>
      </w:tr>
      <w:tr w:rsidR="00744544" w:rsidRPr="00A66C9F" w14:paraId="67B5F1C8" w14:textId="77777777" w:rsidTr="00107D5D">
        <w:trPr>
          <w:cantSplit/>
        </w:trPr>
        <w:tc>
          <w:tcPr>
            <w:tcW w:w="1888" w:type="dxa"/>
            <w:gridSpan w:val="2"/>
            <w:shd w:val="clear" w:color="000000" w:fill="FFFFFF"/>
            <w:noWrap/>
            <w:vAlign w:val="bottom"/>
            <w:hideMark/>
          </w:tcPr>
          <w:p w14:paraId="70ED0D7F" w14:textId="77777777" w:rsidR="00744544" w:rsidRPr="00A66C9F" w:rsidRDefault="00744544" w:rsidP="00107D5D">
            <w:pPr>
              <w:tabs>
                <w:tab w:val="left" w:pos="288"/>
                <w:tab w:val="left" w:pos="576"/>
                <w:tab w:val="left" w:pos="864"/>
                <w:tab w:val="left" w:pos="1152"/>
              </w:tabs>
              <w:suppressAutoHyphens/>
              <w:spacing w:before="20" w:after="20" w:line="210" w:lineRule="exact"/>
              <w:ind w:left="288" w:right="40" w:hanging="288"/>
              <w:rPr>
                <w:sz w:val="17"/>
                <w:lang w:val="fr-FR"/>
              </w:rPr>
            </w:pPr>
            <w:r w:rsidRPr="00A66C9F">
              <w:rPr>
                <w:sz w:val="17"/>
                <w:lang w:val="fr-FR"/>
              </w:rPr>
              <w:tab/>
              <w:t>Fournitures et accessoires</w:t>
            </w:r>
          </w:p>
        </w:tc>
        <w:tc>
          <w:tcPr>
            <w:tcW w:w="944" w:type="dxa"/>
            <w:shd w:val="clear" w:color="000000" w:fill="FFFFFF"/>
            <w:noWrap/>
            <w:vAlign w:val="bottom"/>
            <w:hideMark/>
          </w:tcPr>
          <w:p w14:paraId="512BB307"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31,3</w:t>
            </w:r>
          </w:p>
        </w:tc>
        <w:tc>
          <w:tcPr>
            <w:tcW w:w="944" w:type="dxa"/>
            <w:shd w:val="clear" w:color="000000" w:fill="FFFFFF"/>
            <w:noWrap/>
            <w:vAlign w:val="bottom"/>
            <w:hideMark/>
          </w:tcPr>
          <w:p w14:paraId="147FF0FB"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0B4C9412"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31,3</w:t>
            </w:r>
          </w:p>
        </w:tc>
        <w:tc>
          <w:tcPr>
            <w:tcW w:w="944" w:type="dxa"/>
            <w:gridSpan w:val="2"/>
            <w:shd w:val="clear" w:color="000000" w:fill="FFFFFF"/>
            <w:noWrap/>
            <w:vAlign w:val="bottom"/>
            <w:hideMark/>
          </w:tcPr>
          <w:p w14:paraId="13D92393"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(1,9)</w:t>
            </w:r>
          </w:p>
        </w:tc>
        <w:tc>
          <w:tcPr>
            <w:tcW w:w="944" w:type="dxa"/>
            <w:shd w:val="clear" w:color="000000" w:fill="FFFFFF"/>
            <w:noWrap/>
            <w:vAlign w:val="bottom"/>
            <w:hideMark/>
          </w:tcPr>
          <w:p w14:paraId="0C367840"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20AFEB6B"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(1,9)</w:t>
            </w:r>
          </w:p>
        </w:tc>
        <w:tc>
          <w:tcPr>
            <w:tcW w:w="944" w:type="dxa"/>
            <w:gridSpan w:val="2"/>
            <w:shd w:val="clear" w:color="000000" w:fill="FFFFFF"/>
            <w:noWrap/>
            <w:vAlign w:val="bottom"/>
            <w:hideMark/>
          </w:tcPr>
          <w:p w14:paraId="17E73C3E"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0,5 </w:t>
            </w:r>
          </w:p>
        </w:tc>
        <w:tc>
          <w:tcPr>
            <w:tcW w:w="944" w:type="dxa"/>
            <w:shd w:val="clear" w:color="000000" w:fill="FFFFFF"/>
            <w:noWrap/>
            <w:vAlign w:val="bottom"/>
            <w:hideMark/>
          </w:tcPr>
          <w:p w14:paraId="1CFEDE3B"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78A050C0"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0,5 </w:t>
            </w:r>
          </w:p>
        </w:tc>
        <w:tc>
          <w:tcPr>
            <w:tcW w:w="944" w:type="dxa"/>
            <w:gridSpan w:val="2"/>
            <w:shd w:val="clear" w:color="000000" w:fill="FFFFFF"/>
            <w:noWrap/>
            <w:vAlign w:val="bottom"/>
            <w:hideMark/>
          </w:tcPr>
          <w:p w14:paraId="3946D55B"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29,9</w:t>
            </w:r>
          </w:p>
        </w:tc>
        <w:tc>
          <w:tcPr>
            <w:tcW w:w="944" w:type="dxa"/>
            <w:shd w:val="clear" w:color="000000" w:fill="FFFFFF"/>
            <w:noWrap/>
            <w:vAlign w:val="bottom"/>
            <w:hideMark/>
          </w:tcPr>
          <w:p w14:paraId="6D73C46B"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0D433E33" w14:textId="77777777" w:rsidR="00744544" w:rsidRPr="00A66C9F" w:rsidRDefault="00744544" w:rsidP="00107D5D">
            <w:pPr>
              <w:tabs>
                <w:tab w:val="left" w:pos="288"/>
                <w:tab w:val="left" w:pos="576"/>
                <w:tab w:val="left" w:pos="864"/>
                <w:tab w:val="left" w:pos="1152"/>
              </w:tabs>
              <w:suppressAutoHyphens/>
              <w:spacing w:before="20" w:after="20" w:line="210" w:lineRule="exact"/>
              <w:ind w:right="43"/>
              <w:jc w:val="right"/>
              <w:rPr>
                <w:sz w:val="17"/>
                <w:lang w:val="fr-FR"/>
              </w:rPr>
            </w:pPr>
            <w:r w:rsidRPr="00A66C9F">
              <w:rPr>
                <w:sz w:val="17"/>
                <w:lang w:val="fr-FR"/>
              </w:rPr>
              <w:t>29,9</w:t>
            </w:r>
          </w:p>
        </w:tc>
      </w:tr>
      <w:tr w:rsidR="00744544" w:rsidRPr="00A66C9F" w14:paraId="017348C5" w14:textId="77777777" w:rsidTr="00107D5D">
        <w:trPr>
          <w:cantSplit/>
        </w:trPr>
        <w:tc>
          <w:tcPr>
            <w:tcW w:w="1888" w:type="dxa"/>
            <w:gridSpan w:val="2"/>
            <w:tcBorders>
              <w:bottom w:val="single" w:sz="4" w:space="0" w:color="auto"/>
            </w:tcBorders>
            <w:shd w:val="clear" w:color="000000" w:fill="FFFFFF"/>
            <w:noWrap/>
            <w:vAlign w:val="bottom"/>
            <w:hideMark/>
          </w:tcPr>
          <w:p w14:paraId="4A097BE5" w14:textId="77777777" w:rsidR="00744544" w:rsidRPr="00A66C9F" w:rsidRDefault="00744544" w:rsidP="00107D5D">
            <w:pPr>
              <w:tabs>
                <w:tab w:val="left" w:pos="288"/>
                <w:tab w:val="left" w:pos="576"/>
                <w:tab w:val="left" w:pos="864"/>
                <w:tab w:val="left" w:pos="1152"/>
              </w:tabs>
              <w:suppressAutoHyphens/>
              <w:spacing w:before="30" w:after="61" w:line="210" w:lineRule="exact"/>
              <w:ind w:right="40"/>
              <w:rPr>
                <w:sz w:val="17"/>
                <w:lang w:val="fr-FR"/>
              </w:rPr>
            </w:pPr>
            <w:r w:rsidRPr="00A66C9F">
              <w:rPr>
                <w:sz w:val="17"/>
                <w:lang w:val="fr-FR"/>
              </w:rPr>
              <w:tab/>
              <w:t>Mobilier et matériel</w:t>
            </w:r>
          </w:p>
        </w:tc>
        <w:tc>
          <w:tcPr>
            <w:tcW w:w="944" w:type="dxa"/>
            <w:tcBorders>
              <w:bottom w:val="single" w:sz="4" w:space="0" w:color="auto"/>
            </w:tcBorders>
            <w:shd w:val="clear" w:color="000000" w:fill="FFFFFF"/>
            <w:noWrap/>
            <w:vAlign w:val="bottom"/>
            <w:hideMark/>
          </w:tcPr>
          <w:p w14:paraId="68E2CBCB" w14:textId="77777777" w:rsidR="00744544" w:rsidRPr="00A66C9F" w:rsidRDefault="00744544" w:rsidP="00107D5D">
            <w:pPr>
              <w:tabs>
                <w:tab w:val="left" w:pos="288"/>
                <w:tab w:val="left" w:pos="576"/>
                <w:tab w:val="left" w:pos="864"/>
                <w:tab w:val="left" w:pos="1152"/>
              </w:tabs>
              <w:suppressAutoHyphens/>
              <w:spacing w:before="30" w:after="61" w:line="210" w:lineRule="exact"/>
              <w:ind w:right="43"/>
              <w:jc w:val="right"/>
              <w:rPr>
                <w:sz w:val="17"/>
                <w:lang w:val="fr-FR"/>
              </w:rPr>
            </w:pPr>
            <w:r w:rsidRPr="00A66C9F">
              <w:rPr>
                <w:sz w:val="17"/>
                <w:lang w:val="fr-FR"/>
              </w:rPr>
              <w:t xml:space="preserve"> 556,3 </w:t>
            </w:r>
          </w:p>
        </w:tc>
        <w:tc>
          <w:tcPr>
            <w:tcW w:w="944" w:type="dxa"/>
            <w:tcBorders>
              <w:bottom w:val="single" w:sz="4" w:space="0" w:color="auto"/>
            </w:tcBorders>
            <w:shd w:val="clear" w:color="000000" w:fill="FFFFFF"/>
            <w:noWrap/>
            <w:vAlign w:val="bottom"/>
            <w:hideMark/>
          </w:tcPr>
          <w:p w14:paraId="5FB10F26" w14:textId="77777777" w:rsidR="00744544" w:rsidRPr="00A66C9F" w:rsidRDefault="00744544" w:rsidP="00107D5D">
            <w:pPr>
              <w:tabs>
                <w:tab w:val="left" w:pos="288"/>
                <w:tab w:val="left" w:pos="576"/>
                <w:tab w:val="left" w:pos="864"/>
                <w:tab w:val="left" w:pos="1152"/>
              </w:tabs>
              <w:suppressAutoHyphens/>
              <w:spacing w:before="30" w:after="61" w:line="210" w:lineRule="exact"/>
              <w:ind w:right="43"/>
              <w:jc w:val="right"/>
              <w:rPr>
                <w:sz w:val="17"/>
                <w:lang w:val="fr-FR"/>
              </w:rPr>
            </w:pPr>
            <w:r w:rsidRPr="00A66C9F">
              <w:rPr>
                <w:sz w:val="17"/>
                <w:lang w:val="fr-FR"/>
              </w:rPr>
              <w:t xml:space="preserve"> –</w:t>
            </w:r>
          </w:p>
        </w:tc>
        <w:tc>
          <w:tcPr>
            <w:tcW w:w="944" w:type="dxa"/>
            <w:tcBorders>
              <w:bottom w:val="single" w:sz="4" w:space="0" w:color="auto"/>
            </w:tcBorders>
            <w:shd w:val="clear" w:color="000000" w:fill="FFFFFF"/>
            <w:noWrap/>
            <w:vAlign w:val="bottom"/>
            <w:hideMark/>
          </w:tcPr>
          <w:p w14:paraId="269F0DEE" w14:textId="77777777" w:rsidR="00744544" w:rsidRPr="00A66C9F" w:rsidRDefault="00744544" w:rsidP="00107D5D">
            <w:pPr>
              <w:tabs>
                <w:tab w:val="left" w:pos="288"/>
                <w:tab w:val="left" w:pos="576"/>
                <w:tab w:val="left" w:pos="864"/>
                <w:tab w:val="left" w:pos="1152"/>
              </w:tabs>
              <w:suppressAutoHyphens/>
              <w:spacing w:before="30" w:after="61" w:line="210" w:lineRule="exact"/>
              <w:ind w:right="43"/>
              <w:jc w:val="right"/>
              <w:rPr>
                <w:sz w:val="17"/>
                <w:lang w:val="fr-FR"/>
              </w:rPr>
            </w:pPr>
            <w:r w:rsidRPr="00A66C9F">
              <w:rPr>
                <w:sz w:val="17"/>
                <w:lang w:val="fr-FR"/>
              </w:rPr>
              <w:t xml:space="preserve"> 556,3 </w:t>
            </w:r>
          </w:p>
        </w:tc>
        <w:tc>
          <w:tcPr>
            <w:tcW w:w="944" w:type="dxa"/>
            <w:gridSpan w:val="2"/>
            <w:tcBorders>
              <w:bottom w:val="single" w:sz="4" w:space="0" w:color="auto"/>
            </w:tcBorders>
            <w:shd w:val="clear" w:color="000000" w:fill="FFFFFF"/>
            <w:noWrap/>
            <w:vAlign w:val="bottom"/>
            <w:hideMark/>
          </w:tcPr>
          <w:p w14:paraId="3EE6373B" w14:textId="77777777" w:rsidR="00744544" w:rsidRPr="00A66C9F" w:rsidRDefault="00744544" w:rsidP="00107D5D">
            <w:pPr>
              <w:tabs>
                <w:tab w:val="left" w:pos="288"/>
                <w:tab w:val="left" w:pos="576"/>
                <w:tab w:val="left" w:pos="864"/>
                <w:tab w:val="left" w:pos="1152"/>
              </w:tabs>
              <w:suppressAutoHyphens/>
              <w:spacing w:before="30" w:after="61" w:line="210" w:lineRule="exact"/>
              <w:ind w:right="43"/>
              <w:jc w:val="right"/>
              <w:rPr>
                <w:sz w:val="17"/>
                <w:lang w:val="fr-FR"/>
              </w:rPr>
            </w:pPr>
            <w:r w:rsidRPr="00A66C9F">
              <w:rPr>
                <w:sz w:val="17"/>
                <w:lang w:val="fr-FR"/>
              </w:rPr>
              <w:t xml:space="preserve"> 579,0 </w:t>
            </w:r>
          </w:p>
        </w:tc>
        <w:tc>
          <w:tcPr>
            <w:tcW w:w="944" w:type="dxa"/>
            <w:tcBorders>
              <w:bottom w:val="single" w:sz="4" w:space="0" w:color="auto"/>
            </w:tcBorders>
            <w:shd w:val="clear" w:color="000000" w:fill="FFFFFF"/>
            <w:noWrap/>
            <w:vAlign w:val="bottom"/>
            <w:hideMark/>
          </w:tcPr>
          <w:p w14:paraId="20E1AF1F" w14:textId="77777777" w:rsidR="00744544" w:rsidRPr="00A66C9F" w:rsidRDefault="00744544" w:rsidP="00107D5D">
            <w:pPr>
              <w:tabs>
                <w:tab w:val="left" w:pos="288"/>
                <w:tab w:val="left" w:pos="576"/>
                <w:tab w:val="left" w:pos="864"/>
                <w:tab w:val="left" w:pos="1152"/>
              </w:tabs>
              <w:suppressAutoHyphens/>
              <w:spacing w:before="30" w:after="61" w:line="210" w:lineRule="exact"/>
              <w:ind w:right="43"/>
              <w:jc w:val="right"/>
              <w:rPr>
                <w:sz w:val="17"/>
                <w:lang w:val="fr-FR"/>
              </w:rPr>
            </w:pPr>
            <w:r w:rsidRPr="00A66C9F">
              <w:rPr>
                <w:sz w:val="17"/>
                <w:lang w:val="fr-FR"/>
              </w:rPr>
              <w:t xml:space="preserve"> –</w:t>
            </w:r>
          </w:p>
        </w:tc>
        <w:tc>
          <w:tcPr>
            <w:tcW w:w="944" w:type="dxa"/>
            <w:tcBorders>
              <w:bottom w:val="single" w:sz="4" w:space="0" w:color="auto"/>
            </w:tcBorders>
            <w:shd w:val="clear" w:color="000000" w:fill="FFFFFF"/>
            <w:noWrap/>
            <w:vAlign w:val="bottom"/>
            <w:hideMark/>
          </w:tcPr>
          <w:p w14:paraId="0D080631" w14:textId="77777777" w:rsidR="00744544" w:rsidRPr="00A66C9F" w:rsidRDefault="00744544" w:rsidP="00107D5D">
            <w:pPr>
              <w:tabs>
                <w:tab w:val="left" w:pos="288"/>
                <w:tab w:val="left" w:pos="576"/>
                <w:tab w:val="left" w:pos="864"/>
                <w:tab w:val="left" w:pos="1152"/>
              </w:tabs>
              <w:suppressAutoHyphens/>
              <w:spacing w:before="30" w:after="61" w:line="210" w:lineRule="exact"/>
              <w:ind w:right="43"/>
              <w:jc w:val="right"/>
              <w:rPr>
                <w:sz w:val="17"/>
                <w:lang w:val="fr-FR"/>
              </w:rPr>
            </w:pPr>
            <w:r w:rsidRPr="00A66C9F">
              <w:rPr>
                <w:sz w:val="17"/>
                <w:lang w:val="fr-FR"/>
              </w:rPr>
              <w:t xml:space="preserve"> 579,0 </w:t>
            </w:r>
          </w:p>
        </w:tc>
        <w:tc>
          <w:tcPr>
            <w:tcW w:w="944" w:type="dxa"/>
            <w:gridSpan w:val="2"/>
            <w:tcBorders>
              <w:bottom w:val="single" w:sz="4" w:space="0" w:color="auto"/>
            </w:tcBorders>
            <w:shd w:val="clear" w:color="000000" w:fill="FFFFFF"/>
            <w:noWrap/>
            <w:vAlign w:val="bottom"/>
            <w:hideMark/>
          </w:tcPr>
          <w:p w14:paraId="07E235AF" w14:textId="77777777" w:rsidR="00744544" w:rsidRPr="00A66C9F" w:rsidRDefault="00744544" w:rsidP="00107D5D">
            <w:pPr>
              <w:tabs>
                <w:tab w:val="left" w:pos="288"/>
                <w:tab w:val="left" w:pos="576"/>
                <w:tab w:val="left" w:pos="864"/>
                <w:tab w:val="left" w:pos="1152"/>
              </w:tabs>
              <w:suppressAutoHyphens/>
              <w:spacing w:before="30" w:after="61" w:line="210" w:lineRule="exact"/>
              <w:ind w:right="43"/>
              <w:jc w:val="right"/>
              <w:rPr>
                <w:sz w:val="17"/>
                <w:lang w:val="fr-FR"/>
              </w:rPr>
            </w:pPr>
            <w:r w:rsidRPr="00A66C9F">
              <w:rPr>
                <w:sz w:val="17"/>
                <w:lang w:val="fr-FR"/>
              </w:rPr>
              <w:t xml:space="preserve"> (600,0)</w:t>
            </w:r>
          </w:p>
        </w:tc>
        <w:tc>
          <w:tcPr>
            <w:tcW w:w="944" w:type="dxa"/>
            <w:tcBorders>
              <w:bottom w:val="single" w:sz="4" w:space="0" w:color="auto"/>
            </w:tcBorders>
            <w:shd w:val="clear" w:color="000000" w:fill="FFFFFF"/>
            <w:noWrap/>
            <w:vAlign w:val="bottom"/>
            <w:hideMark/>
          </w:tcPr>
          <w:p w14:paraId="0C3230AD" w14:textId="77777777" w:rsidR="00744544" w:rsidRPr="00A66C9F" w:rsidRDefault="00744544" w:rsidP="00107D5D">
            <w:pPr>
              <w:tabs>
                <w:tab w:val="left" w:pos="288"/>
                <w:tab w:val="left" w:pos="576"/>
                <w:tab w:val="left" w:pos="864"/>
                <w:tab w:val="left" w:pos="1152"/>
              </w:tabs>
              <w:suppressAutoHyphens/>
              <w:spacing w:before="30" w:after="61" w:line="210" w:lineRule="exact"/>
              <w:ind w:right="43"/>
              <w:jc w:val="right"/>
              <w:rPr>
                <w:sz w:val="17"/>
                <w:lang w:val="fr-FR"/>
              </w:rPr>
            </w:pPr>
            <w:r w:rsidRPr="00A66C9F">
              <w:rPr>
                <w:sz w:val="17"/>
                <w:lang w:val="fr-FR"/>
              </w:rPr>
              <w:t xml:space="preserve">– </w:t>
            </w:r>
          </w:p>
        </w:tc>
        <w:tc>
          <w:tcPr>
            <w:tcW w:w="944" w:type="dxa"/>
            <w:tcBorders>
              <w:bottom w:val="single" w:sz="4" w:space="0" w:color="auto"/>
            </w:tcBorders>
            <w:shd w:val="clear" w:color="000000" w:fill="FFFFFF"/>
            <w:noWrap/>
            <w:vAlign w:val="bottom"/>
            <w:hideMark/>
          </w:tcPr>
          <w:p w14:paraId="7C8215DD" w14:textId="77777777" w:rsidR="00744544" w:rsidRPr="00A66C9F" w:rsidRDefault="00744544" w:rsidP="00107D5D">
            <w:pPr>
              <w:tabs>
                <w:tab w:val="left" w:pos="288"/>
                <w:tab w:val="left" w:pos="576"/>
                <w:tab w:val="left" w:pos="864"/>
                <w:tab w:val="left" w:pos="1152"/>
              </w:tabs>
              <w:suppressAutoHyphens/>
              <w:spacing w:before="30" w:after="61" w:line="210" w:lineRule="exact"/>
              <w:ind w:right="43"/>
              <w:jc w:val="right"/>
              <w:rPr>
                <w:sz w:val="17"/>
                <w:lang w:val="fr-FR"/>
              </w:rPr>
            </w:pPr>
            <w:r w:rsidRPr="00A66C9F">
              <w:rPr>
                <w:sz w:val="17"/>
                <w:lang w:val="fr-FR"/>
              </w:rPr>
              <w:t xml:space="preserve"> (600,0)</w:t>
            </w:r>
          </w:p>
        </w:tc>
        <w:tc>
          <w:tcPr>
            <w:tcW w:w="944" w:type="dxa"/>
            <w:gridSpan w:val="2"/>
            <w:tcBorders>
              <w:bottom w:val="single" w:sz="4" w:space="0" w:color="auto"/>
            </w:tcBorders>
            <w:shd w:val="clear" w:color="000000" w:fill="FFFFFF"/>
            <w:noWrap/>
            <w:vAlign w:val="bottom"/>
            <w:hideMark/>
          </w:tcPr>
          <w:p w14:paraId="258DC842" w14:textId="77777777" w:rsidR="00744544" w:rsidRPr="00A66C9F" w:rsidRDefault="00744544" w:rsidP="00107D5D">
            <w:pPr>
              <w:tabs>
                <w:tab w:val="left" w:pos="288"/>
                <w:tab w:val="left" w:pos="576"/>
                <w:tab w:val="left" w:pos="864"/>
                <w:tab w:val="left" w:pos="1152"/>
              </w:tabs>
              <w:suppressAutoHyphens/>
              <w:spacing w:before="30" w:after="61" w:line="210" w:lineRule="exact"/>
              <w:ind w:right="43"/>
              <w:jc w:val="right"/>
              <w:rPr>
                <w:sz w:val="17"/>
                <w:lang w:val="fr-FR"/>
              </w:rPr>
            </w:pPr>
            <w:r w:rsidRPr="00A66C9F">
              <w:rPr>
                <w:sz w:val="17"/>
                <w:lang w:val="fr-FR"/>
              </w:rPr>
              <w:t xml:space="preserve"> 535,3 </w:t>
            </w:r>
          </w:p>
        </w:tc>
        <w:tc>
          <w:tcPr>
            <w:tcW w:w="944" w:type="dxa"/>
            <w:tcBorders>
              <w:bottom w:val="single" w:sz="4" w:space="0" w:color="auto"/>
            </w:tcBorders>
            <w:shd w:val="clear" w:color="000000" w:fill="FFFFFF"/>
            <w:noWrap/>
            <w:vAlign w:val="bottom"/>
            <w:hideMark/>
          </w:tcPr>
          <w:p w14:paraId="4B4840F3" w14:textId="77777777" w:rsidR="00744544" w:rsidRPr="00A66C9F" w:rsidRDefault="00744544" w:rsidP="00107D5D">
            <w:pPr>
              <w:tabs>
                <w:tab w:val="left" w:pos="288"/>
                <w:tab w:val="left" w:pos="576"/>
                <w:tab w:val="left" w:pos="864"/>
                <w:tab w:val="left" w:pos="1152"/>
              </w:tabs>
              <w:suppressAutoHyphens/>
              <w:spacing w:before="30" w:after="61" w:line="210" w:lineRule="exact"/>
              <w:ind w:right="43"/>
              <w:jc w:val="right"/>
              <w:rPr>
                <w:sz w:val="17"/>
                <w:lang w:val="fr-FR"/>
              </w:rPr>
            </w:pPr>
            <w:r w:rsidRPr="00A66C9F">
              <w:rPr>
                <w:sz w:val="17"/>
                <w:lang w:val="fr-FR"/>
              </w:rPr>
              <w:t xml:space="preserve"> –</w:t>
            </w:r>
          </w:p>
        </w:tc>
        <w:tc>
          <w:tcPr>
            <w:tcW w:w="944" w:type="dxa"/>
            <w:tcBorders>
              <w:bottom w:val="single" w:sz="4" w:space="0" w:color="auto"/>
            </w:tcBorders>
            <w:shd w:val="clear" w:color="000000" w:fill="FFFFFF"/>
            <w:noWrap/>
            <w:vAlign w:val="bottom"/>
            <w:hideMark/>
          </w:tcPr>
          <w:p w14:paraId="2DF0943A" w14:textId="77777777" w:rsidR="00744544" w:rsidRPr="00A66C9F" w:rsidRDefault="00744544" w:rsidP="00107D5D">
            <w:pPr>
              <w:tabs>
                <w:tab w:val="left" w:pos="288"/>
                <w:tab w:val="left" w:pos="576"/>
                <w:tab w:val="left" w:pos="864"/>
                <w:tab w:val="left" w:pos="1152"/>
              </w:tabs>
              <w:suppressAutoHyphens/>
              <w:spacing w:before="30" w:after="61" w:line="210" w:lineRule="exact"/>
              <w:ind w:right="43"/>
              <w:jc w:val="right"/>
              <w:rPr>
                <w:sz w:val="17"/>
                <w:lang w:val="fr-FR"/>
              </w:rPr>
            </w:pPr>
            <w:r w:rsidRPr="00A66C9F">
              <w:rPr>
                <w:sz w:val="17"/>
                <w:lang w:val="fr-FR"/>
              </w:rPr>
              <w:t xml:space="preserve"> 535,3 </w:t>
            </w:r>
          </w:p>
        </w:tc>
      </w:tr>
      <w:tr w:rsidR="00744544" w:rsidRPr="00A66C9F" w14:paraId="4CBFEB6F" w14:textId="77777777" w:rsidTr="00107D5D">
        <w:trPr>
          <w:cantSplit/>
        </w:trPr>
        <w:tc>
          <w:tcPr>
            <w:tcW w:w="1888" w:type="dxa"/>
            <w:gridSpan w:val="2"/>
            <w:tcBorders>
              <w:top w:val="single" w:sz="4" w:space="0" w:color="auto"/>
              <w:bottom w:val="single" w:sz="4" w:space="0" w:color="auto"/>
            </w:tcBorders>
            <w:shd w:val="clear" w:color="000000" w:fill="FFFFFF"/>
            <w:noWrap/>
            <w:vAlign w:val="bottom"/>
            <w:hideMark/>
          </w:tcPr>
          <w:p w14:paraId="3EBB5CEC" w14:textId="77777777" w:rsidR="00744544" w:rsidRPr="00A66C9F" w:rsidRDefault="00744544" w:rsidP="00107D5D">
            <w:pPr>
              <w:tabs>
                <w:tab w:val="left" w:pos="288"/>
                <w:tab w:val="left" w:pos="576"/>
                <w:tab w:val="left" w:pos="864"/>
                <w:tab w:val="left" w:pos="1152"/>
              </w:tabs>
              <w:suppressAutoHyphens/>
              <w:spacing w:before="61" w:after="61" w:line="210" w:lineRule="exact"/>
              <w:ind w:right="40"/>
              <w:rPr>
                <w:b/>
                <w:sz w:val="17"/>
                <w:lang w:val="fr-FR"/>
              </w:rPr>
            </w:pPr>
            <w:r w:rsidRPr="00A66C9F">
              <w:rPr>
                <w:b/>
                <w:sz w:val="17"/>
                <w:lang w:val="fr-FR"/>
              </w:rPr>
              <w:tab/>
              <w:t>Total partiel</w:t>
            </w:r>
          </w:p>
        </w:tc>
        <w:tc>
          <w:tcPr>
            <w:tcW w:w="944" w:type="dxa"/>
            <w:tcBorders>
              <w:top w:val="single" w:sz="4" w:space="0" w:color="auto"/>
              <w:bottom w:val="single" w:sz="4" w:space="0" w:color="auto"/>
            </w:tcBorders>
            <w:shd w:val="clear" w:color="000000" w:fill="FFFFFF"/>
            <w:noWrap/>
            <w:vAlign w:val="bottom"/>
            <w:hideMark/>
          </w:tcPr>
          <w:p w14:paraId="34E89BC8" w14:textId="77777777" w:rsidR="00744544" w:rsidRPr="00A66C9F" w:rsidRDefault="00744544" w:rsidP="00107D5D">
            <w:pPr>
              <w:tabs>
                <w:tab w:val="left" w:pos="288"/>
                <w:tab w:val="left" w:pos="576"/>
                <w:tab w:val="left" w:pos="864"/>
                <w:tab w:val="left" w:pos="1152"/>
              </w:tabs>
              <w:suppressAutoHyphens/>
              <w:spacing w:before="61" w:after="61" w:line="210" w:lineRule="exact"/>
              <w:ind w:right="43"/>
              <w:jc w:val="right"/>
              <w:rPr>
                <w:b/>
                <w:sz w:val="17"/>
                <w:lang w:val="fr-FR"/>
              </w:rPr>
            </w:pPr>
            <w:r w:rsidRPr="00A66C9F">
              <w:rPr>
                <w:b/>
                <w:sz w:val="17"/>
                <w:lang w:val="fr-FR"/>
              </w:rPr>
              <w:t xml:space="preserve"> 43 702,4 </w:t>
            </w:r>
          </w:p>
        </w:tc>
        <w:tc>
          <w:tcPr>
            <w:tcW w:w="944" w:type="dxa"/>
            <w:tcBorders>
              <w:top w:val="single" w:sz="4" w:space="0" w:color="auto"/>
              <w:bottom w:val="single" w:sz="4" w:space="0" w:color="auto"/>
            </w:tcBorders>
            <w:shd w:val="clear" w:color="000000" w:fill="FFFFFF"/>
            <w:noWrap/>
            <w:vAlign w:val="bottom"/>
            <w:hideMark/>
          </w:tcPr>
          <w:p w14:paraId="5AAD28FD" w14:textId="77777777" w:rsidR="00744544" w:rsidRPr="00A66C9F" w:rsidRDefault="00744544" w:rsidP="00107D5D">
            <w:pPr>
              <w:tabs>
                <w:tab w:val="left" w:pos="288"/>
                <w:tab w:val="left" w:pos="576"/>
                <w:tab w:val="left" w:pos="864"/>
                <w:tab w:val="left" w:pos="1152"/>
              </w:tabs>
              <w:suppressAutoHyphens/>
              <w:spacing w:before="61" w:after="61" w:line="210" w:lineRule="exact"/>
              <w:ind w:right="43"/>
              <w:jc w:val="right"/>
              <w:rPr>
                <w:b/>
                <w:sz w:val="17"/>
                <w:lang w:val="fr-FR"/>
              </w:rPr>
            </w:pPr>
            <w:r w:rsidRPr="00A66C9F">
              <w:rPr>
                <w:b/>
                <w:sz w:val="17"/>
                <w:lang w:val="fr-FR"/>
              </w:rPr>
              <w:t xml:space="preserve"> –</w:t>
            </w:r>
          </w:p>
        </w:tc>
        <w:tc>
          <w:tcPr>
            <w:tcW w:w="944" w:type="dxa"/>
            <w:tcBorders>
              <w:top w:val="single" w:sz="4" w:space="0" w:color="auto"/>
              <w:bottom w:val="single" w:sz="4" w:space="0" w:color="auto"/>
            </w:tcBorders>
            <w:shd w:val="clear" w:color="000000" w:fill="FFFFFF"/>
            <w:noWrap/>
            <w:vAlign w:val="bottom"/>
            <w:hideMark/>
          </w:tcPr>
          <w:p w14:paraId="400A49E0" w14:textId="77777777" w:rsidR="00744544" w:rsidRPr="00A66C9F" w:rsidRDefault="00744544" w:rsidP="00107D5D">
            <w:pPr>
              <w:tabs>
                <w:tab w:val="left" w:pos="288"/>
                <w:tab w:val="left" w:pos="576"/>
                <w:tab w:val="left" w:pos="864"/>
                <w:tab w:val="left" w:pos="1152"/>
              </w:tabs>
              <w:suppressAutoHyphens/>
              <w:spacing w:before="61" w:after="61" w:line="210" w:lineRule="exact"/>
              <w:ind w:right="43"/>
              <w:jc w:val="right"/>
              <w:rPr>
                <w:b/>
                <w:sz w:val="17"/>
                <w:lang w:val="fr-FR"/>
              </w:rPr>
            </w:pPr>
            <w:r w:rsidRPr="00A66C9F">
              <w:rPr>
                <w:b/>
                <w:sz w:val="17"/>
                <w:lang w:val="fr-FR"/>
              </w:rPr>
              <w:t xml:space="preserve"> 43 702,4 </w:t>
            </w:r>
          </w:p>
        </w:tc>
        <w:tc>
          <w:tcPr>
            <w:tcW w:w="944" w:type="dxa"/>
            <w:gridSpan w:val="2"/>
            <w:tcBorders>
              <w:top w:val="single" w:sz="4" w:space="0" w:color="auto"/>
              <w:bottom w:val="single" w:sz="4" w:space="0" w:color="auto"/>
            </w:tcBorders>
            <w:shd w:val="clear" w:color="000000" w:fill="FFFFFF"/>
            <w:noWrap/>
            <w:vAlign w:val="bottom"/>
            <w:hideMark/>
          </w:tcPr>
          <w:p w14:paraId="65C0F9A7" w14:textId="77777777" w:rsidR="00744544" w:rsidRPr="00A66C9F" w:rsidRDefault="00744544" w:rsidP="00107D5D">
            <w:pPr>
              <w:tabs>
                <w:tab w:val="left" w:pos="288"/>
                <w:tab w:val="left" w:pos="576"/>
                <w:tab w:val="left" w:pos="864"/>
                <w:tab w:val="left" w:pos="1152"/>
              </w:tabs>
              <w:suppressAutoHyphens/>
              <w:spacing w:before="61" w:after="61" w:line="210" w:lineRule="exact"/>
              <w:ind w:right="43"/>
              <w:jc w:val="right"/>
              <w:rPr>
                <w:b/>
                <w:sz w:val="17"/>
                <w:lang w:val="fr-FR"/>
              </w:rPr>
            </w:pPr>
            <w:r w:rsidRPr="00A66C9F">
              <w:rPr>
                <w:b/>
                <w:sz w:val="17"/>
                <w:lang w:val="fr-FR"/>
              </w:rPr>
              <w:t xml:space="preserve"> 7 593,5 </w:t>
            </w:r>
          </w:p>
        </w:tc>
        <w:tc>
          <w:tcPr>
            <w:tcW w:w="944" w:type="dxa"/>
            <w:tcBorders>
              <w:top w:val="single" w:sz="4" w:space="0" w:color="auto"/>
              <w:bottom w:val="single" w:sz="4" w:space="0" w:color="auto"/>
            </w:tcBorders>
            <w:shd w:val="clear" w:color="000000" w:fill="FFFFFF"/>
            <w:noWrap/>
            <w:vAlign w:val="bottom"/>
            <w:hideMark/>
          </w:tcPr>
          <w:p w14:paraId="37366F5C" w14:textId="77777777" w:rsidR="00744544" w:rsidRPr="00A66C9F" w:rsidRDefault="00744544" w:rsidP="00107D5D">
            <w:pPr>
              <w:tabs>
                <w:tab w:val="left" w:pos="288"/>
                <w:tab w:val="left" w:pos="576"/>
                <w:tab w:val="left" w:pos="864"/>
                <w:tab w:val="left" w:pos="1152"/>
              </w:tabs>
              <w:suppressAutoHyphens/>
              <w:spacing w:before="61" w:after="61" w:line="210" w:lineRule="exact"/>
              <w:ind w:right="43"/>
              <w:jc w:val="right"/>
              <w:rPr>
                <w:b/>
                <w:sz w:val="17"/>
                <w:lang w:val="fr-FR"/>
              </w:rPr>
            </w:pPr>
            <w:r w:rsidRPr="00A66C9F">
              <w:rPr>
                <w:b/>
                <w:sz w:val="17"/>
                <w:lang w:val="fr-FR"/>
              </w:rPr>
              <w:t xml:space="preserve"> –</w:t>
            </w:r>
          </w:p>
        </w:tc>
        <w:tc>
          <w:tcPr>
            <w:tcW w:w="944" w:type="dxa"/>
            <w:tcBorders>
              <w:top w:val="single" w:sz="4" w:space="0" w:color="auto"/>
              <w:bottom w:val="single" w:sz="4" w:space="0" w:color="auto"/>
            </w:tcBorders>
            <w:shd w:val="clear" w:color="000000" w:fill="FFFFFF"/>
            <w:noWrap/>
            <w:vAlign w:val="bottom"/>
            <w:hideMark/>
          </w:tcPr>
          <w:p w14:paraId="3E5AE148" w14:textId="77777777" w:rsidR="00744544" w:rsidRPr="00A66C9F" w:rsidRDefault="00744544" w:rsidP="00107D5D">
            <w:pPr>
              <w:tabs>
                <w:tab w:val="left" w:pos="288"/>
                <w:tab w:val="left" w:pos="576"/>
                <w:tab w:val="left" w:pos="864"/>
                <w:tab w:val="left" w:pos="1152"/>
              </w:tabs>
              <w:suppressAutoHyphens/>
              <w:spacing w:before="61" w:after="61" w:line="210" w:lineRule="exact"/>
              <w:ind w:right="43"/>
              <w:jc w:val="right"/>
              <w:rPr>
                <w:b/>
                <w:sz w:val="17"/>
                <w:lang w:val="fr-FR"/>
              </w:rPr>
            </w:pPr>
            <w:r w:rsidRPr="00A66C9F">
              <w:rPr>
                <w:b/>
                <w:sz w:val="17"/>
                <w:lang w:val="fr-FR"/>
              </w:rPr>
              <w:t xml:space="preserve"> 7 593,5 </w:t>
            </w:r>
          </w:p>
        </w:tc>
        <w:tc>
          <w:tcPr>
            <w:tcW w:w="944" w:type="dxa"/>
            <w:gridSpan w:val="2"/>
            <w:tcBorders>
              <w:top w:val="single" w:sz="4" w:space="0" w:color="auto"/>
              <w:bottom w:val="single" w:sz="4" w:space="0" w:color="auto"/>
            </w:tcBorders>
            <w:shd w:val="clear" w:color="000000" w:fill="FFFFFF"/>
            <w:noWrap/>
            <w:vAlign w:val="bottom"/>
            <w:hideMark/>
          </w:tcPr>
          <w:p w14:paraId="3F815E39" w14:textId="77777777" w:rsidR="00744544" w:rsidRPr="00A66C9F" w:rsidRDefault="00744544" w:rsidP="00107D5D">
            <w:pPr>
              <w:tabs>
                <w:tab w:val="left" w:pos="288"/>
                <w:tab w:val="left" w:pos="576"/>
                <w:tab w:val="left" w:pos="864"/>
                <w:tab w:val="left" w:pos="1152"/>
              </w:tabs>
              <w:suppressAutoHyphens/>
              <w:spacing w:before="61" w:after="61" w:line="210" w:lineRule="exact"/>
              <w:ind w:right="43"/>
              <w:jc w:val="right"/>
              <w:rPr>
                <w:b/>
                <w:sz w:val="17"/>
                <w:lang w:val="fr-FR"/>
              </w:rPr>
            </w:pPr>
            <w:r w:rsidRPr="00A66C9F">
              <w:rPr>
                <w:b/>
                <w:sz w:val="17"/>
                <w:lang w:val="fr-FR"/>
              </w:rPr>
              <w:t xml:space="preserve"> (8 139,3)</w:t>
            </w:r>
          </w:p>
        </w:tc>
        <w:tc>
          <w:tcPr>
            <w:tcW w:w="944" w:type="dxa"/>
            <w:tcBorders>
              <w:top w:val="single" w:sz="4" w:space="0" w:color="auto"/>
              <w:bottom w:val="single" w:sz="4" w:space="0" w:color="auto"/>
            </w:tcBorders>
            <w:shd w:val="clear" w:color="000000" w:fill="FFFFFF"/>
            <w:noWrap/>
            <w:vAlign w:val="bottom"/>
            <w:hideMark/>
          </w:tcPr>
          <w:p w14:paraId="61088D18" w14:textId="77777777" w:rsidR="00744544" w:rsidRPr="00A66C9F" w:rsidRDefault="00744544" w:rsidP="00107D5D">
            <w:pPr>
              <w:tabs>
                <w:tab w:val="left" w:pos="288"/>
                <w:tab w:val="left" w:pos="576"/>
                <w:tab w:val="left" w:pos="864"/>
                <w:tab w:val="left" w:pos="1152"/>
              </w:tabs>
              <w:suppressAutoHyphens/>
              <w:spacing w:before="61" w:after="61" w:line="210" w:lineRule="exact"/>
              <w:ind w:right="43"/>
              <w:jc w:val="right"/>
              <w:rPr>
                <w:b/>
                <w:sz w:val="17"/>
                <w:lang w:val="fr-FR"/>
              </w:rPr>
            </w:pPr>
            <w:r w:rsidRPr="00A66C9F">
              <w:rPr>
                <w:b/>
                <w:sz w:val="17"/>
                <w:lang w:val="fr-FR"/>
              </w:rPr>
              <w:t xml:space="preserve"> –</w:t>
            </w:r>
          </w:p>
        </w:tc>
        <w:tc>
          <w:tcPr>
            <w:tcW w:w="944" w:type="dxa"/>
            <w:tcBorders>
              <w:top w:val="single" w:sz="4" w:space="0" w:color="auto"/>
              <w:bottom w:val="single" w:sz="4" w:space="0" w:color="auto"/>
            </w:tcBorders>
            <w:shd w:val="clear" w:color="000000" w:fill="FFFFFF"/>
            <w:noWrap/>
            <w:vAlign w:val="bottom"/>
            <w:hideMark/>
          </w:tcPr>
          <w:p w14:paraId="2019AA23" w14:textId="77777777" w:rsidR="00744544" w:rsidRPr="00A66C9F" w:rsidRDefault="00744544" w:rsidP="00107D5D">
            <w:pPr>
              <w:tabs>
                <w:tab w:val="left" w:pos="288"/>
                <w:tab w:val="left" w:pos="576"/>
                <w:tab w:val="left" w:pos="864"/>
                <w:tab w:val="left" w:pos="1152"/>
              </w:tabs>
              <w:suppressAutoHyphens/>
              <w:spacing w:before="61" w:after="61" w:line="210" w:lineRule="exact"/>
              <w:ind w:right="43"/>
              <w:jc w:val="right"/>
              <w:rPr>
                <w:b/>
                <w:sz w:val="17"/>
                <w:lang w:val="fr-FR"/>
              </w:rPr>
            </w:pPr>
            <w:r w:rsidRPr="00A66C9F">
              <w:rPr>
                <w:b/>
                <w:sz w:val="17"/>
                <w:lang w:val="fr-FR"/>
              </w:rPr>
              <w:t xml:space="preserve"> (8 139,3)</w:t>
            </w:r>
          </w:p>
        </w:tc>
        <w:tc>
          <w:tcPr>
            <w:tcW w:w="944" w:type="dxa"/>
            <w:gridSpan w:val="2"/>
            <w:tcBorders>
              <w:top w:val="single" w:sz="4" w:space="0" w:color="auto"/>
              <w:bottom w:val="single" w:sz="4" w:space="0" w:color="auto"/>
            </w:tcBorders>
            <w:shd w:val="clear" w:color="000000" w:fill="FFFFFF"/>
            <w:noWrap/>
            <w:vAlign w:val="bottom"/>
            <w:hideMark/>
          </w:tcPr>
          <w:p w14:paraId="13A0C115" w14:textId="77777777" w:rsidR="00744544" w:rsidRPr="00A66C9F" w:rsidRDefault="00744544" w:rsidP="00107D5D">
            <w:pPr>
              <w:tabs>
                <w:tab w:val="left" w:pos="288"/>
                <w:tab w:val="left" w:pos="576"/>
                <w:tab w:val="left" w:pos="864"/>
                <w:tab w:val="left" w:pos="1152"/>
              </w:tabs>
              <w:suppressAutoHyphens/>
              <w:spacing w:before="61" w:after="61" w:line="210" w:lineRule="exact"/>
              <w:ind w:right="43"/>
              <w:jc w:val="right"/>
              <w:rPr>
                <w:b/>
                <w:sz w:val="17"/>
                <w:lang w:val="fr-FR"/>
              </w:rPr>
            </w:pPr>
            <w:r w:rsidRPr="00A66C9F">
              <w:rPr>
                <w:b/>
                <w:sz w:val="17"/>
                <w:lang w:val="fr-FR"/>
              </w:rPr>
              <w:t xml:space="preserve"> 43 156,6 </w:t>
            </w:r>
          </w:p>
        </w:tc>
        <w:tc>
          <w:tcPr>
            <w:tcW w:w="944" w:type="dxa"/>
            <w:tcBorders>
              <w:top w:val="single" w:sz="4" w:space="0" w:color="auto"/>
              <w:bottom w:val="single" w:sz="4" w:space="0" w:color="auto"/>
            </w:tcBorders>
            <w:shd w:val="clear" w:color="000000" w:fill="FFFFFF"/>
            <w:noWrap/>
            <w:vAlign w:val="bottom"/>
            <w:hideMark/>
          </w:tcPr>
          <w:p w14:paraId="191BF73B" w14:textId="77777777" w:rsidR="00744544" w:rsidRPr="00A66C9F" w:rsidRDefault="00744544" w:rsidP="00107D5D">
            <w:pPr>
              <w:tabs>
                <w:tab w:val="left" w:pos="288"/>
                <w:tab w:val="left" w:pos="576"/>
                <w:tab w:val="left" w:pos="864"/>
                <w:tab w:val="left" w:pos="1152"/>
              </w:tabs>
              <w:suppressAutoHyphens/>
              <w:spacing w:before="61" w:after="61" w:line="210" w:lineRule="exact"/>
              <w:ind w:right="43"/>
              <w:jc w:val="right"/>
              <w:rPr>
                <w:b/>
                <w:sz w:val="17"/>
                <w:lang w:val="fr-FR"/>
              </w:rPr>
            </w:pPr>
            <w:r w:rsidRPr="00A66C9F">
              <w:rPr>
                <w:b/>
                <w:sz w:val="17"/>
                <w:lang w:val="fr-FR"/>
              </w:rPr>
              <w:t xml:space="preserve"> –</w:t>
            </w:r>
          </w:p>
        </w:tc>
        <w:tc>
          <w:tcPr>
            <w:tcW w:w="944" w:type="dxa"/>
            <w:tcBorders>
              <w:top w:val="single" w:sz="4" w:space="0" w:color="auto"/>
              <w:bottom w:val="single" w:sz="4" w:space="0" w:color="auto"/>
            </w:tcBorders>
            <w:shd w:val="clear" w:color="000000" w:fill="FFFFFF"/>
            <w:noWrap/>
            <w:vAlign w:val="bottom"/>
            <w:hideMark/>
          </w:tcPr>
          <w:p w14:paraId="60E8598A" w14:textId="77777777" w:rsidR="00744544" w:rsidRPr="00A66C9F" w:rsidRDefault="00744544" w:rsidP="00107D5D">
            <w:pPr>
              <w:tabs>
                <w:tab w:val="left" w:pos="288"/>
                <w:tab w:val="left" w:pos="576"/>
                <w:tab w:val="left" w:pos="864"/>
                <w:tab w:val="left" w:pos="1152"/>
              </w:tabs>
              <w:suppressAutoHyphens/>
              <w:spacing w:before="61" w:after="61" w:line="210" w:lineRule="exact"/>
              <w:ind w:right="43"/>
              <w:jc w:val="right"/>
              <w:rPr>
                <w:b/>
                <w:sz w:val="17"/>
                <w:lang w:val="fr-FR"/>
              </w:rPr>
            </w:pPr>
            <w:r w:rsidRPr="00A66C9F">
              <w:rPr>
                <w:b/>
                <w:sz w:val="17"/>
                <w:lang w:val="fr-FR"/>
              </w:rPr>
              <w:t xml:space="preserve"> 43 156,6 </w:t>
            </w:r>
          </w:p>
        </w:tc>
      </w:tr>
      <w:tr w:rsidR="00744544" w:rsidRPr="00A66C9F" w14:paraId="1804750B" w14:textId="77777777" w:rsidTr="00107D5D">
        <w:trPr>
          <w:cantSplit/>
        </w:trPr>
        <w:tc>
          <w:tcPr>
            <w:tcW w:w="1888" w:type="dxa"/>
            <w:gridSpan w:val="2"/>
            <w:tcBorders>
              <w:top w:val="single" w:sz="4" w:space="0" w:color="auto"/>
            </w:tcBorders>
            <w:shd w:val="clear" w:color="000000" w:fill="FFFFFF"/>
            <w:noWrap/>
            <w:vAlign w:val="bottom"/>
            <w:hideMark/>
          </w:tcPr>
          <w:p w14:paraId="79B7D52A" w14:textId="77777777" w:rsidR="00744544" w:rsidRPr="00A66C9F" w:rsidRDefault="00744544" w:rsidP="00107D5D">
            <w:pPr>
              <w:tabs>
                <w:tab w:val="left" w:pos="288"/>
                <w:tab w:val="left" w:pos="576"/>
                <w:tab w:val="left" w:pos="864"/>
                <w:tab w:val="left" w:pos="1152"/>
              </w:tabs>
              <w:suppressAutoHyphens/>
              <w:spacing w:before="61" w:after="30" w:line="210" w:lineRule="exact"/>
              <w:ind w:right="43"/>
              <w:rPr>
                <w:b/>
                <w:bCs/>
                <w:sz w:val="17"/>
                <w:lang w:val="fr-FR"/>
              </w:rPr>
            </w:pPr>
            <w:r w:rsidRPr="00A66C9F">
              <w:rPr>
                <w:b/>
                <w:bCs/>
                <w:sz w:val="17"/>
                <w:lang w:val="fr-FR"/>
              </w:rPr>
              <w:t>C.</w:t>
            </w:r>
            <w:r w:rsidRPr="00A66C9F">
              <w:rPr>
                <w:b/>
                <w:bCs/>
                <w:sz w:val="17"/>
                <w:lang w:val="fr-FR"/>
              </w:rPr>
              <w:tab/>
              <w:t>Audit</w:t>
            </w:r>
          </w:p>
        </w:tc>
        <w:tc>
          <w:tcPr>
            <w:tcW w:w="944" w:type="dxa"/>
            <w:tcBorders>
              <w:top w:val="single" w:sz="4" w:space="0" w:color="auto"/>
            </w:tcBorders>
            <w:shd w:val="clear" w:color="000000" w:fill="FFFFFF"/>
            <w:noWrap/>
            <w:vAlign w:val="bottom"/>
          </w:tcPr>
          <w:p w14:paraId="1C79B647" w14:textId="77777777" w:rsidR="00744544" w:rsidRPr="00A66C9F" w:rsidRDefault="00744544" w:rsidP="00107D5D">
            <w:pPr>
              <w:tabs>
                <w:tab w:val="left" w:pos="288"/>
                <w:tab w:val="left" w:pos="576"/>
                <w:tab w:val="left" w:pos="864"/>
                <w:tab w:val="left" w:pos="1152"/>
              </w:tabs>
              <w:suppressAutoHyphens/>
              <w:spacing w:before="61" w:after="30" w:line="210" w:lineRule="exact"/>
              <w:ind w:right="43"/>
              <w:jc w:val="right"/>
              <w:rPr>
                <w:sz w:val="17"/>
                <w:lang w:val="fr-FR"/>
              </w:rPr>
            </w:pPr>
          </w:p>
        </w:tc>
        <w:tc>
          <w:tcPr>
            <w:tcW w:w="944" w:type="dxa"/>
            <w:tcBorders>
              <w:top w:val="single" w:sz="4" w:space="0" w:color="auto"/>
            </w:tcBorders>
            <w:shd w:val="clear" w:color="000000" w:fill="FFFFFF"/>
            <w:noWrap/>
            <w:vAlign w:val="bottom"/>
          </w:tcPr>
          <w:p w14:paraId="04528BC0" w14:textId="77777777" w:rsidR="00744544" w:rsidRPr="00A66C9F" w:rsidRDefault="00744544" w:rsidP="00107D5D">
            <w:pPr>
              <w:tabs>
                <w:tab w:val="left" w:pos="288"/>
                <w:tab w:val="left" w:pos="576"/>
                <w:tab w:val="left" w:pos="864"/>
                <w:tab w:val="left" w:pos="1152"/>
              </w:tabs>
              <w:suppressAutoHyphens/>
              <w:spacing w:before="61" w:after="30" w:line="210" w:lineRule="exact"/>
              <w:ind w:right="43"/>
              <w:jc w:val="right"/>
              <w:rPr>
                <w:sz w:val="17"/>
                <w:lang w:val="fr-FR"/>
              </w:rPr>
            </w:pPr>
          </w:p>
        </w:tc>
        <w:tc>
          <w:tcPr>
            <w:tcW w:w="944" w:type="dxa"/>
            <w:tcBorders>
              <w:top w:val="single" w:sz="4" w:space="0" w:color="auto"/>
            </w:tcBorders>
            <w:shd w:val="clear" w:color="000000" w:fill="FFFFFF"/>
            <w:noWrap/>
            <w:vAlign w:val="bottom"/>
          </w:tcPr>
          <w:p w14:paraId="6DC802F0" w14:textId="77777777" w:rsidR="00744544" w:rsidRPr="00A66C9F" w:rsidRDefault="00744544" w:rsidP="00107D5D">
            <w:pPr>
              <w:tabs>
                <w:tab w:val="left" w:pos="288"/>
                <w:tab w:val="left" w:pos="576"/>
                <w:tab w:val="left" w:pos="864"/>
                <w:tab w:val="left" w:pos="1152"/>
              </w:tabs>
              <w:suppressAutoHyphens/>
              <w:spacing w:before="61" w:after="30" w:line="210" w:lineRule="exact"/>
              <w:ind w:right="43"/>
              <w:jc w:val="right"/>
              <w:rPr>
                <w:sz w:val="17"/>
                <w:lang w:val="fr-FR"/>
              </w:rPr>
            </w:pPr>
          </w:p>
        </w:tc>
        <w:tc>
          <w:tcPr>
            <w:tcW w:w="944" w:type="dxa"/>
            <w:gridSpan w:val="2"/>
            <w:tcBorders>
              <w:top w:val="single" w:sz="4" w:space="0" w:color="auto"/>
            </w:tcBorders>
            <w:shd w:val="clear" w:color="000000" w:fill="FFFFFF"/>
            <w:noWrap/>
            <w:vAlign w:val="bottom"/>
          </w:tcPr>
          <w:p w14:paraId="2D25A840" w14:textId="77777777" w:rsidR="00744544" w:rsidRPr="00A66C9F" w:rsidRDefault="00744544" w:rsidP="00107D5D">
            <w:pPr>
              <w:tabs>
                <w:tab w:val="left" w:pos="288"/>
                <w:tab w:val="left" w:pos="576"/>
                <w:tab w:val="left" w:pos="864"/>
                <w:tab w:val="left" w:pos="1152"/>
              </w:tabs>
              <w:suppressAutoHyphens/>
              <w:spacing w:before="61" w:after="30" w:line="210" w:lineRule="exact"/>
              <w:ind w:right="43"/>
              <w:jc w:val="right"/>
              <w:rPr>
                <w:sz w:val="17"/>
                <w:lang w:val="fr-FR"/>
              </w:rPr>
            </w:pPr>
          </w:p>
        </w:tc>
        <w:tc>
          <w:tcPr>
            <w:tcW w:w="944" w:type="dxa"/>
            <w:tcBorders>
              <w:top w:val="single" w:sz="4" w:space="0" w:color="auto"/>
            </w:tcBorders>
            <w:shd w:val="clear" w:color="000000" w:fill="FFFFFF"/>
            <w:noWrap/>
            <w:vAlign w:val="bottom"/>
          </w:tcPr>
          <w:p w14:paraId="18B46ADB" w14:textId="77777777" w:rsidR="00744544" w:rsidRPr="00A66C9F" w:rsidRDefault="00744544" w:rsidP="00107D5D">
            <w:pPr>
              <w:tabs>
                <w:tab w:val="left" w:pos="288"/>
                <w:tab w:val="left" w:pos="576"/>
                <w:tab w:val="left" w:pos="864"/>
                <w:tab w:val="left" w:pos="1152"/>
              </w:tabs>
              <w:suppressAutoHyphens/>
              <w:spacing w:before="61" w:after="30" w:line="210" w:lineRule="exact"/>
              <w:ind w:right="43"/>
              <w:jc w:val="right"/>
              <w:rPr>
                <w:sz w:val="17"/>
                <w:lang w:val="fr-FR"/>
              </w:rPr>
            </w:pPr>
          </w:p>
        </w:tc>
        <w:tc>
          <w:tcPr>
            <w:tcW w:w="944" w:type="dxa"/>
            <w:tcBorders>
              <w:top w:val="single" w:sz="4" w:space="0" w:color="auto"/>
            </w:tcBorders>
            <w:shd w:val="clear" w:color="000000" w:fill="FFFFFF"/>
            <w:noWrap/>
            <w:vAlign w:val="bottom"/>
          </w:tcPr>
          <w:p w14:paraId="5C741199" w14:textId="77777777" w:rsidR="00744544" w:rsidRPr="00A66C9F" w:rsidRDefault="00744544" w:rsidP="00107D5D">
            <w:pPr>
              <w:tabs>
                <w:tab w:val="left" w:pos="288"/>
                <w:tab w:val="left" w:pos="576"/>
                <w:tab w:val="left" w:pos="864"/>
                <w:tab w:val="left" w:pos="1152"/>
              </w:tabs>
              <w:suppressAutoHyphens/>
              <w:spacing w:before="61" w:after="30" w:line="210" w:lineRule="exact"/>
              <w:ind w:right="43"/>
              <w:jc w:val="right"/>
              <w:rPr>
                <w:sz w:val="17"/>
                <w:lang w:val="fr-FR"/>
              </w:rPr>
            </w:pPr>
          </w:p>
        </w:tc>
        <w:tc>
          <w:tcPr>
            <w:tcW w:w="944" w:type="dxa"/>
            <w:gridSpan w:val="2"/>
            <w:tcBorders>
              <w:top w:val="single" w:sz="4" w:space="0" w:color="auto"/>
            </w:tcBorders>
            <w:shd w:val="clear" w:color="000000" w:fill="FFFFFF"/>
            <w:noWrap/>
            <w:vAlign w:val="bottom"/>
          </w:tcPr>
          <w:p w14:paraId="6BD403B4" w14:textId="77777777" w:rsidR="00744544" w:rsidRPr="00A66C9F" w:rsidRDefault="00744544" w:rsidP="00107D5D">
            <w:pPr>
              <w:tabs>
                <w:tab w:val="left" w:pos="288"/>
                <w:tab w:val="left" w:pos="576"/>
                <w:tab w:val="left" w:pos="864"/>
                <w:tab w:val="left" w:pos="1152"/>
              </w:tabs>
              <w:suppressAutoHyphens/>
              <w:spacing w:before="61" w:after="30" w:line="210" w:lineRule="exact"/>
              <w:ind w:right="43"/>
              <w:jc w:val="right"/>
              <w:rPr>
                <w:sz w:val="17"/>
                <w:lang w:val="fr-FR"/>
              </w:rPr>
            </w:pPr>
          </w:p>
        </w:tc>
        <w:tc>
          <w:tcPr>
            <w:tcW w:w="944" w:type="dxa"/>
            <w:tcBorders>
              <w:top w:val="single" w:sz="4" w:space="0" w:color="auto"/>
            </w:tcBorders>
            <w:shd w:val="clear" w:color="000000" w:fill="FFFFFF"/>
            <w:noWrap/>
            <w:vAlign w:val="bottom"/>
          </w:tcPr>
          <w:p w14:paraId="3F9F0A86" w14:textId="77777777" w:rsidR="00744544" w:rsidRPr="00A66C9F" w:rsidRDefault="00744544" w:rsidP="00107D5D">
            <w:pPr>
              <w:tabs>
                <w:tab w:val="left" w:pos="288"/>
                <w:tab w:val="left" w:pos="576"/>
                <w:tab w:val="left" w:pos="864"/>
                <w:tab w:val="left" w:pos="1152"/>
              </w:tabs>
              <w:suppressAutoHyphens/>
              <w:spacing w:before="61" w:after="30" w:line="210" w:lineRule="exact"/>
              <w:ind w:right="43"/>
              <w:jc w:val="right"/>
              <w:rPr>
                <w:sz w:val="17"/>
                <w:lang w:val="fr-FR"/>
              </w:rPr>
            </w:pPr>
          </w:p>
        </w:tc>
        <w:tc>
          <w:tcPr>
            <w:tcW w:w="944" w:type="dxa"/>
            <w:tcBorders>
              <w:top w:val="single" w:sz="4" w:space="0" w:color="auto"/>
            </w:tcBorders>
            <w:shd w:val="clear" w:color="000000" w:fill="FFFFFF"/>
            <w:noWrap/>
            <w:vAlign w:val="bottom"/>
          </w:tcPr>
          <w:p w14:paraId="53639384" w14:textId="77777777" w:rsidR="00744544" w:rsidRPr="00A66C9F" w:rsidRDefault="00744544" w:rsidP="00107D5D">
            <w:pPr>
              <w:tabs>
                <w:tab w:val="left" w:pos="288"/>
                <w:tab w:val="left" w:pos="576"/>
                <w:tab w:val="left" w:pos="864"/>
                <w:tab w:val="left" w:pos="1152"/>
              </w:tabs>
              <w:suppressAutoHyphens/>
              <w:spacing w:before="61" w:after="30" w:line="210" w:lineRule="exact"/>
              <w:ind w:right="43"/>
              <w:jc w:val="right"/>
              <w:rPr>
                <w:sz w:val="17"/>
                <w:lang w:val="fr-FR"/>
              </w:rPr>
            </w:pPr>
          </w:p>
        </w:tc>
        <w:tc>
          <w:tcPr>
            <w:tcW w:w="944" w:type="dxa"/>
            <w:gridSpan w:val="2"/>
            <w:tcBorders>
              <w:top w:val="single" w:sz="4" w:space="0" w:color="auto"/>
            </w:tcBorders>
            <w:shd w:val="clear" w:color="000000" w:fill="FFFFFF"/>
            <w:noWrap/>
            <w:vAlign w:val="bottom"/>
          </w:tcPr>
          <w:p w14:paraId="2E1F0AD1" w14:textId="77777777" w:rsidR="00744544" w:rsidRPr="00A66C9F" w:rsidRDefault="00744544" w:rsidP="00107D5D">
            <w:pPr>
              <w:tabs>
                <w:tab w:val="left" w:pos="288"/>
                <w:tab w:val="left" w:pos="576"/>
                <w:tab w:val="left" w:pos="864"/>
                <w:tab w:val="left" w:pos="1152"/>
              </w:tabs>
              <w:suppressAutoHyphens/>
              <w:spacing w:before="61" w:after="30" w:line="210" w:lineRule="exact"/>
              <w:ind w:right="43"/>
              <w:jc w:val="right"/>
              <w:rPr>
                <w:sz w:val="17"/>
                <w:lang w:val="fr-FR"/>
              </w:rPr>
            </w:pPr>
          </w:p>
        </w:tc>
        <w:tc>
          <w:tcPr>
            <w:tcW w:w="944" w:type="dxa"/>
            <w:tcBorders>
              <w:top w:val="single" w:sz="4" w:space="0" w:color="auto"/>
            </w:tcBorders>
            <w:shd w:val="clear" w:color="000000" w:fill="FFFFFF"/>
            <w:noWrap/>
            <w:vAlign w:val="bottom"/>
          </w:tcPr>
          <w:p w14:paraId="77EEC1EC" w14:textId="77777777" w:rsidR="00744544" w:rsidRPr="00A66C9F" w:rsidRDefault="00744544" w:rsidP="00107D5D">
            <w:pPr>
              <w:tabs>
                <w:tab w:val="left" w:pos="288"/>
                <w:tab w:val="left" w:pos="576"/>
                <w:tab w:val="left" w:pos="864"/>
                <w:tab w:val="left" w:pos="1152"/>
              </w:tabs>
              <w:suppressAutoHyphens/>
              <w:spacing w:before="61" w:after="30" w:line="210" w:lineRule="exact"/>
              <w:ind w:right="43"/>
              <w:jc w:val="right"/>
              <w:rPr>
                <w:sz w:val="17"/>
                <w:lang w:val="fr-FR"/>
              </w:rPr>
            </w:pPr>
          </w:p>
        </w:tc>
        <w:tc>
          <w:tcPr>
            <w:tcW w:w="944" w:type="dxa"/>
            <w:tcBorders>
              <w:top w:val="single" w:sz="4" w:space="0" w:color="auto"/>
            </w:tcBorders>
            <w:shd w:val="clear" w:color="000000" w:fill="FFFFFF"/>
            <w:noWrap/>
            <w:vAlign w:val="bottom"/>
          </w:tcPr>
          <w:p w14:paraId="1D927E50" w14:textId="77777777" w:rsidR="00744544" w:rsidRPr="00A66C9F" w:rsidRDefault="00744544" w:rsidP="00107D5D">
            <w:pPr>
              <w:tabs>
                <w:tab w:val="left" w:pos="288"/>
                <w:tab w:val="left" w:pos="576"/>
                <w:tab w:val="left" w:pos="864"/>
                <w:tab w:val="left" w:pos="1152"/>
              </w:tabs>
              <w:suppressAutoHyphens/>
              <w:spacing w:before="61" w:after="30" w:line="210" w:lineRule="exact"/>
              <w:ind w:right="43"/>
              <w:jc w:val="right"/>
              <w:rPr>
                <w:sz w:val="17"/>
                <w:lang w:val="fr-FR"/>
              </w:rPr>
            </w:pPr>
          </w:p>
        </w:tc>
      </w:tr>
      <w:tr w:rsidR="00744544" w:rsidRPr="00A66C9F" w14:paraId="502E6C7C" w14:textId="77777777" w:rsidTr="00107D5D">
        <w:trPr>
          <w:cantSplit/>
        </w:trPr>
        <w:tc>
          <w:tcPr>
            <w:tcW w:w="1888" w:type="dxa"/>
            <w:gridSpan w:val="2"/>
            <w:shd w:val="clear" w:color="000000" w:fill="FFFFFF"/>
            <w:noWrap/>
            <w:vAlign w:val="bottom"/>
            <w:hideMark/>
          </w:tcPr>
          <w:p w14:paraId="7E0AE063" w14:textId="77777777" w:rsidR="00744544" w:rsidRPr="00A66C9F" w:rsidRDefault="00744544" w:rsidP="00107D5D">
            <w:pPr>
              <w:tabs>
                <w:tab w:val="left" w:pos="288"/>
                <w:tab w:val="left" w:pos="576"/>
                <w:tab w:val="left" w:pos="864"/>
                <w:tab w:val="left" w:pos="1152"/>
              </w:tabs>
              <w:suppressAutoHyphens/>
              <w:spacing w:before="30" w:after="30" w:line="210" w:lineRule="exact"/>
              <w:ind w:right="40"/>
              <w:rPr>
                <w:sz w:val="17"/>
                <w:lang w:val="fr-FR"/>
              </w:rPr>
            </w:pPr>
            <w:r w:rsidRPr="00A66C9F">
              <w:rPr>
                <w:sz w:val="17"/>
                <w:lang w:val="fr-FR"/>
              </w:rPr>
              <w:tab/>
              <w:t>Audit externe</w:t>
            </w:r>
          </w:p>
        </w:tc>
        <w:tc>
          <w:tcPr>
            <w:tcW w:w="944" w:type="dxa"/>
            <w:shd w:val="clear" w:color="000000" w:fill="FFFFFF"/>
            <w:noWrap/>
            <w:vAlign w:val="bottom"/>
            <w:hideMark/>
          </w:tcPr>
          <w:p w14:paraId="024F3B6B"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327,6</w:t>
            </w:r>
          </w:p>
        </w:tc>
        <w:tc>
          <w:tcPr>
            <w:tcW w:w="944" w:type="dxa"/>
            <w:shd w:val="clear" w:color="000000" w:fill="FFFFFF"/>
            <w:noWrap/>
            <w:vAlign w:val="bottom"/>
            <w:hideMark/>
          </w:tcPr>
          <w:p w14:paraId="34A71851"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65,5</w:t>
            </w:r>
          </w:p>
        </w:tc>
        <w:tc>
          <w:tcPr>
            <w:tcW w:w="944" w:type="dxa"/>
            <w:shd w:val="clear" w:color="000000" w:fill="FFFFFF"/>
            <w:noWrap/>
            <w:vAlign w:val="bottom"/>
            <w:hideMark/>
          </w:tcPr>
          <w:p w14:paraId="095CA7DC"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393,1</w:t>
            </w:r>
          </w:p>
        </w:tc>
        <w:tc>
          <w:tcPr>
            <w:tcW w:w="944" w:type="dxa"/>
            <w:gridSpan w:val="2"/>
            <w:shd w:val="clear" w:color="000000" w:fill="FFFFFF"/>
            <w:noWrap/>
            <w:vAlign w:val="bottom"/>
            <w:hideMark/>
          </w:tcPr>
          <w:p w14:paraId="42A05187"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0,1 </w:t>
            </w:r>
          </w:p>
        </w:tc>
        <w:tc>
          <w:tcPr>
            <w:tcW w:w="944" w:type="dxa"/>
            <w:shd w:val="clear" w:color="000000" w:fill="FFFFFF"/>
            <w:noWrap/>
            <w:vAlign w:val="bottom"/>
            <w:hideMark/>
          </w:tcPr>
          <w:p w14:paraId="1B648123"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0,1 </w:t>
            </w:r>
          </w:p>
        </w:tc>
        <w:tc>
          <w:tcPr>
            <w:tcW w:w="944" w:type="dxa"/>
            <w:shd w:val="clear" w:color="000000" w:fill="FFFFFF"/>
            <w:noWrap/>
            <w:vAlign w:val="bottom"/>
            <w:hideMark/>
          </w:tcPr>
          <w:p w14:paraId="79BACE10"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0,2 </w:t>
            </w:r>
          </w:p>
        </w:tc>
        <w:tc>
          <w:tcPr>
            <w:tcW w:w="944" w:type="dxa"/>
            <w:gridSpan w:val="2"/>
            <w:shd w:val="clear" w:color="000000" w:fill="FFFFFF"/>
            <w:noWrap/>
            <w:vAlign w:val="bottom"/>
            <w:hideMark/>
          </w:tcPr>
          <w:p w14:paraId="0E803E6A"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68E7330F"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w:t>
            </w:r>
          </w:p>
        </w:tc>
        <w:tc>
          <w:tcPr>
            <w:tcW w:w="944" w:type="dxa"/>
            <w:shd w:val="clear" w:color="000000" w:fill="FFFFFF"/>
            <w:noWrap/>
            <w:vAlign w:val="bottom"/>
            <w:hideMark/>
          </w:tcPr>
          <w:p w14:paraId="089EBC64"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w:t>
            </w:r>
          </w:p>
        </w:tc>
        <w:tc>
          <w:tcPr>
            <w:tcW w:w="944" w:type="dxa"/>
            <w:gridSpan w:val="2"/>
            <w:shd w:val="clear" w:color="000000" w:fill="FFFFFF"/>
            <w:noWrap/>
            <w:vAlign w:val="bottom"/>
            <w:hideMark/>
          </w:tcPr>
          <w:p w14:paraId="4CADF80F"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327,7</w:t>
            </w:r>
          </w:p>
        </w:tc>
        <w:tc>
          <w:tcPr>
            <w:tcW w:w="944" w:type="dxa"/>
            <w:shd w:val="clear" w:color="000000" w:fill="FFFFFF"/>
            <w:noWrap/>
            <w:vAlign w:val="bottom"/>
            <w:hideMark/>
          </w:tcPr>
          <w:p w14:paraId="491225F9"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65,6</w:t>
            </w:r>
          </w:p>
        </w:tc>
        <w:tc>
          <w:tcPr>
            <w:tcW w:w="944" w:type="dxa"/>
            <w:shd w:val="clear" w:color="000000" w:fill="FFFFFF"/>
            <w:noWrap/>
            <w:vAlign w:val="bottom"/>
            <w:hideMark/>
          </w:tcPr>
          <w:p w14:paraId="5847A915"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393,3</w:t>
            </w:r>
          </w:p>
        </w:tc>
      </w:tr>
      <w:tr w:rsidR="00744544" w:rsidRPr="00A66C9F" w14:paraId="41525B9C" w14:textId="77777777" w:rsidTr="00107D5D">
        <w:trPr>
          <w:cantSplit/>
        </w:trPr>
        <w:tc>
          <w:tcPr>
            <w:tcW w:w="1888" w:type="dxa"/>
            <w:gridSpan w:val="2"/>
            <w:tcBorders>
              <w:bottom w:val="single" w:sz="4" w:space="0" w:color="auto"/>
            </w:tcBorders>
            <w:shd w:val="clear" w:color="000000" w:fill="FFFFFF"/>
            <w:noWrap/>
            <w:vAlign w:val="bottom"/>
            <w:hideMark/>
          </w:tcPr>
          <w:p w14:paraId="2004B36E" w14:textId="77777777" w:rsidR="00744544" w:rsidRPr="00A66C9F" w:rsidRDefault="00744544" w:rsidP="00107D5D">
            <w:pPr>
              <w:tabs>
                <w:tab w:val="left" w:pos="288"/>
                <w:tab w:val="left" w:pos="576"/>
                <w:tab w:val="left" w:pos="864"/>
                <w:tab w:val="left" w:pos="1152"/>
              </w:tabs>
              <w:suppressAutoHyphens/>
              <w:spacing w:before="30" w:after="61" w:line="210" w:lineRule="exact"/>
              <w:ind w:right="40"/>
              <w:rPr>
                <w:sz w:val="17"/>
                <w:lang w:val="fr-FR"/>
              </w:rPr>
            </w:pPr>
            <w:r w:rsidRPr="00A66C9F">
              <w:rPr>
                <w:sz w:val="17"/>
                <w:lang w:val="fr-FR"/>
              </w:rPr>
              <w:tab/>
              <w:t>Audit interne</w:t>
            </w:r>
          </w:p>
        </w:tc>
        <w:tc>
          <w:tcPr>
            <w:tcW w:w="944" w:type="dxa"/>
            <w:tcBorders>
              <w:bottom w:val="single" w:sz="4" w:space="0" w:color="auto"/>
            </w:tcBorders>
            <w:shd w:val="clear" w:color="000000" w:fill="FFFFFF"/>
            <w:noWrap/>
            <w:vAlign w:val="bottom"/>
            <w:hideMark/>
          </w:tcPr>
          <w:p w14:paraId="6F644964" w14:textId="77777777" w:rsidR="00744544" w:rsidRPr="00A66C9F" w:rsidRDefault="00744544" w:rsidP="00107D5D">
            <w:pPr>
              <w:tabs>
                <w:tab w:val="left" w:pos="288"/>
                <w:tab w:val="left" w:pos="576"/>
                <w:tab w:val="left" w:pos="864"/>
                <w:tab w:val="left" w:pos="1152"/>
              </w:tabs>
              <w:suppressAutoHyphens/>
              <w:spacing w:before="30" w:after="61" w:line="210" w:lineRule="exact"/>
              <w:ind w:right="43"/>
              <w:jc w:val="right"/>
              <w:rPr>
                <w:sz w:val="17"/>
                <w:lang w:val="fr-FR"/>
              </w:rPr>
            </w:pPr>
            <w:r w:rsidRPr="00A66C9F">
              <w:rPr>
                <w:sz w:val="17"/>
                <w:lang w:val="fr-FR"/>
              </w:rPr>
              <w:t xml:space="preserve"> 887,3 </w:t>
            </w:r>
          </w:p>
        </w:tc>
        <w:tc>
          <w:tcPr>
            <w:tcW w:w="944" w:type="dxa"/>
            <w:tcBorders>
              <w:bottom w:val="single" w:sz="4" w:space="0" w:color="auto"/>
            </w:tcBorders>
            <w:shd w:val="clear" w:color="000000" w:fill="FFFFFF"/>
            <w:noWrap/>
            <w:vAlign w:val="bottom"/>
            <w:hideMark/>
          </w:tcPr>
          <w:p w14:paraId="756077A3" w14:textId="77777777" w:rsidR="00744544" w:rsidRPr="00A66C9F" w:rsidRDefault="00744544" w:rsidP="00107D5D">
            <w:pPr>
              <w:tabs>
                <w:tab w:val="left" w:pos="288"/>
                <w:tab w:val="left" w:pos="576"/>
                <w:tab w:val="left" w:pos="864"/>
                <w:tab w:val="left" w:pos="1152"/>
              </w:tabs>
              <w:suppressAutoHyphens/>
              <w:spacing w:before="30" w:after="61" w:line="210" w:lineRule="exact"/>
              <w:ind w:right="43"/>
              <w:jc w:val="right"/>
              <w:rPr>
                <w:sz w:val="17"/>
                <w:lang w:val="fr-FR"/>
              </w:rPr>
            </w:pPr>
            <w:r w:rsidRPr="00A66C9F">
              <w:rPr>
                <w:sz w:val="17"/>
                <w:lang w:val="fr-FR"/>
              </w:rPr>
              <w:t>177,5</w:t>
            </w:r>
          </w:p>
        </w:tc>
        <w:tc>
          <w:tcPr>
            <w:tcW w:w="944" w:type="dxa"/>
            <w:tcBorders>
              <w:bottom w:val="single" w:sz="4" w:space="0" w:color="auto"/>
            </w:tcBorders>
            <w:shd w:val="clear" w:color="000000" w:fill="FFFFFF"/>
            <w:noWrap/>
            <w:vAlign w:val="bottom"/>
            <w:hideMark/>
          </w:tcPr>
          <w:p w14:paraId="10DAA13A" w14:textId="77777777" w:rsidR="00744544" w:rsidRPr="00A66C9F" w:rsidRDefault="00744544" w:rsidP="00107D5D">
            <w:pPr>
              <w:tabs>
                <w:tab w:val="left" w:pos="288"/>
                <w:tab w:val="left" w:pos="576"/>
                <w:tab w:val="left" w:pos="864"/>
                <w:tab w:val="left" w:pos="1152"/>
              </w:tabs>
              <w:suppressAutoHyphens/>
              <w:spacing w:before="30" w:after="61" w:line="210" w:lineRule="exact"/>
              <w:ind w:right="43"/>
              <w:jc w:val="right"/>
              <w:rPr>
                <w:sz w:val="17"/>
                <w:lang w:val="fr-FR"/>
              </w:rPr>
            </w:pPr>
            <w:r w:rsidRPr="00A66C9F">
              <w:rPr>
                <w:sz w:val="17"/>
                <w:lang w:val="fr-FR"/>
              </w:rPr>
              <w:t xml:space="preserve"> 1 064,8 </w:t>
            </w:r>
          </w:p>
        </w:tc>
        <w:tc>
          <w:tcPr>
            <w:tcW w:w="944" w:type="dxa"/>
            <w:gridSpan w:val="2"/>
            <w:tcBorders>
              <w:bottom w:val="single" w:sz="4" w:space="0" w:color="auto"/>
            </w:tcBorders>
            <w:shd w:val="clear" w:color="000000" w:fill="FFFFFF"/>
            <w:noWrap/>
            <w:vAlign w:val="bottom"/>
            <w:hideMark/>
          </w:tcPr>
          <w:p w14:paraId="2E67EF09" w14:textId="77777777" w:rsidR="00744544" w:rsidRPr="00A66C9F" w:rsidRDefault="00744544" w:rsidP="00107D5D">
            <w:pPr>
              <w:tabs>
                <w:tab w:val="left" w:pos="288"/>
                <w:tab w:val="left" w:pos="576"/>
                <w:tab w:val="left" w:pos="864"/>
                <w:tab w:val="left" w:pos="1152"/>
              </w:tabs>
              <w:suppressAutoHyphens/>
              <w:spacing w:before="30" w:after="61" w:line="210" w:lineRule="exact"/>
              <w:ind w:right="43"/>
              <w:jc w:val="right"/>
              <w:rPr>
                <w:sz w:val="17"/>
                <w:lang w:val="fr-FR"/>
              </w:rPr>
            </w:pPr>
            <w:r w:rsidRPr="00A66C9F">
              <w:rPr>
                <w:sz w:val="17"/>
                <w:lang w:val="fr-FR"/>
              </w:rPr>
              <w:t xml:space="preserve"> (120,9)</w:t>
            </w:r>
          </w:p>
        </w:tc>
        <w:tc>
          <w:tcPr>
            <w:tcW w:w="944" w:type="dxa"/>
            <w:tcBorders>
              <w:bottom w:val="single" w:sz="4" w:space="0" w:color="auto"/>
            </w:tcBorders>
            <w:shd w:val="clear" w:color="000000" w:fill="FFFFFF"/>
            <w:noWrap/>
            <w:vAlign w:val="bottom"/>
            <w:hideMark/>
          </w:tcPr>
          <w:p w14:paraId="6449F240" w14:textId="77777777" w:rsidR="00744544" w:rsidRPr="00A66C9F" w:rsidRDefault="00744544" w:rsidP="00107D5D">
            <w:pPr>
              <w:tabs>
                <w:tab w:val="left" w:pos="288"/>
                <w:tab w:val="left" w:pos="576"/>
                <w:tab w:val="left" w:pos="864"/>
                <w:tab w:val="left" w:pos="1152"/>
              </w:tabs>
              <w:suppressAutoHyphens/>
              <w:spacing w:before="30" w:after="61" w:line="210" w:lineRule="exact"/>
              <w:ind w:right="43"/>
              <w:jc w:val="right"/>
              <w:rPr>
                <w:sz w:val="17"/>
                <w:lang w:val="fr-FR"/>
              </w:rPr>
            </w:pPr>
            <w:r w:rsidRPr="00A66C9F">
              <w:rPr>
                <w:sz w:val="17"/>
                <w:lang w:val="fr-FR"/>
              </w:rPr>
              <w:t xml:space="preserve"> (24,2)</w:t>
            </w:r>
          </w:p>
        </w:tc>
        <w:tc>
          <w:tcPr>
            <w:tcW w:w="944" w:type="dxa"/>
            <w:tcBorders>
              <w:bottom w:val="single" w:sz="4" w:space="0" w:color="auto"/>
            </w:tcBorders>
            <w:shd w:val="clear" w:color="000000" w:fill="FFFFFF"/>
            <w:noWrap/>
            <w:vAlign w:val="bottom"/>
            <w:hideMark/>
          </w:tcPr>
          <w:p w14:paraId="03DF741E" w14:textId="77777777" w:rsidR="00744544" w:rsidRPr="00A66C9F" w:rsidRDefault="00744544" w:rsidP="00107D5D">
            <w:pPr>
              <w:tabs>
                <w:tab w:val="left" w:pos="288"/>
                <w:tab w:val="left" w:pos="576"/>
                <w:tab w:val="left" w:pos="864"/>
                <w:tab w:val="left" w:pos="1152"/>
              </w:tabs>
              <w:suppressAutoHyphens/>
              <w:spacing w:before="30" w:after="61" w:line="210" w:lineRule="exact"/>
              <w:ind w:right="43"/>
              <w:jc w:val="right"/>
              <w:rPr>
                <w:sz w:val="17"/>
                <w:lang w:val="fr-FR"/>
              </w:rPr>
            </w:pPr>
            <w:r w:rsidRPr="00A66C9F">
              <w:rPr>
                <w:sz w:val="17"/>
                <w:lang w:val="fr-FR"/>
              </w:rPr>
              <w:t xml:space="preserve"> (145,1)</w:t>
            </w:r>
          </w:p>
        </w:tc>
        <w:tc>
          <w:tcPr>
            <w:tcW w:w="944" w:type="dxa"/>
            <w:gridSpan w:val="2"/>
            <w:tcBorders>
              <w:bottom w:val="single" w:sz="4" w:space="0" w:color="auto"/>
            </w:tcBorders>
            <w:shd w:val="clear" w:color="000000" w:fill="FFFFFF"/>
            <w:noWrap/>
            <w:vAlign w:val="bottom"/>
            <w:hideMark/>
          </w:tcPr>
          <w:p w14:paraId="2E7667D5" w14:textId="77777777" w:rsidR="00744544" w:rsidRPr="00A66C9F" w:rsidRDefault="00744544" w:rsidP="00107D5D">
            <w:pPr>
              <w:tabs>
                <w:tab w:val="left" w:pos="288"/>
                <w:tab w:val="left" w:pos="576"/>
                <w:tab w:val="left" w:pos="864"/>
                <w:tab w:val="left" w:pos="1152"/>
              </w:tabs>
              <w:suppressAutoHyphens/>
              <w:spacing w:before="30" w:after="61" w:line="210" w:lineRule="exact"/>
              <w:ind w:right="43"/>
              <w:jc w:val="right"/>
              <w:rPr>
                <w:sz w:val="17"/>
                <w:lang w:val="fr-FR"/>
              </w:rPr>
            </w:pPr>
            <w:r w:rsidRPr="00A66C9F">
              <w:rPr>
                <w:sz w:val="17"/>
                <w:lang w:val="fr-FR"/>
              </w:rPr>
              <w:t>358,9</w:t>
            </w:r>
          </w:p>
        </w:tc>
        <w:tc>
          <w:tcPr>
            <w:tcW w:w="944" w:type="dxa"/>
            <w:tcBorders>
              <w:bottom w:val="single" w:sz="4" w:space="0" w:color="auto"/>
            </w:tcBorders>
            <w:shd w:val="clear" w:color="000000" w:fill="FFFFFF"/>
            <w:noWrap/>
            <w:vAlign w:val="bottom"/>
            <w:hideMark/>
          </w:tcPr>
          <w:p w14:paraId="0F7A346B" w14:textId="77777777" w:rsidR="00744544" w:rsidRPr="00A66C9F" w:rsidRDefault="00744544" w:rsidP="00107D5D">
            <w:pPr>
              <w:tabs>
                <w:tab w:val="left" w:pos="288"/>
                <w:tab w:val="left" w:pos="576"/>
                <w:tab w:val="left" w:pos="864"/>
                <w:tab w:val="left" w:pos="1152"/>
              </w:tabs>
              <w:suppressAutoHyphens/>
              <w:spacing w:before="30" w:after="61" w:line="210" w:lineRule="exact"/>
              <w:ind w:right="43"/>
              <w:jc w:val="right"/>
              <w:rPr>
                <w:sz w:val="17"/>
                <w:lang w:val="fr-FR"/>
              </w:rPr>
            </w:pPr>
            <w:r w:rsidRPr="00A66C9F">
              <w:rPr>
                <w:sz w:val="17"/>
                <w:lang w:val="fr-FR"/>
              </w:rPr>
              <w:t>71,8</w:t>
            </w:r>
          </w:p>
        </w:tc>
        <w:tc>
          <w:tcPr>
            <w:tcW w:w="944" w:type="dxa"/>
            <w:tcBorders>
              <w:bottom w:val="single" w:sz="4" w:space="0" w:color="auto"/>
            </w:tcBorders>
            <w:shd w:val="clear" w:color="000000" w:fill="FFFFFF"/>
            <w:noWrap/>
            <w:vAlign w:val="bottom"/>
            <w:hideMark/>
          </w:tcPr>
          <w:p w14:paraId="5E399EC6" w14:textId="77777777" w:rsidR="00744544" w:rsidRPr="00A66C9F" w:rsidRDefault="00744544" w:rsidP="00107D5D">
            <w:pPr>
              <w:tabs>
                <w:tab w:val="left" w:pos="288"/>
                <w:tab w:val="left" w:pos="576"/>
                <w:tab w:val="left" w:pos="864"/>
                <w:tab w:val="left" w:pos="1152"/>
              </w:tabs>
              <w:suppressAutoHyphens/>
              <w:spacing w:before="30" w:after="61" w:line="210" w:lineRule="exact"/>
              <w:ind w:right="43"/>
              <w:jc w:val="right"/>
              <w:rPr>
                <w:sz w:val="17"/>
                <w:lang w:val="fr-FR"/>
              </w:rPr>
            </w:pPr>
            <w:r w:rsidRPr="00A66C9F">
              <w:rPr>
                <w:sz w:val="17"/>
                <w:lang w:val="fr-FR"/>
              </w:rPr>
              <w:t>430,7</w:t>
            </w:r>
          </w:p>
        </w:tc>
        <w:tc>
          <w:tcPr>
            <w:tcW w:w="944" w:type="dxa"/>
            <w:gridSpan w:val="2"/>
            <w:tcBorders>
              <w:bottom w:val="single" w:sz="4" w:space="0" w:color="auto"/>
            </w:tcBorders>
            <w:shd w:val="clear" w:color="000000" w:fill="FFFFFF"/>
            <w:noWrap/>
            <w:vAlign w:val="bottom"/>
            <w:hideMark/>
          </w:tcPr>
          <w:p w14:paraId="638CEAB8" w14:textId="77777777" w:rsidR="00744544" w:rsidRPr="00A66C9F" w:rsidRDefault="00744544" w:rsidP="00107D5D">
            <w:pPr>
              <w:tabs>
                <w:tab w:val="left" w:pos="288"/>
                <w:tab w:val="left" w:pos="576"/>
                <w:tab w:val="left" w:pos="864"/>
                <w:tab w:val="left" w:pos="1152"/>
              </w:tabs>
              <w:suppressAutoHyphens/>
              <w:spacing w:before="30" w:after="61" w:line="210" w:lineRule="exact"/>
              <w:ind w:right="43"/>
              <w:jc w:val="right"/>
              <w:rPr>
                <w:sz w:val="17"/>
                <w:lang w:val="fr-FR"/>
              </w:rPr>
            </w:pPr>
            <w:r w:rsidRPr="00A66C9F">
              <w:rPr>
                <w:sz w:val="17"/>
                <w:lang w:val="fr-FR"/>
              </w:rPr>
              <w:t xml:space="preserve"> 1 125,3 </w:t>
            </w:r>
          </w:p>
        </w:tc>
        <w:tc>
          <w:tcPr>
            <w:tcW w:w="944" w:type="dxa"/>
            <w:tcBorders>
              <w:bottom w:val="single" w:sz="4" w:space="0" w:color="auto"/>
            </w:tcBorders>
            <w:shd w:val="clear" w:color="000000" w:fill="FFFFFF"/>
            <w:noWrap/>
            <w:vAlign w:val="bottom"/>
            <w:hideMark/>
          </w:tcPr>
          <w:p w14:paraId="3015780D" w14:textId="77777777" w:rsidR="00744544" w:rsidRPr="00A66C9F" w:rsidRDefault="00744544" w:rsidP="00107D5D">
            <w:pPr>
              <w:tabs>
                <w:tab w:val="left" w:pos="288"/>
                <w:tab w:val="left" w:pos="576"/>
                <w:tab w:val="left" w:pos="864"/>
                <w:tab w:val="left" w:pos="1152"/>
              </w:tabs>
              <w:suppressAutoHyphens/>
              <w:spacing w:before="30" w:after="61" w:line="210" w:lineRule="exact"/>
              <w:ind w:right="43"/>
              <w:jc w:val="right"/>
              <w:rPr>
                <w:sz w:val="17"/>
                <w:lang w:val="fr-FR"/>
              </w:rPr>
            </w:pPr>
            <w:r w:rsidRPr="00A66C9F">
              <w:rPr>
                <w:sz w:val="17"/>
                <w:lang w:val="fr-FR"/>
              </w:rPr>
              <w:t>225,1</w:t>
            </w:r>
          </w:p>
        </w:tc>
        <w:tc>
          <w:tcPr>
            <w:tcW w:w="944" w:type="dxa"/>
            <w:tcBorders>
              <w:bottom w:val="single" w:sz="4" w:space="0" w:color="auto"/>
            </w:tcBorders>
            <w:shd w:val="clear" w:color="000000" w:fill="FFFFFF"/>
            <w:noWrap/>
            <w:vAlign w:val="bottom"/>
            <w:hideMark/>
          </w:tcPr>
          <w:p w14:paraId="42AB5115" w14:textId="77777777" w:rsidR="00744544" w:rsidRPr="00A66C9F" w:rsidRDefault="00744544" w:rsidP="00107D5D">
            <w:pPr>
              <w:tabs>
                <w:tab w:val="left" w:pos="288"/>
                <w:tab w:val="left" w:pos="576"/>
                <w:tab w:val="left" w:pos="864"/>
                <w:tab w:val="left" w:pos="1152"/>
              </w:tabs>
              <w:suppressAutoHyphens/>
              <w:spacing w:before="30" w:after="61" w:line="210" w:lineRule="exact"/>
              <w:ind w:right="43"/>
              <w:jc w:val="right"/>
              <w:rPr>
                <w:sz w:val="17"/>
                <w:lang w:val="fr-FR"/>
              </w:rPr>
            </w:pPr>
            <w:r w:rsidRPr="00A66C9F">
              <w:rPr>
                <w:sz w:val="17"/>
                <w:lang w:val="fr-FR"/>
              </w:rPr>
              <w:t xml:space="preserve"> 1 350,4 </w:t>
            </w:r>
          </w:p>
        </w:tc>
      </w:tr>
      <w:tr w:rsidR="00744544" w:rsidRPr="00A66C9F" w14:paraId="1D0F62C7" w14:textId="77777777" w:rsidTr="00107D5D">
        <w:trPr>
          <w:cantSplit/>
        </w:trPr>
        <w:tc>
          <w:tcPr>
            <w:tcW w:w="1888" w:type="dxa"/>
            <w:gridSpan w:val="2"/>
            <w:tcBorders>
              <w:top w:val="single" w:sz="4" w:space="0" w:color="auto"/>
              <w:bottom w:val="single" w:sz="4" w:space="0" w:color="auto"/>
            </w:tcBorders>
            <w:shd w:val="clear" w:color="000000" w:fill="FFFFFF"/>
            <w:noWrap/>
            <w:vAlign w:val="bottom"/>
            <w:hideMark/>
          </w:tcPr>
          <w:p w14:paraId="0F91465E" w14:textId="77777777" w:rsidR="00744544" w:rsidRPr="00A66C9F" w:rsidRDefault="00744544" w:rsidP="00107D5D">
            <w:pPr>
              <w:tabs>
                <w:tab w:val="left" w:pos="288"/>
                <w:tab w:val="left" w:pos="576"/>
                <w:tab w:val="left" w:pos="864"/>
                <w:tab w:val="left" w:pos="1152"/>
              </w:tabs>
              <w:suppressAutoHyphens/>
              <w:spacing w:before="61" w:after="61" w:line="210" w:lineRule="exact"/>
              <w:ind w:right="40"/>
              <w:rPr>
                <w:b/>
                <w:sz w:val="17"/>
                <w:lang w:val="fr-FR"/>
              </w:rPr>
            </w:pPr>
            <w:r w:rsidRPr="00A66C9F">
              <w:rPr>
                <w:b/>
                <w:sz w:val="17"/>
                <w:lang w:val="fr-FR"/>
              </w:rPr>
              <w:tab/>
              <w:t>Total partiel</w:t>
            </w:r>
          </w:p>
        </w:tc>
        <w:tc>
          <w:tcPr>
            <w:tcW w:w="944" w:type="dxa"/>
            <w:tcBorders>
              <w:top w:val="single" w:sz="4" w:space="0" w:color="auto"/>
              <w:bottom w:val="single" w:sz="4" w:space="0" w:color="auto"/>
            </w:tcBorders>
            <w:shd w:val="clear" w:color="000000" w:fill="FFFFFF"/>
            <w:noWrap/>
            <w:vAlign w:val="bottom"/>
            <w:hideMark/>
          </w:tcPr>
          <w:p w14:paraId="53453DB1" w14:textId="77777777" w:rsidR="00744544" w:rsidRPr="00A66C9F" w:rsidRDefault="00744544" w:rsidP="00107D5D">
            <w:pPr>
              <w:tabs>
                <w:tab w:val="left" w:pos="288"/>
                <w:tab w:val="left" w:pos="576"/>
                <w:tab w:val="left" w:pos="864"/>
                <w:tab w:val="left" w:pos="1152"/>
              </w:tabs>
              <w:suppressAutoHyphens/>
              <w:spacing w:before="61" w:after="61" w:line="210" w:lineRule="exact"/>
              <w:ind w:right="43"/>
              <w:jc w:val="right"/>
              <w:rPr>
                <w:b/>
                <w:sz w:val="17"/>
                <w:lang w:val="fr-FR"/>
              </w:rPr>
            </w:pPr>
            <w:r w:rsidRPr="00A66C9F">
              <w:rPr>
                <w:b/>
                <w:sz w:val="17"/>
                <w:lang w:val="fr-FR"/>
              </w:rPr>
              <w:t xml:space="preserve"> 1 214,9 </w:t>
            </w:r>
          </w:p>
        </w:tc>
        <w:tc>
          <w:tcPr>
            <w:tcW w:w="944" w:type="dxa"/>
            <w:tcBorders>
              <w:top w:val="single" w:sz="4" w:space="0" w:color="auto"/>
              <w:bottom w:val="single" w:sz="4" w:space="0" w:color="auto"/>
            </w:tcBorders>
            <w:shd w:val="clear" w:color="000000" w:fill="FFFFFF"/>
            <w:noWrap/>
            <w:vAlign w:val="bottom"/>
            <w:hideMark/>
          </w:tcPr>
          <w:p w14:paraId="225C9C53" w14:textId="77777777" w:rsidR="00744544" w:rsidRPr="00A66C9F" w:rsidRDefault="00744544" w:rsidP="00107D5D">
            <w:pPr>
              <w:tabs>
                <w:tab w:val="left" w:pos="288"/>
                <w:tab w:val="left" w:pos="576"/>
                <w:tab w:val="left" w:pos="864"/>
                <w:tab w:val="left" w:pos="1152"/>
              </w:tabs>
              <w:suppressAutoHyphens/>
              <w:spacing w:before="61" w:after="61" w:line="210" w:lineRule="exact"/>
              <w:ind w:right="43"/>
              <w:jc w:val="right"/>
              <w:rPr>
                <w:b/>
                <w:sz w:val="17"/>
                <w:lang w:val="fr-FR"/>
              </w:rPr>
            </w:pPr>
            <w:r w:rsidRPr="00A66C9F">
              <w:rPr>
                <w:b/>
                <w:sz w:val="17"/>
                <w:lang w:val="fr-FR"/>
              </w:rPr>
              <w:t>243,0</w:t>
            </w:r>
          </w:p>
        </w:tc>
        <w:tc>
          <w:tcPr>
            <w:tcW w:w="944" w:type="dxa"/>
            <w:tcBorders>
              <w:top w:val="single" w:sz="4" w:space="0" w:color="auto"/>
              <w:bottom w:val="single" w:sz="4" w:space="0" w:color="auto"/>
            </w:tcBorders>
            <w:shd w:val="clear" w:color="000000" w:fill="FFFFFF"/>
            <w:noWrap/>
            <w:vAlign w:val="bottom"/>
            <w:hideMark/>
          </w:tcPr>
          <w:p w14:paraId="55E5DAA4" w14:textId="77777777" w:rsidR="00744544" w:rsidRPr="00A66C9F" w:rsidRDefault="00744544" w:rsidP="00107D5D">
            <w:pPr>
              <w:tabs>
                <w:tab w:val="left" w:pos="288"/>
                <w:tab w:val="left" w:pos="576"/>
                <w:tab w:val="left" w:pos="864"/>
                <w:tab w:val="left" w:pos="1152"/>
              </w:tabs>
              <w:suppressAutoHyphens/>
              <w:spacing w:before="61" w:after="61" w:line="210" w:lineRule="exact"/>
              <w:ind w:right="43"/>
              <w:jc w:val="right"/>
              <w:rPr>
                <w:b/>
                <w:sz w:val="17"/>
                <w:lang w:val="fr-FR"/>
              </w:rPr>
            </w:pPr>
            <w:r w:rsidRPr="00A66C9F">
              <w:rPr>
                <w:b/>
                <w:sz w:val="17"/>
                <w:lang w:val="fr-FR"/>
              </w:rPr>
              <w:t xml:space="preserve"> 1 457,9 </w:t>
            </w:r>
          </w:p>
        </w:tc>
        <w:tc>
          <w:tcPr>
            <w:tcW w:w="944" w:type="dxa"/>
            <w:gridSpan w:val="2"/>
            <w:tcBorders>
              <w:top w:val="single" w:sz="4" w:space="0" w:color="auto"/>
              <w:bottom w:val="single" w:sz="4" w:space="0" w:color="auto"/>
            </w:tcBorders>
            <w:shd w:val="clear" w:color="000000" w:fill="FFFFFF"/>
            <w:noWrap/>
            <w:vAlign w:val="bottom"/>
            <w:hideMark/>
          </w:tcPr>
          <w:p w14:paraId="6E01B226" w14:textId="77777777" w:rsidR="00744544" w:rsidRPr="00A66C9F" w:rsidRDefault="00744544" w:rsidP="00107D5D">
            <w:pPr>
              <w:tabs>
                <w:tab w:val="left" w:pos="288"/>
                <w:tab w:val="left" w:pos="576"/>
                <w:tab w:val="left" w:pos="864"/>
                <w:tab w:val="left" w:pos="1152"/>
              </w:tabs>
              <w:suppressAutoHyphens/>
              <w:spacing w:before="61" w:after="61" w:line="210" w:lineRule="exact"/>
              <w:ind w:right="43"/>
              <w:jc w:val="right"/>
              <w:rPr>
                <w:b/>
                <w:sz w:val="17"/>
                <w:lang w:val="fr-FR"/>
              </w:rPr>
            </w:pPr>
            <w:r w:rsidRPr="00A66C9F">
              <w:rPr>
                <w:b/>
                <w:sz w:val="17"/>
                <w:lang w:val="fr-FR"/>
              </w:rPr>
              <w:t xml:space="preserve"> (120,8)</w:t>
            </w:r>
          </w:p>
        </w:tc>
        <w:tc>
          <w:tcPr>
            <w:tcW w:w="944" w:type="dxa"/>
            <w:tcBorders>
              <w:top w:val="single" w:sz="4" w:space="0" w:color="auto"/>
              <w:bottom w:val="single" w:sz="4" w:space="0" w:color="auto"/>
            </w:tcBorders>
            <w:shd w:val="clear" w:color="000000" w:fill="FFFFFF"/>
            <w:noWrap/>
            <w:vAlign w:val="bottom"/>
            <w:hideMark/>
          </w:tcPr>
          <w:p w14:paraId="521C3D36" w14:textId="77777777" w:rsidR="00744544" w:rsidRPr="00A66C9F" w:rsidRDefault="00744544" w:rsidP="00107D5D">
            <w:pPr>
              <w:tabs>
                <w:tab w:val="left" w:pos="288"/>
                <w:tab w:val="left" w:pos="576"/>
                <w:tab w:val="left" w:pos="864"/>
                <w:tab w:val="left" w:pos="1152"/>
              </w:tabs>
              <w:suppressAutoHyphens/>
              <w:spacing w:before="61" w:after="61" w:line="210" w:lineRule="exact"/>
              <w:ind w:right="43"/>
              <w:jc w:val="right"/>
              <w:rPr>
                <w:b/>
                <w:sz w:val="17"/>
                <w:lang w:val="fr-FR"/>
              </w:rPr>
            </w:pPr>
            <w:r w:rsidRPr="00A66C9F">
              <w:rPr>
                <w:b/>
                <w:sz w:val="17"/>
                <w:lang w:val="fr-FR"/>
              </w:rPr>
              <w:t xml:space="preserve"> (24,1)</w:t>
            </w:r>
          </w:p>
        </w:tc>
        <w:tc>
          <w:tcPr>
            <w:tcW w:w="944" w:type="dxa"/>
            <w:tcBorders>
              <w:top w:val="single" w:sz="4" w:space="0" w:color="auto"/>
              <w:bottom w:val="single" w:sz="4" w:space="0" w:color="auto"/>
            </w:tcBorders>
            <w:shd w:val="clear" w:color="000000" w:fill="FFFFFF"/>
            <w:noWrap/>
            <w:vAlign w:val="bottom"/>
            <w:hideMark/>
          </w:tcPr>
          <w:p w14:paraId="20651F8E" w14:textId="77777777" w:rsidR="00744544" w:rsidRPr="00A66C9F" w:rsidRDefault="00744544" w:rsidP="00107D5D">
            <w:pPr>
              <w:tabs>
                <w:tab w:val="left" w:pos="288"/>
                <w:tab w:val="left" w:pos="576"/>
                <w:tab w:val="left" w:pos="864"/>
                <w:tab w:val="left" w:pos="1152"/>
              </w:tabs>
              <w:suppressAutoHyphens/>
              <w:spacing w:before="61" w:after="61" w:line="210" w:lineRule="exact"/>
              <w:ind w:right="43"/>
              <w:jc w:val="right"/>
              <w:rPr>
                <w:b/>
                <w:sz w:val="17"/>
                <w:lang w:val="fr-FR"/>
              </w:rPr>
            </w:pPr>
            <w:r w:rsidRPr="00A66C9F">
              <w:rPr>
                <w:b/>
                <w:sz w:val="17"/>
                <w:lang w:val="fr-FR"/>
              </w:rPr>
              <w:t xml:space="preserve"> (144,9)</w:t>
            </w:r>
          </w:p>
        </w:tc>
        <w:tc>
          <w:tcPr>
            <w:tcW w:w="944" w:type="dxa"/>
            <w:gridSpan w:val="2"/>
            <w:tcBorders>
              <w:top w:val="single" w:sz="4" w:space="0" w:color="auto"/>
              <w:bottom w:val="single" w:sz="4" w:space="0" w:color="auto"/>
            </w:tcBorders>
            <w:shd w:val="clear" w:color="000000" w:fill="FFFFFF"/>
            <w:noWrap/>
            <w:vAlign w:val="bottom"/>
            <w:hideMark/>
          </w:tcPr>
          <w:p w14:paraId="62784361" w14:textId="77777777" w:rsidR="00744544" w:rsidRPr="00A66C9F" w:rsidRDefault="00744544" w:rsidP="00107D5D">
            <w:pPr>
              <w:tabs>
                <w:tab w:val="left" w:pos="288"/>
                <w:tab w:val="left" w:pos="576"/>
                <w:tab w:val="left" w:pos="864"/>
                <w:tab w:val="left" w:pos="1152"/>
              </w:tabs>
              <w:suppressAutoHyphens/>
              <w:spacing w:before="61" w:after="61" w:line="210" w:lineRule="exact"/>
              <w:ind w:right="43"/>
              <w:jc w:val="right"/>
              <w:rPr>
                <w:b/>
                <w:sz w:val="17"/>
                <w:lang w:val="fr-FR"/>
              </w:rPr>
            </w:pPr>
            <w:r w:rsidRPr="00A66C9F">
              <w:rPr>
                <w:b/>
                <w:sz w:val="17"/>
                <w:lang w:val="fr-FR"/>
              </w:rPr>
              <w:t>358,9</w:t>
            </w:r>
          </w:p>
        </w:tc>
        <w:tc>
          <w:tcPr>
            <w:tcW w:w="944" w:type="dxa"/>
            <w:tcBorders>
              <w:top w:val="single" w:sz="4" w:space="0" w:color="auto"/>
              <w:bottom w:val="single" w:sz="4" w:space="0" w:color="auto"/>
            </w:tcBorders>
            <w:shd w:val="clear" w:color="000000" w:fill="FFFFFF"/>
            <w:noWrap/>
            <w:vAlign w:val="bottom"/>
            <w:hideMark/>
          </w:tcPr>
          <w:p w14:paraId="3ABDD44E" w14:textId="77777777" w:rsidR="00744544" w:rsidRPr="00A66C9F" w:rsidRDefault="00744544" w:rsidP="00107D5D">
            <w:pPr>
              <w:tabs>
                <w:tab w:val="left" w:pos="288"/>
                <w:tab w:val="left" w:pos="576"/>
                <w:tab w:val="left" w:pos="864"/>
                <w:tab w:val="left" w:pos="1152"/>
              </w:tabs>
              <w:suppressAutoHyphens/>
              <w:spacing w:before="61" w:after="61" w:line="210" w:lineRule="exact"/>
              <w:ind w:right="43"/>
              <w:jc w:val="right"/>
              <w:rPr>
                <w:b/>
                <w:sz w:val="17"/>
                <w:lang w:val="fr-FR"/>
              </w:rPr>
            </w:pPr>
            <w:r w:rsidRPr="00A66C9F">
              <w:rPr>
                <w:b/>
                <w:sz w:val="17"/>
                <w:lang w:val="fr-FR"/>
              </w:rPr>
              <w:t>71,8</w:t>
            </w:r>
          </w:p>
        </w:tc>
        <w:tc>
          <w:tcPr>
            <w:tcW w:w="944" w:type="dxa"/>
            <w:tcBorders>
              <w:top w:val="single" w:sz="4" w:space="0" w:color="auto"/>
              <w:bottom w:val="single" w:sz="4" w:space="0" w:color="auto"/>
            </w:tcBorders>
            <w:shd w:val="clear" w:color="000000" w:fill="FFFFFF"/>
            <w:noWrap/>
            <w:vAlign w:val="bottom"/>
            <w:hideMark/>
          </w:tcPr>
          <w:p w14:paraId="1F8675AD" w14:textId="77777777" w:rsidR="00744544" w:rsidRPr="00A66C9F" w:rsidRDefault="00744544" w:rsidP="00107D5D">
            <w:pPr>
              <w:tabs>
                <w:tab w:val="left" w:pos="288"/>
                <w:tab w:val="left" w:pos="576"/>
                <w:tab w:val="left" w:pos="864"/>
                <w:tab w:val="left" w:pos="1152"/>
              </w:tabs>
              <w:suppressAutoHyphens/>
              <w:spacing w:before="61" w:after="61" w:line="210" w:lineRule="exact"/>
              <w:ind w:right="43"/>
              <w:jc w:val="right"/>
              <w:rPr>
                <w:b/>
                <w:sz w:val="17"/>
                <w:lang w:val="fr-FR"/>
              </w:rPr>
            </w:pPr>
            <w:r w:rsidRPr="00A66C9F">
              <w:rPr>
                <w:b/>
                <w:sz w:val="17"/>
                <w:lang w:val="fr-FR"/>
              </w:rPr>
              <w:t>430,7</w:t>
            </w:r>
          </w:p>
        </w:tc>
        <w:tc>
          <w:tcPr>
            <w:tcW w:w="944" w:type="dxa"/>
            <w:gridSpan w:val="2"/>
            <w:tcBorders>
              <w:top w:val="single" w:sz="4" w:space="0" w:color="auto"/>
              <w:bottom w:val="single" w:sz="4" w:space="0" w:color="auto"/>
            </w:tcBorders>
            <w:shd w:val="clear" w:color="000000" w:fill="FFFFFF"/>
            <w:noWrap/>
            <w:vAlign w:val="bottom"/>
            <w:hideMark/>
          </w:tcPr>
          <w:p w14:paraId="045D3050" w14:textId="77777777" w:rsidR="00744544" w:rsidRPr="00A66C9F" w:rsidRDefault="00744544" w:rsidP="00107D5D">
            <w:pPr>
              <w:tabs>
                <w:tab w:val="left" w:pos="288"/>
                <w:tab w:val="left" w:pos="576"/>
                <w:tab w:val="left" w:pos="864"/>
                <w:tab w:val="left" w:pos="1152"/>
              </w:tabs>
              <w:suppressAutoHyphens/>
              <w:spacing w:before="61" w:after="61" w:line="210" w:lineRule="exact"/>
              <w:ind w:right="43"/>
              <w:jc w:val="right"/>
              <w:rPr>
                <w:b/>
                <w:sz w:val="17"/>
                <w:lang w:val="fr-FR"/>
              </w:rPr>
            </w:pPr>
            <w:r w:rsidRPr="00A66C9F">
              <w:rPr>
                <w:b/>
                <w:sz w:val="17"/>
                <w:lang w:val="fr-FR"/>
              </w:rPr>
              <w:t xml:space="preserve"> 1 453,0 </w:t>
            </w:r>
          </w:p>
        </w:tc>
        <w:tc>
          <w:tcPr>
            <w:tcW w:w="944" w:type="dxa"/>
            <w:tcBorders>
              <w:top w:val="single" w:sz="4" w:space="0" w:color="auto"/>
              <w:bottom w:val="single" w:sz="4" w:space="0" w:color="auto"/>
            </w:tcBorders>
            <w:shd w:val="clear" w:color="000000" w:fill="FFFFFF"/>
            <w:noWrap/>
            <w:vAlign w:val="bottom"/>
            <w:hideMark/>
          </w:tcPr>
          <w:p w14:paraId="061324F6" w14:textId="77777777" w:rsidR="00744544" w:rsidRPr="00A66C9F" w:rsidRDefault="00744544" w:rsidP="00107D5D">
            <w:pPr>
              <w:tabs>
                <w:tab w:val="left" w:pos="288"/>
                <w:tab w:val="left" w:pos="576"/>
                <w:tab w:val="left" w:pos="864"/>
                <w:tab w:val="left" w:pos="1152"/>
              </w:tabs>
              <w:suppressAutoHyphens/>
              <w:spacing w:before="61" w:after="61" w:line="210" w:lineRule="exact"/>
              <w:ind w:right="43"/>
              <w:jc w:val="right"/>
              <w:rPr>
                <w:b/>
                <w:sz w:val="17"/>
                <w:lang w:val="fr-FR"/>
              </w:rPr>
            </w:pPr>
            <w:r w:rsidRPr="00A66C9F">
              <w:rPr>
                <w:b/>
                <w:sz w:val="17"/>
                <w:lang w:val="fr-FR"/>
              </w:rPr>
              <w:t>290,7</w:t>
            </w:r>
          </w:p>
        </w:tc>
        <w:tc>
          <w:tcPr>
            <w:tcW w:w="944" w:type="dxa"/>
            <w:tcBorders>
              <w:top w:val="single" w:sz="4" w:space="0" w:color="auto"/>
              <w:bottom w:val="single" w:sz="4" w:space="0" w:color="auto"/>
            </w:tcBorders>
            <w:shd w:val="clear" w:color="000000" w:fill="FFFFFF"/>
            <w:noWrap/>
            <w:vAlign w:val="bottom"/>
            <w:hideMark/>
          </w:tcPr>
          <w:p w14:paraId="277DB82D" w14:textId="77777777" w:rsidR="00744544" w:rsidRPr="00A66C9F" w:rsidRDefault="00744544" w:rsidP="00107D5D">
            <w:pPr>
              <w:tabs>
                <w:tab w:val="left" w:pos="288"/>
                <w:tab w:val="left" w:pos="576"/>
                <w:tab w:val="left" w:pos="864"/>
                <w:tab w:val="left" w:pos="1152"/>
              </w:tabs>
              <w:suppressAutoHyphens/>
              <w:spacing w:before="61" w:after="61" w:line="210" w:lineRule="exact"/>
              <w:ind w:right="43"/>
              <w:jc w:val="right"/>
              <w:rPr>
                <w:b/>
                <w:sz w:val="17"/>
                <w:lang w:val="fr-FR"/>
              </w:rPr>
            </w:pPr>
            <w:r w:rsidRPr="00A66C9F">
              <w:rPr>
                <w:b/>
                <w:sz w:val="17"/>
                <w:lang w:val="fr-FR"/>
              </w:rPr>
              <w:t xml:space="preserve"> 1 743,7 </w:t>
            </w:r>
          </w:p>
        </w:tc>
      </w:tr>
      <w:tr w:rsidR="00744544" w:rsidRPr="00A66C9F" w14:paraId="6E744FD1" w14:textId="77777777" w:rsidTr="00107D5D">
        <w:trPr>
          <w:cantSplit/>
        </w:trPr>
        <w:tc>
          <w:tcPr>
            <w:tcW w:w="1888" w:type="dxa"/>
            <w:gridSpan w:val="2"/>
            <w:tcBorders>
              <w:top w:val="single" w:sz="4" w:space="0" w:color="auto"/>
              <w:bottom w:val="single" w:sz="4" w:space="0" w:color="auto"/>
            </w:tcBorders>
            <w:shd w:val="clear" w:color="000000" w:fill="FFFFFF"/>
            <w:noWrap/>
            <w:vAlign w:val="bottom"/>
            <w:hideMark/>
          </w:tcPr>
          <w:p w14:paraId="724D2A42" w14:textId="77777777" w:rsidR="00744544" w:rsidRPr="00A66C9F" w:rsidRDefault="00744544" w:rsidP="00107D5D">
            <w:pPr>
              <w:tabs>
                <w:tab w:val="left" w:pos="288"/>
                <w:tab w:val="left" w:pos="576"/>
                <w:tab w:val="left" w:pos="864"/>
                <w:tab w:val="left" w:pos="1152"/>
              </w:tabs>
              <w:suppressAutoHyphens/>
              <w:spacing w:before="61" w:after="61" w:line="210" w:lineRule="exact"/>
              <w:ind w:right="43"/>
              <w:rPr>
                <w:b/>
                <w:bCs/>
                <w:sz w:val="17"/>
                <w:lang w:val="fr-FR"/>
              </w:rPr>
            </w:pPr>
            <w:r w:rsidRPr="00A66C9F">
              <w:rPr>
                <w:b/>
                <w:bCs/>
                <w:sz w:val="17"/>
                <w:lang w:val="fr-FR"/>
              </w:rPr>
              <w:t>D.</w:t>
            </w:r>
            <w:r w:rsidRPr="00A66C9F">
              <w:rPr>
                <w:b/>
                <w:bCs/>
                <w:sz w:val="17"/>
                <w:lang w:val="fr-FR"/>
              </w:rPr>
              <w:tab/>
              <w:t>Comité mixte</w:t>
            </w:r>
          </w:p>
        </w:tc>
        <w:tc>
          <w:tcPr>
            <w:tcW w:w="944" w:type="dxa"/>
            <w:tcBorders>
              <w:top w:val="single" w:sz="4" w:space="0" w:color="auto"/>
              <w:bottom w:val="single" w:sz="4" w:space="0" w:color="auto"/>
            </w:tcBorders>
            <w:shd w:val="clear" w:color="000000" w:fill="FFFFFF"/>
            <w:noWrap/>
            <w:vAlign w:val="bottom"/>
            <w:hideMark/>
          </w:tcPr>
          <w:p w14:paraId="155B0823" w14:textId="77777777" w:rsidR="00744544" w:rsidRPr="00A66C9F" w:rsidRDefault="00744544" w:rsidP="00107D5D">
            <w:pPr>
              <w:tabs>
                <w:tab w:val="left" w:pos="288"/>
                <w:tab w:val="left" w:pos="576"/>
                <w:tab w:val="left" w:pos="864"/>
                <w:tab w:val="left" w:pos="1152"/>
              </w:tabs>
              <w:suppressAutoHyphens/>
              <w:spacing w:before="61" w:after="61" w:line="210" w:lineRule="exact"/>
              <w:ind w:right="43"/>
              <w:jc w:val="right"/>
              <w:rPr>
                <w:sz w:val="17"/>
                <w:lang w:val="fr-FR"/>
              </w:rPr>
            </w:pPr>
            <w:r w:rsidRPr="00A66C9F">
              <w:rPr>
                <w:sz w:val="17"/>
                <w:lang w:val="fr-FR"/>
              </w:rPr>
              <w:t xml:space="preserve"> 512,2 </w:t>
            </w:r>
          </w:p>
        </w:tc>
        <w:tc>
          <w:tcPr>
            <w:tcW w:w="944" w:type="dxa"/>
            <w:tcBorders>
              <w:top w:val="single" w:sz="4" w:space="0" w:color="auto"/>
              <w:bottom w:val="single" w:sz="4" w:space="0" w:color="auto"/>
            </w:tcBorders>
            <w:shd w:val="clear" w:color="000000" w:fill="FFFFFF"/>
            <w:noWrap/>
            <w:vAlign w:val="bottom"/>
            <w:hideMark/>
          </w:tcPr>
          <w:p w14:paraId="6053D864" w14:textId="77777777" w:rsidR="00744544" w:rsidRPr="00A66C9F" w:rsidRDefault="00744544" w:rsidP="00107D5D">
            <w:pPr>
              <w:tabs>
                <w:tab w:val="left" w:pos="288"/>
                <w:tab w:val="left" w:pos="576"/>
                <w:tab w:val="left" w:pos="864"/>
                <w:tab w:val="left" w:pos="1152"/>
              </w:tabs>
              <w:suppressAutoHyphens/>
              <w:spacing w:before="61" w:after="61" w:line="210" w:lineRule="exact"/>
              <w:ind w:right="43"/>
              <w:jc w:val="right"/>
              <w:rPr>
                <w:sz w:val="17"/>
                <w:lang w:val="fr-FR"/>
              </w:rPr>
            </w:pPr>
            <w:r w:rsidRPr="00A66C9F">
              <w:rPr>
                <w:sz w:val="17"/>
                <w:lang w:val="fr-FR"/>
              </w:rPr>
              <w:t xml:space="preserve"> –</w:t>
            </w:r>
          </w:p>
        </w:tc>
        <w:tc>
          <w:tcPr>
            <w:tcW w:w="944" w:type="dxa"/>
            <w:tcBorders>
              <w:top w:val="single" w:sz="4" w:space="0" w:color="auto"/>
              <w:bottom w:val="single" w:sz="4" w:space="0" w:color="auto"/>
            </w:tcBorders>
            <w:shd w:val="clear" w:color="000000" w:fill="FFFFFF"/>
            <w:noWrap/>
            <w:vAlign w:val="bottom"/>
            <w:hideMark/>
          </w:tcPr>
          <w:p w14:paraId="0BA15E94" w14:textId="77777777" w:rsidR="00744544" w:rsidRPr="00A66C9F" w:rsidRDefault="00744544" w:rsidP="00107D5D">
            <w:pPr>
              <w:tabs>
                <w:tab w:val="left" w:pos="288"/>
                <w:tab w:val="left" w:pos="576"/>
                <w:tab w:val="left" w:pos="864"/>
                <w:tab w:val="left" w:pos="1152"/>
              </w:tabs>
              <w:suppressAutoHyphens/>
              <w:spacing w:before="61" w:after="61" w:line="210" w:lineRule="exact"/>
              <w:ind w:right="43"/>
              <w:jc w:val="right"/>
              <w:rPr>
                <w:sz w:val="17"/>
                <w:lang w:val="fr-FR"/>
              </w:rPr>
            </w:pPr>
            <w:r w:rsidRPr="00A66C9F">
              <w:rPr>
                <w:sz w:val="17"/>
                <w:lang w:val="fr-FR"/>
              </w:rPr>
              <w:t xml:space="preserve"> 512,2 </w:t>
            </w:r>
          </w:p>
        </w:tc>
        <w:tc>
          <w:tcPr>
            <w:tcW w:w="944" w:type="dxa"/>
            <w:gridSpan w:val="2"/>
            <w:tcBorders>
              <w:top w:val="single" w:sz="4" w:space="0" w:color="auto"/>
              <w:bottom w:val="single" w:sz="4" w:space="0" w:color="auto"/>
            </w:tcBorders>
            <w:shd w:val="clear" w:color="000000" w:fill="FFFFFF"/>
            <w:noWrap/>
            <w:vAlign w:val="bottom"/>
            <w:hideMark/>
          </w:tcPr>
          <w:p w14:paraId="48B61CF8" w14:textId="77777777" w:rsidR="00744544" w:rsidRPr="00A66C9F" w:rsidRDefault="00744544" w:rsidP="00107D5D">
            <w:pPr>
              <w:tabs>
                <w:tab w:val="left" w:pos="288"/>
                <w:tab w:val="left" w:pos="576"/>
                <w:tab w:val="left" w:pos="864"/>
                <w:tab w:val="left" w:pos="1152"/>
              </w:tabs>
              <w:suppressAutoHyphens/>
              <w:spacing w:before="61" w:after="61" w:line="210" w:lineRule="exact"/>
              <w:ind w:right="43"/>
              <w:jc w:val="right"/>
              <w:rPr>
                <w:sz w:val="17"/>
                <w:lang w:val="fr-FR"/>
              </w:rPr>
            </w:pPr>
            <w:r w:rsidRPr="00A66C9F">
              <w:rPr>
                <w:sz w:val="17"/>
                <w:lang w:val="fr-FR"/>
              </w:rPr>
              <w:t>43,6</w:t>
            </w:r>
          </w:p>
        </w:tc>
        <w:tc>
          <w:tcPr>
            <w:tcW w:w="944" w:type="dxa"/>
            <w:tcBorders>
              <w:top w:val="single" w:sz="4" w:space="0" w:color="auto"/>
              <w:bottom w:val="single" w:sz="4" w:space="0" w:color="auto"/>
            </w:tcBorders>
            <w:shd w:val="clear" w:color="000000" w:fill="FFFFFF"/>
            <w:noWrap/>
            <w:vAlign w:val="bottom"/>
            <w:hideMark/>
          </w:tcPr>
          <w:p w14:paraId="0D8241B2" w14:textId="77777777" w:rsidR="00744544" w:rsidRPr="00A66C9F" w:rsidRDefault="00744544" w:rsidP="00107D5D">
            <w:pPr>
              <w:tabs>
                <w:tab w:val="left" w:pos="288"/>
                <w:tab w:val="left" w:pos="576"/>
                <w:tab w:val="left" w:pos="864"/>
                <w:tab w:val="left" w:pos="1152"/>
              </w:tabs>
              <w:suppressAutoHyphens/>
              <w:spacing w:before="61" w:after="61" w:line="210" w:lineRule="exact"/>
              <w:ind w:right="43"/>
              <w:jc w:val="right"/>
              <w:rPr>
                <w:sz w:val="17"/>
                <w:lang w:val="fr-FR"/>
              </w:rPr>
            </w:pPr>
            <w:r w:rsidRPr="00A66C9F">
              <w:rPr>
                <w:sz w:val="17"/>
                <w:lang w:val="fr-FR"/>
              </w:rPr>
              <w:t xml:space="preserve"> –</w:t>
            </w:r>
          </w:p>
        </w:tc>
        <w:tc>
          <w:tcPr>
            <w:tcW w:w="944" w:type="dxa"/>
            <w:tcBorders>
              <w:top w:val="single" w:sz="4" w:space="0" w:color="auto"/>
              <w:bottom w:val="single" w:sz="4" w:space="0" w:color="auto"/>
            </w:tcBorders>
            <w:shd w:val="clear" w:color="000000" w:fill="FFFFFF"/>
            <w:noWrap/>
            <w:vAlign w:val="bottom"/>
            <w:hideMark/>
          </w:tcPr>
          <w:p w14:paraId="591EF6D8" w14:textId="77777777" w:rsidR="00744544" w:rsidRPr="00A66C9F" w:rsidRDefault="00744544" w:rsidP="00107D5D">
            <w:pPr>
              <w:tabs>
                <w:tab w:val="left" w:pos="288"/>
                <w:tab w:val="left" w:pos="576"/>
                <w:tab w:val="left" w:pos="864"/>
                <w:tab w:val="left" w:pos="1152"/>
              </w:tabs>
              <w:suppressAutoHyphens/>
              <w:spacing w:before="61" w:after="61" w:line="210" w:lineRule="exact"/>
              <w:ind w:right="43"/>
              <w:jc w:val="right"/>
              <w:rPr>
                <w:sz w:val="17"/>
                <w:lang w:val="fr-FR"/>
              </w:rPr>
            </w:pPr>
            <w:r w:rsidRPr="00A66C9F">
              <w:rPr>
                <w:sz w:val="17"/>
                <w:lang w:val="fr-FR"/>
              </w:rPr>
              <w:t>43,6</w:t>
            </w:r>
          </w:p>
        </w:tc>
        <w:tc>
          <w:tcPr>
            <w:tcW w:w="944" w:type="dxa"/>
            <w:gridSpan w:val="2"/>
            <w:tcBorders>
              <w:top w:val="single" w:sz="4" w:space="0" w:color="auto"/>
              <w:bottom w:val="single" w:sz="4" w:space="0" w:color="auto"/>
            </w:tcBorders>
            <w:shd w:val="clear" w:color="000000" w:fill="FFFFFF"/>
            <w:noWrap/>
            <w:vAlign w:val="bottom"/>
            <w:hideMark/>
          </w:tcPr>
          <w:p w14:paraId="13F0AA9E" w14:textId="77777777" w:rsidR="00744544" w:rsidRPr="00A66C9F" w:rsidRDefault="00744544" w:rsidP="00107D5D">
            <w:pPr>
              <w:tabs>
                <w:tab w:val="left" w:pos="288"/>
                <w:tab w:val="left" w:pos="576"/>
                <w:tab w:val="left" w:pos="864"/>
                <w:tab w:val="left" w:pos="1152"/>
              </w:tabs>
              <w:suppressAutoHyphens/>
              <w:spacing w:before="61" w:after="61" w:line="210" w:lineRule="exact"/>
              <w:ind w:right="43"/>
              <w:jc w:val="right"/>
              <w:rPr>
                <w:sz w:val="17"/>
                <w:lang w:val="fr-FR"/>
              </w:rPr>
            </w:pPr>
            <w:r w:rsidRPr="00A66C9F">
              <w:rPr>
                <w:sz w:val="17"/>
                <w:lang w:val="fr-FR"/>
              </w:rPr>
              <w:t>326,3</w:t>
            </w:r>
          </w:p>
        </w:tc>
        <w:tc>
          <w:tcPr>
            <w:tcW w:w="944" w:type="dxa"/>
            <w:tcBorders>
              <w:top w:val="single" w:sz="4" w:space="0" w:color="auto"/>
              <w:bottom w:val="single" w:sz="4" w:space="0" w:color="auto"/>
            </w:tcBorders>
            <w:shd w:val="clear" w:color="000000" w:fill="FFFFFF"/>
            <w:noWrap/>
            <w:vAlign w:val="bottom"/>
            <w:hideMark/>
          </w:tcPr>
          <w:p w14:paraId="12CE2354" w14:textId="77777777" w:rsidR="00744544" w:rsidRPr="00A66C9F" w:rsidRDefault="00744544" w:rsidP="00107D5D">
            <w:pPr>
              <w:tabs>
                <w:tab w:val="left" w:pos="288"/>
                <w:tab w:val="left" w:pos="576"/>
                <w:tab w:val="left" w:pos="864"/>
                <w:tab w:val="left" w:pos="1152"/>
              </w:tabs>
              <w:suppressAutoHyphens/>
              <w:spacing w:before="61" w:after="61" w:line="210" w:lineRule="exact"/>
              <w:ind w:right="43"/>
              <w:jc w:val="right"/>
              <w:rPr>
                <w:sz w:val="17"/>
                <w:lang w:val="fr-FR"/>
              </w:rPr>
            </w:pPr>
            <w:r w:rsidRPr="00A66C9F">
              <w:rPr>
                <w:sz w:val="17"/>
                <w:lang w:val="fr-FR"/>
              </w:rPr>
              <w:t xml:space="preserve"> –</w:t>
            </w:r>
          </w:p>
        </w:tc>
        <w:tc>
          <w:tcPr>
            <w:tcW w:w="944" w:type="dxa"/>
            <w:tcBorders>
              <w:top w:val="single" w:sz="4" w:space="0" w:color="auto"/>
              <w:bottom w:val="single" w:sz="4" w:space="0" w:color="auto"/>
            </w:tcBorders>
            <w:shd w:val="clear" w:color="000000" w:fill="FFFFFF"/>
            <w:noWrap/>
            <w:vAlign w:val="bottom"/>
            <w:hideMark/>
          </w:tcPr>
          <w:p w14:paraId="092DFC46" w14:textId="77777777" w:rsidR="00744544" w:rsidRPr="00A66C9F" w:rsidRDefault="00744544" w:rsidP="00107D5D">
            <w:pPr>
              <w:tabs>
                <w:tab w:val="left" w:pos="288"/>
                <w:tab w:val="left" w:pos="576"/>
                <w:tab w:val="left" w:pos="864"/>
                <w:tab w:val="left" w:pos="1152"/>
              </w:tabs>
              <w:suppressAutoHyphens/>
              <w:spacing w:before="61" w:after="61" w:line="210" w:lineRule="exact"/>
              <w:ind w:right="43"/>
              <w:jc w:val="right"/>
              <w:rPr>
                <w:sz w:val="17"/>
                <w:lang w:val="fr-FR"/>
              </w:rPr>
            </w:pPr>
            <w:r w:rsidRPr="00A66C9F">
              <w:rPr>
                <w:sz w:val="17"/>
                <w:lang w:val="fr-FR"/>
              </w:rPr>
              <w:t>326,3</w:t>
            </w:r>
          </w:p>
        </w:tc>
        <w:tc>
          <w:tcPr>
            <w:tcW w:w="944" w:type="dxa"/>
            <w:gridSpan w:val="2"/>
            <w:tcBorders>
              <w:top w:val="single" w:sz="4" w:space="0" w:color="auto"/>
              <w:bottom w:val="single" w:sz="4" w:space="0" w:color="auto"/>
            </w:tcBorders>
            <w:shd w:val="clear" w:color="000000" w:fill="FFFFFF"/>
            <w:noWrap/>
            <w:vAlign w:val="bottom"/>
            <w:hideMark/>
          </w:tcPr>
          <w:p w14:paraId="4433CA18" w14:textId="77777777" w:rsidR="00744544" w:rsidRPr="00A66C9F" w:rsidRDefault="00744544" w:rsidP="00107D5D">
            <w:pPr>
              <w:tabs>
                <w:tab w:val="left" w:pos="288"/>
                <w:tab w:val="left" w:pos="576"/>
                <w:tab w:val="left" w:pos="864"/>
                <w:tab w:val="left" w:pos="1152"/>
              </w:tabs>
              <w:suppressAutoHyphens/>
              <w:spacing w:before="61" w:after="61" w:line="210" w:lineRule="exact"/>
              <w:ind w:right="43"/>
              <w:jc w:val="right"/>
              <w:rPr>
                <w:sz w:val="17"/>
                <w:lang w:val="fr-FR"/>
              </w:rPr>
            </w:pPr>
            <w:r w:rsidRPr="00A66C9F">
              <w:rPr>
                <w:sz w:val="17"/>
                <w:lang w:val="fr-FR"/>
              </w:rPr>
              <w:t xml:space="preserve"> 882,1 </w:t>
            </w:r>
          </w:p>
        </w:tc>
        <w:tc>
          <w:tcPr>
            <w:tcW w:w="944" w:type="dxa"/>
            <w:tcBorders>
              <w:top w:val="single" w:sz="4" w:space="0" w:color="auto"/>
              <w:bottom w:val="single" w:sz="4" w:space="0" w:color="auto"/>
            </w:tcBorders>
            <w:shd w:val="clear" w:color="000000" w:fill="FFFFFF"/>
            <w:noWrap/>
            <w:vAlign w:val="bottom"/>
            <w:hideMark/>
          </w:tcPr>
          <w:p w14:paraId="11DCCB32" w14:textId="77777777" w:rsidR="00744544" w:rsidRPr="00A66C9F" w:rsidRDefault="00744544" w:rsidP="00107D5D">
            <w:pPr>
              <w:tabs>
                <w:tab w:val="left" w:pos="288"/>
                <w:tab w:val="left" w:pos="576"/>
                <w:tab w:val="left" w:pos="864"/>
                <w:tab w:val="left" w:pos="1152"/>
              </w:tabs>
              <w:suppressAutoHyphens/>
              <w:spacing w:before="61" w:after="61" w:line="210" w:lineRule="exact"/>
              <w:ind w:right="43"/>
              <w:jc w:val="right"/>
              <w:rPr>
                <w:sz w:val="17"/>
                <w:lang w:val="fr-FR"/>
              </w:rPr>
            </w:pPr>
            <w:r w:rsidRPr="00A66C9F">
              <w:rPr>
                <w:sz w:val="17"/>
                <w:lang w:val="fr-FR"/>
              </w:rPr>
              <w:t xml:space="preserve"> –</w:t>
            </w:r>
          </w:p>
        </w:tc>
        <w:tc>
          <w:tcPr>
            <w:tcW w:w="944" w:type="dxa"/>
            <w:tcBorders>
              <w:top w:val="single" w:sz="4" w:space="0" w:color="auto"/>
              <w:bottom w:val="single" w:sz="4" w:space="0" w:color="auto"/>
            </w:tcBorders>
            <w:shd w:val="clear" w:color="000000" w:fill="FFFFFF"/>
            <w:noWrap/>
            <w:vAlign w:val="bottom"/>
            <w:hideMark/>
          </w:tcPr>
          <w:p w14:paraId="5E6BF3C9" w14:textId="77777777" w:rsidR="00744544" w:rsidRPr="00A66C9F" w:rsidRDefault="00744544" w:rsidP="00107D5D">
            <w:pPr>
              <w:tabs>
                <w:tab w:val="left" w:pos="288"/>
                <w:tab w:val="left" w:pos="576"/>
                <w:tab w:val="left" w:pos="864"/>
                <w:tab w:val="left" w:pos="1152"/>
              </w:tabs>
              <w:suppressAutoHyphens/>
              <w:spacing w:before="61" w:after="61" w:line="210" w:lineRule="exact"/>
              <w:ind w:right="43"/>
              <w:jc w:val="right"/>
              <w:rPr>
                <w:sz w:val="17"/>
                <w:lang w:val="fr-FR"/>
              </w:rPr>
            </w:pPr>
            <w:r w:rsidRPr="00A66C9F">
              <w:rPr>
                <w:sz w:val="17"/>
                <w:lang w:val="fr-FR"/>
              </w:rPr>
              <w:t xml:space="preserve"> 882,1 </w:t>
            </w:r>
          </w:p>
        </w:tc>
      </w:tr>
      <w:tr w:rsidR="00744544" w:rsidRPr="00A66C9F" w14:paraId="41D94F9C" w14:textId="77777777" w:rsidTr="00107D5D">
        <w:trPr>
          <w:cantSplit/>
        </w:trPr>
        <w:tc>
          <w:tcPr>
            <w:tcW w:w="1888" w:type="dxa"/>
            <w:gridSpan w:val="2"/>
            <w:tcBorders>
              <w:top w:val="single" w:sz="4" w:space="0" w:color="auto"/>
              <w:bottom w:val="single" w:sz="12" w:space="0" w:color="auto"/>
            </w:tcBorders>
            <w:shd w:val="clear" w:color="000000" w:fill="FFFFFF"/>
            <w:noWrap/>
            <w:vAlign w:val="bottom"/>
            <w:hideMark/>
          </w:tcPr>
          <w:p w14:paraId="7F26F10B" w14:textId="77777777" w:rsidR="00744544" w:rsidRPr="00A66C9F" w:rsidRDefault="00744544" w:rsidP="00107D5D">
            <w:pPr>
              <w:tabs>
                <w:tab w:val="left" w:pos="288"/>
                <w:tab w:val="left" w:pos="576"/>
                <w:tab w:val="left" w:pos="864"/>
                <w:tab w:val="left" w:pos="1152"/>
              </w:tabs>
              <w:suppressAutoHyphens/>
              <w:spacing w:before="61" w:after="61" w:line="210" w:lineRule="exact"/>
              <w:ind w:left="288" w:right="43" w:hanging="288"/>
              <w:rPr>
                <w:b/>
                <w:sz w:val="17"/>
                <w:lang w:val="fr-FR"/>
              </w:rPr>
            </w:pPr>
            <w:r w:rsidRPr="00A66C9F">
              <w:rPr>
                <w:b/>
                <w:sz w:val="17"/>
                <w:lang w:val="fr-FR"/>
              </w:rPr>
              <w:tab/>
              <w:t>Total des dépenses d’administration</w:t>
            </w:r>
          </w:p>
        </w:tc>
        <w:tc>
          <w:tcPr>
            <w:tcW w:w="944" w:type="dxa"/>
            <w:tcBorders>
              <w:top w:val="single" w:sz="4" w:space="0" w:color="auto"/>
              <w:bottom w:val="single" w:sz="12" w:space="0" w:color="auto"/>
            </w:tcBorders>
            <w:shd w:val="clear" w:color="000000" w:fill="FFFFFF"/>
            <w:noWrap/>
            <w:vAlign w:val="bottom"/>
            <w:hideMark/>
          </w:tcPr>
          <w:p w14:paraId="13FA3766" w14:textId="77777777" w:rsidR="00744544" w:rsidRPr="00A66C9F" w:rsidRDefault="00744544" w:rsidP="00107D5D">
            <w:pPr>
              <w:tabs>
                <w:tab w:val="left" w:pos="288"/>
                <w:tab w:val="left" w:pos="576"/>
                <w:tab w:val="left" w:pos="864"/>
                <w:tab w:val="left" w:pos="1152"/>
              </w:tabs>
              <w:suppressAutoHyphens/>
              <w:spacing w:before="61" w:after="61" w:line="210" w:lineRule="exact"/>
              <w:ind w:right="43"/>
              <w:jc w:val="right"/>
              <w:rPr>
                <w:b/>
                <w:sz w:val="17"/>
                <w:lang w:val="fr-FR"/>
              </w:rPr>
            </w:pPr>
            <w:r w:rsidRPr="00A66C9F">
              <w:rPr>
                <w:b/>
                <w:sz w:val="17"/>
                <w:lang w:val="fr-FR"/>
              </w:rPr>
              <w:t xml:space="preserve"> 84 744,5 </w:t>
            </w:r>
          </w:p>
        </w:tc>
        <w:tc>
          <w:tcPr>
            <w:tcW w:w="944" w:type="dxa"/>
            <w:tcBorders>
              <w:top w:val="single" w:sz="4" w:space="0" w:color="auto"/>
              <w:bottom w:val="single" w:sz="12" w:space="0" w:color="auto"/>
            </w:tcBorders>
            <w:shd w:val="clear" w:color="000000" w:fill="FFFFFF"/>
            <w:noWrap/>
            <w:vAlign w:val="bottom"/>
            <w:hideMark/>
          </w:tcPr>
          <w:p w14:paraId="012BF609" w14:textId="77777777" w:rsidR="00744544" w:rsidRPr="00A66C9F" w:rsidRDefault="00744544" w:rsidP="00107D5D">
            <w:pPr>
              <w:tabs>
                <w:tab w:val="left" w:pos="288"/>
                <w:tab w:val="left" w:pos="576"/>
                <w:tab w:val="left" w:pos="864"/>
                <w:tab w:val="left" w:pos="1152"/>
              </w:tabs>
              <w:suppressAutoHyphens/>
              <w:spacing w:before="61" w:after="61" w:line="210" w:lineRule="exact"/>
              <w:ind w:right="43"/>
              <w:jc w:val="right"/>
              <w:rPr>
                <w:b/>
                <w:sz w:val="17"/>
                <w:lang w:val="fr-FR"/>
              </w:rPr>
            </w:pPr>
            <w:r w:rsidRPr="00A66C9F">
              <w:rPr>
                <w:b/>
                <w:sz w:val="17"/>
                <w:lang w:val="fr-FR"/>
              </w:rPr>
              <w:t xml:space="preserve"> 11 148,4 </w:t>
            </w:r>
          </w:p>
        </w:tc>
        <w:tc>
          <w:tcPr>
            <w:tcW w:w="944" w:type="dxa"/>
            <w:tcBorders>
              <w:top w:val="single" w:sz="4" w:space="0" w:color="auto"/>
              <w:bottom w:val="single" w:sz="12" w:space="0" w:color="auto"/>
            </w:tcBorders>
            <w:shd w:val="clear" w:color="000000" w:fill="FFFFFF"/>
            <w:noWrap/>
            <w:vAlign w:val="bottom"/>
            <w:hideMark/>
          </w:tcPr>
          <w:p w14:paraId="0E8A70AB" w14:textId="77777777" w:rsidR="00744544" w:rsidRPr="00A66C9F" w:rsidRDefault="00744544" w:rsidP="00107D5D">
            <w:pPr>
              <w:tabs>
                <w:tab w:val="left" w:pos="288"/>
                <w:tab w:val="left" w:pos="576"/>
                <w:tab w:val="left" w:pos="864"/>
                <w:tab w:val="left" w:pos="1152"/>
              </w:tabs>
              <w:suppressAutoHyphens/>
              <w:spacing w:before="61" w:after="61" w:line="210" w:lineRule="exact"/>
              <w:ind w:right="43"/>
              <w:jc w:val="right"/>
              <w:rPr>
                <w:b/>
                <w:sz w:val="17"/>
                <w:lang w:val="fr-FR"/>
              </w:rPr>
            </w:pPr>
            <w:r w:rsidRPr="00A66C9F">
              <w:rPr>
                <w:b/>
                <w:sz w:val="17"/>
                <w:lang w:val="fr-FR"/>
              </w:rPr>
              <w:t xml:space="preserve"> 95 892,9 </w:t>
            </w:r>
          </w:p>
        </w:tc>
        <w:tc>
          <w:tcPr>
            <w:tcW w:w="944" w:type="dxa"/>
            <w:gridSpan w:val="2"/>
            <w:tcBorders>
              <w:top w:val="single" w:sz="4" w:space="0" w:color="auto"/>
              <w:bottom w:val="single" w:sz="12" w:space="0" w:color="auto"/>
            </w:tcBorders>
            <w:shd w:val="clear" w:color="000000" w:fill="FFFFFF"/>
            <w:noWrap/>
            <w:vAlign w:val="bottom"/>
            <w:hideMark/>
          </w:tcPr>
          <w:p w14:paraId="701108D7" w14:textId="77777777" w:rsidR="00744544" w:rsidRPr="00A66C9F" w:rsidRDefault="00744544" w:rsidP="00107D5D">
            <w:pPr>
              <w:tabs>
                <w:tab w:val="left" w:pos="288"/>
                <w:tab w:val="left" w:pos="576"/>
                <w:tab w:val="left" w:pos="864"/>
                <w:tab w:val="left" w:pos="1152"/>
              </w:tabs>
              <w:suppressAutoHyphens/>
              <w:spacing w:before="61" w:after="61" w:line="210" w:lineRule="exact"/>
              <w:ind w:right="43"/>
              <w:jc w:val="right"/>
              <w:rPr>
                <w:b/>
                <w:sz w:val="17"/>
                <w:lang w:val="fr-FR"/>
              </w:rPr>
            </w:pPr>
            <w:r w:rsidRPr="00A66C9F">
              <w:rPr>
                <w:b/>
                <w:sz w:val="17"/>
                <w:lang w:val="fr-FR"/>
              </w:rPr>
              <w:t xml:space="preserve"> 4 888,8 </w:t>
            </w:r>
          </w:p>
        </w:tc>
        <w:tc>
          <w:tcPr>
            <w:tcW w:w="944" w:type="dxa"/>
            <w:tcBorders>
              <w:top w:val="single" w:sz="4" w:space="0" w:color="auto"/>
              <w:bottom w:val="single" w:sz="12" w:space="0" w:color="auto"/>
            </w:tcBorders>
            <w:shd w:val="clear" w:color="000000" w:fill="FFFFFF"/>
            <w:noWrap/>
            <w:vAlign w:val="bottom"/>
            <w:hideMark/>
          </w:tcPr>
          <w:p w14:paraId="588D18B4" w14:textId="77777777" w:rsidR="00744544" w:rsidRPr="00A66C9F" w:rsidRDefault="00744544" w:rsidP="00107D5D">
            <w:pPr>
              <w:tabs>
                <w:tab w:val="left" w:pos="288"/>
                <w:tab w:val="left" w:pos="576"/>
                <w:tab w:val="left" w:pos="864"/>
                <w:tab w:val="left" w:pos="1152"/>
              </w:tabs>
              <w:suppressAutoHyphens/>
              <w:spacing w:before="61" w:after="61" w:line="210" w:lineRule="exact"/>
              <w:ind w:right="43"/>
              <w:jc w:val="right"/>
              <w:rPr>
                <w:b/>
                <w:sz w:val="17"/>
                <w:lang w:val="fr-FR"/>
              </w:rPr>
            </w:pPr>
            <w:r w:rsidRPr="00A66C9F">
              <w:rPr>
                <w:b/>
                <w:sz w:val="17"/>
                <w:lang w:val="fr-FR"/>
              </w:rPr>
              <w:t xml:space="preserve"> (1 015,4)</w:t>
            </w:r>
          </w:p>
        </w:tc>
        <w:tc>
          <w:tcPr>
            <w:tcW w:w="944" w:type="dxa"/>
            <w:tcBorders>
              <w:top w:val="single" w:sz="4" w:space="0" w:color="auto"/>
              <w:bottom w:val="single" w:sz="12" w:space="0" w:color="auto"/>
            </w:tcBorders>
            <w:shd w:val="clear" w:color="000000" w:fill="FFFFFF"/>
            <w:noWrap/>
            <w:vAlign w:val="bottom"/>
            <w:hideMark/>
          </w:tcPr>
          <w:p w14:paraId="37F98589" w14:textId="77777777" w:rsidR="00744544" w:rsidRPr="00A66C9F" w:rsidRDefault="00744544" w:rsidP="00107D5D">
            <w:pPr>
              <w:tabs>
                <w:tab w:val="left" w:pos="288"/>
                <w:tab w:val="left" w:pos="576"/>
                <w:tab w:val="left" w:pos="864"/>
                <w:tab w:val="left" w:pos="1152"/>
              </w:tabs>
              <w:suppressAutoHyphens/>
              <w:spacing w:before="61" w:after="61" w:line="210" w:lineRule="exact"/>
              <w:ind w:right="43"/>
              <w:jc w:val="right"/>
              <w:rPr>
                <w:b/>
                <w:sz w:val="17"/>
                <w:lang w:val="fr-FR"/>
              </w:rPr>
            </w:pPr>
            <w:r w:rsidRPr="00A66C9F">
              <w:rPr>
                <w:b/>
                <w:sz w:val="17"/>
                <w:lang w:val="fr-FR"/>
              </w:rPr>
              <w:t xml:space="preserve"> 3 873,4 </w:t>
            </w:r>
          </w:p>
        </w:tc>
        <w:tc>
          <w:tcPr>
            <w:tcW w:w="944" w:type="dxa"/>
            <w:gridSpan w:val="2"/>
            <w:tcBorders>
              <w:top w:val="single" w:sz="4" w:space="0" w:color="auto"/>
              <w:bottom w:val="single" w:sz="12" w:space="0" w:color="auto"/>
            </w:tcBorders>
            <w:shd w:val="clear" w:color="000000" w:fill="FFFFFF"/>
            <w:noWrap/>
            <w:vAlign w:val="bottom"/>
            <w:hideMark/>
          </w:tcPr>
          <w:p w14:paraId="7A84B1EE" w14:textId="77777777" w:rsidR="00744544" w:rsidRPr="00A66C9F" w:rsidRDefault="00744544" w:rsidP="00107D5D">
            <w:pPr>
              <w:tabs>
                <w:tab w:val="left" w:pos="288"/>
                <w:tab w:val="left" w:pos="576"/>
                <w:tab w:val="left" w:pos="864"/>
                <w:tab w:val="left" w:pos="1152"/>
              </w:tabs>
              <w:suppressAutoHyphens/>
              <w:spacing w:before="61" w:after="61" w:line="210" w:lineRule="exact"/>
              <w:ind w:right="43"/>
              <w:jc w:val="right"/>
              <w:rPr>
                <w:b/>
                <w:sz w:val="17"/>
                <w:lang w:val="fr-FR"/>
              </w:rPr>
            </w:pPr>
            <w:r w:rsidRPr="00A66C9F">
              <w:rPr>
                <w:b/>
                <w:sz w:val="17"/>
                <w:lang w:val="fr-FR"/>
              </w:rPr>
              <w:t xml:space="preserve"> (6 569,9)</w:t>
            </w:r>
          </w:p>
        </w:tc>
        <w:tc>
          <w:tcPr>
            <w:tcW w:w="944" w:type="dxa"/>
            <w:tcBorders>
              <w:top w:val="single" w:sz="4" w:space="0" w:color="auto"/>
              <w:bottom w:val="single" w:sz="12" w:space="0" w:color="auto"/>
            </w:tcBorders>
            <w:shd w:val="clear" w:color="000000" w:fill="FFFFFF"/>
            <w:noWrap/>
            <w:vAlign w:val="bottom"/>
            <w:hideMark/>
          </w:tcPr>
          <w:p w14:paraId="4FAAFD82" w14:textId="77777777" w:rsidR="00744544" w:rsidRPr="00A66C9F" w:rsidRDefault="00744544" w:rsidP="00107D5D">
            <w:pPr>
              <w:tabs>
                <w:tab w:val="left" w:pos="288"/>
                <w:tab w:val="left" w:pos="576"/>
                <w:tab w:val="left" w:pos="864"/>
                <w:tab w:val="left" w:pos="1152"/>
              </w:tabs>
              <w:suppressAutoHyphens/>
              <w:spacing w:before="61" w:after="61" w:line="210" w:lineRule="exact"/>
              <w:ind w:right="43"/>
              <w:jc w:val="right"/>
              <w:rPr>
                <w:b/>
                <w:sz w:val="17"/>
                <w:lang w:val="fr-FR"/>
              </w:rPr>
            </w:pPr>
            <w:r w:rsidRPr="00A66C9F">
              <w:rPr>
                <w:b/>
                <w:sz w:val="17"/>
                <w:lang w:val="fr-FR"/>
              </w:rPr>
              <w:t xml:space="preserve"> (173,1)</w:t>
            </w:r>
          </w:p>
        </w:tc>
        <w:tc>
          <w:tcPr>
            <w:tcW w:w="944" w:type="dxa"/>
            <w:tcBorders>
              <w:top w:val="single" w:sz="4" w:space="0" w:color="auto"/>
              <w:bottom w:val="single" w:sz="12" w:space="0" w:color="auto"/>
            </w:tcBorders>
            <w:shd w:val="clear" w:color="000000" w:fill="FFFFFF"/>
            <w:noWrap/>
            <w:vAlign w:val="bottom"/>
            <w:hideMark/>
          </w:tcPr>
          <w:p w14:paraId="6DCC3C6A" w14:textId="77777777" w:rsidR="00744544" w:rsidRPr="00A66C9F" w:rsidRDefault="00744544" w:rsidP="00107D5D">
            <w:pPr>
              <w:tabs>
                <w:tab w:val="left" w:pos="288"/>
                <w:tab w:val="left" w:pos="576"/>
                <w:tab w:val="left" w:pos="864"/>
                <w:tab w:val="left" w:pos="1152"/>
              </w:tabs>
              <w:suppressAutoHyphens/>
              <w:spacing w:before="61" w:after="61" w:line="210" w:lineRule="exact"/>
              <w:ind w:right="43"/>
              <w:jc w:val="right"/>
              <w:rPr>
                <w:b/>
                <w:sz w:val="17"/>
                <w:lang w:val="fr-FR"/>
              </w:rPr>
            </w:pPr>
            <w:r w:rsidRPr="00A66C9F">
              <w:rPr>
                <w:b/>
                <w:sz w:val="17"/>
                <w:lang w:val="fr-FR"/>
              </w:rPr>
              <w:t xml:space="preserve"> (6 743,0)</w:t>
            </w:r>
          </w:p>
        </w:tc>
        <w:tc>
          <w:tcPr>
            <w:tcW w:w="944" w:type="dxa"/>
            <w:gridSpan w:val="2"/>
            <w:tcBorders>
              <w:top w:val="single" w:sz="4" w:space="0" w:color="auto"/>
              <w:bottom w:val="single" w:sz="12" w:space="0" w:color="auto"/>
            </w:tcBorders>
            <w:shd w:val="clear" w:color="000000" w:fill="FFFFFF"/>
            <w:noWrap/>
            <w:vAlign w:val="bottom"/>
            <w:hideMark/>
          </w:tcPr>
          <w:p w14:paraId="4F36A6B1" w14:textId="77777777" w:rsidR="00744544" w:rsidRPr="00A66C9F" w:rsidRDefault="00744544" w:rsidP="00107D5D">
            <w:pPr>
              <w:tabs>
                <w:tab w:val="left" w:pos="288"/>
                <w:tab w:val="left" w:pos="576"/>
                <w:tab w:val="left" w:pos="864"/>
                <w:tab w:val="left" w:pos="1152"/>
              </w:tabs>
              <w:suppressAutoHyphens/>
              <w:spacing w:before="61" w:after="61" w:line="210" w:lineRule="exact"/>
              <w:ind w:right="43"/>
              <w:jc w:val="right"/>
              <w:rPr>
                <w:b/>
                <w:sz w:val="17"/>
                <w:lang w:val="fr-FR"/>
              </w:rPr>
            </w:pPr>
            <w:r w:rsidRPr="00A66C9F">
              <w:rPr>
                <w:b/>
                <w:sz w:val="17"/>
                <w:lang w:val="fr-FR"/>
              </w:rPr>
              <w:t xml:space="preserve"> 83 063,4 </w:t>
            </w:r>
          </w:p>
        </w:tc>
        <w:tc>
          <w:tcPr>
            <w:tcW w:w="944" w:type="dxa"/>
            <w:tcBorders>
              <w:top w:val="single" w:sz="4" w:space="0" w:color="auto"/>
              <w:bottom w:val="single" w:sz="12" w:space="0" w:color="auto"/>
            </w:tcBorders>
            <w:shd w:val="clear" w:color="000000" w:fill="FFFFFF"/>
            <w:noWrap/>
            <w:vAlign w:val="bottom"/>
            <w:hideMark/>
          </w:tcPr>
          <w:p w14:paraId="7EA5BBA0" w14:textId="77777777" w:rsidR="00744544" w:rsidRPr="00A66C9F" w:rsidRDefault="00744544" w:rsidP="00107D5D">
            <w:pPr>
              <w:tabs>
                <w:tab w:val="left" w:pos="288"/>
                <w:tab w:val="left" w:pos="576"/>
                <w:tab w:val="left" w:pos="864"/>
                <w:tab w:val="left" w:pos="1152"/>
              </w:tabs>
              <w:suppressAutoHyphens/>
              <w:spacing w:before="61" w:after="61" w:line="210" w:lineRule="exact"/>
              <w:ind w:right="43"/>
              <w:jc w:val="right"/>
              <w:rPr>
                <w:b/>
                <w:sz w:val="17"/>
                <w:lang w:val="fr-FR"/>
              </w:rPr>
            </w:pPr>
            <w:r w:rsidRPr="00A66C9F">
              <w:rPr>
                <w:b/>
                <w:sz w:val="17"/>
                <w:lang w:val="fr-FR"/>
              </w:rPr>
              <w:t xml:space="preserve"> 9 959,9 </w:t>
            </w:r>
          </w:p>
        </w:tc>
        <w:tc>
          <w:tcPr>
            <w:tcW w:w="944" w:type="dxa"/>
            <w:tcBorders>
              <w:top w:val="single" w:sz="4" w:space="0" w:color="auto"/>
              <w:bottom w:val="single" w:sz="12" w:space="0" w:color="auto"/>
            </w:tcBorders>
            <w:shd w:val="clear" w:color="000000" w:fill="FFFFFF"/>
            <w:noWrap/>
            <w:vAlign w:val="bottom"/>
            <w:hideMark/>
          </w:tcPr>
          <w:p w14:paraId="371BD579" w14:textId="77777777" w:rsidR="00744544" w:rsidRPr="00A66C9F" w:rsidRDefault="00744544" w:rsidP="00107D5D">
            <w:pPr>
              <w:tabs>
                <w:tab w:val="left" w:pos="288"/>
                <w:tab w:val="left" w:pos="576"/>
                <w:tab w:val="left" w:pos="864"/>
                <w:tab w:val="left" w:pos="1152"/>
              </w:tabs>
              <w:suppressAutoHyphens/>
              <w:spacing w:before="61" w:after="61" w:line="210" w:lineRule="exact"/>
              <w:ind w:right="43"/>
              <w:jc w:val="right"/>
              <w:rPr>
                <w:b/>
                <w:sz w:val="17"/>
                <w:lang w:val="fr-FR"/>
              </w:rPr>
            </w:pPr>
            <w:r w:rsidRPr="00A66C9F">
              <w:rPr>
                <w:b/>
                <w:sz w:val="17"/>
                <w:lang w:val="fr-FR"/>
              </w:rPr>
              <w:t xml:space="preserve"> 93 023,3 </w:t>
            </w:r>
          </w:p>
        </w:tc>
      </w:tr>
    </w:tbl>
    <w:p w14:paraId="48CFE68B" w14:textId="77777777" w:rsidR="00744544" w:rsidRPr="00A66C9F" w:rsidRDefault="00744544" w:rsidP="00744544">
      <w:pPr>
        <w:spacing w:after="200" w:line="276" w:lineRule="auto"/>
        <w:rPr>
          <w:lang w:val="fr-FR"/>
        </w:rPr>
      </w:pPr>
      <w:r w:rsidRPr="00A66C9F">
        <w:rPr>
          <w:lang w:val="fr-FR"/>
        </w:rPr>
        <w:br w:type="page"/>
      </w:r>
    </w:p>
    <w:p w14:paraId="6ACC3849"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lastRenderedPageBreak/>
        <w:t>Caisse commune des pensions du personnel des Nations Unies</w:t>
      </w:r>
    </w:p>
    <w:p w14:paraId="379847E6"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 xml:space="preserve">Tableau B </w:t>
      </w:r>
      <w:r w:rsidRPr="00A66C9F">
        <w:rPr>
          <w:b w:val="0"/>
          <w:bCs/>
          <w:lang w:val="fr-FR"/>
        </w:rPr>
        <w:t>(</w:t>
      </w:r>
      <w:r w:rsidRPr="00A66C9F">
        <w:rPr>
          <w:b w:val="0"/>
          <w:bCs/>
          <w:i/>
          <w:iCs/>
          <w:lang w:val="fr-FR"/>
        </w:rPr>
        <w:t>suite</w:t>
      </w:r>
      <w:r w:rsidRPr="00A66C9F">
        <w:rPr>
          <w:b w:val="0"/>
          <w:bCs/>
          <w:lang w:val="fr-FR"/>
        </w:rPr>
        <w:t>)</w:t>
      </w:r>
    </w:p>
    <w:p w14:paraId="680B144D" w14:textId="77777777" w:rsidR="00744544" w:rsidRPr="00A66C9F" w:rsidRDefault="00744544" w:rsidP="00744544">
      <w:pPr>
        <w:pStyle w:val="SingleTxt"/>
        <w:spacing w:after="0" w:line="120" w:lineRule="exact"/>
        <w:rPr>
          <w:b/>
          <w:sz w:val="10"/>
          <w:lang w:val="fr-FR"/>
        </w:rPr>
      </w:pPr>
    </w:p>
    <w:p w14:paraId="0C16AE55"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FR"/>
        </w:rPr>
      </w:pPr>
      <w:r w:rsidRPr="00A66C9F">
        <w:rPr>
          <w:lang w:val="fr-FR"/>
        </w:rPr>
        <w:t xml:space="preserve">V. État comparatif des montants inscrits au budget et des montants effectifs sur une base comparable ; </w:t>
      </w:r>
      <w:r w:rsidRPr="00A66C9F">
        <w:rPr>
          <w:lang w:val="fr-FR"/>
        </w:rPr>
        <w:br/>
        <w:t xml:space="preserve">dépenses d’administration pour l’année terminée le 31 décembre 2019 </w:t>
      </w:r>
      <w:r w:rsidRPr="00A66C9F">
        <w:rPr>
          <w:b w:val="0"/>
          <w:lang w:val="fr-FR"/>
        </w:rPr>
        <w:t>(</w:t>
      </w:r>
      <w:r w:rsidRPr="00A66C9F">
        <w:rPr>
          <w:b w:val="0"/>
          <w:i/>
          <w:iCs/>
          <w:lang w:val="fr-FR"/>
        </w:rPr>
        <w:t>suite</w:t>
      </w:r>
      <w:r w:rsidRPr="00A66C9F">
        <w:rPr>
          <w:b w:val="0"/>
          <w:lang w:val="fr-FR"/>
        </w:rPr>
        <w:t>)</w:t>
      </w:r>
    </w:p>
    <w:p w14:paraId="5D2ABCFB" w14:textId="77777777" w:rsidR="00744544" w:rsidRPr="00A66C9F" w:rsidRDefault="00744544" w:rsidP="0074454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sz w:val="14"/>
          <w:szCs w:val="14"/>
          <w:lang w:val="fr-FR"/>
        </w:rPr>
        <w:t>(En milliers de dollars des États-Unis)</w:t>
      </w:r>
    </w:p>
    <w:p w14:paraId="4BA0DBAC" w14:textId="77777777" w:rsidR="00744544" w:rsidRPr="00A66C9F" w:rsidRDefault="00744544" w:rsidP="00744544">
      <w:pPr>
        <w:pStyle w:val="SingleTxt"/>
        <w:spacing w:after="0" w:line="100" w:lineRule="exact"/>
        <w:rPr>
          <w:sz w:val="10"/>
          <w:lang w:val="fr-FR"/>
        </w:rPr>
      </w:pPr>
    </w:p>
    <w:p w14:paraId="7518444D" w14:textId="77777777" w:rsidR="00744544" w:rsidRPr="00A66C9F" w:rsidRDefault="00744544" w:rsidP="00744544">
      <w:pPr>
        <w:pStyle w:val="SingleTxt"/>
        <w:spacing w:after="0" w:line="100" w:lineRule="exact"/>
        <w:rPr>
          <w:sz w:val="10"/>
          <w:lang w:val="fr-FR"/>
        </w:rPr>
      </w:pPr>
    </w:p>
    <w:tbl>
      <w:tblPr>
        <w:tblW w:w="0" w:type="auto"/>
        <w:shd w:val="clear" w:color="000000" w:fill="FFFFFF"/>
        <w:tblLayout w:type="fixed"/>
        <w:tblCellMar>
          <w:left w:w="0" w:type="dxa"/>
          <w:right w:w="0" w:type="dxa"/>
        </w:tblCellMar>
        <w:tblLook w:val="04A0" w:firstRow="1" w:lastRow="0" w:firstColumn="1" w:lastColumn="0" w:noHBand="0" w:noVBand="1"/>
      </w:tblPr>
      <w:tblGrid>
        <w:gridCol w:w="270"/>
        <w:gridCol w:w="3870"/>
        <w:gridCol w:w="900"/>
        <w:gridCol w:w="900"/>
        <w:gridCol w:w="900"/>
        <w:gridCol w:w="90"/>
        <w:gridCol w:w="900"/>
        <w:gridCol w:w="810"/>
        <w:gridCol w:w="900"/>
        <w:gridCol w:w="90"/>
        <w:gridCol w:w="810"/>
        <w:gridCol w:w="900"/>
        <w:gridCol w:w="900"/>
        <w:gridCol w:w="900"/>
      </w:tblGrid>
      <w:tr w:rsidR="00744544" w:rsidRPr="00A66C9F" w14:paraId="16D14733" w14:textId="77777777" w:rsidTr="00480329">
        <w:trPr>
          <w:cantSplit/>
          <w:tblHeader/>
        </w:trPr>
        <w:tc>
          <w:tcPr>
            <w:tcW w:w="4140" w:type="dxa"/>
            <w:gridSpan w:val="2"/>
            <w:tcBorders>
              <w:top w:val="single" w:sz="4" w:space="0" w:color="auto"/>
            </w:tcBorders>
            <w:shd w:val="clear" w:color="000000" w:fill="FFFFFF"/>
            <w:noWrap/>
            <w:vAlign w:val="bottom"/>
            <w:hideMark/>
          </w:tcPr>
          <w:p w14:paraId="3F01309D" w14:textId="77777777" w:rsidR="00744544" w:rsidRPr="00A66C9F" w:rsidRDefault="00744544" w:rsidP="00107D5D">
            <w:pPr>
              <w:suppressAutoHyphens/>
              <w:spacing w:before="81" w:after="81" w:line="160" w:lineRule="exact"/>
              <w:ind w:right="40"/>
              <w:rPr>
                <w:i/>
                <w:sz w:val="14"/>
                <w:lang w:val="fr-FR"/>
              </w:rPr>
            </w:pPr>
          </w:p>
        </w:tc>
        <w:tc>
          <w:tcPr>
            <w:tcW w:w="2700" w:type="dxa"/>
            <w:gridSpan w:val="3"/>
            <w:tcBorders>
              <w:top w:val="single" w:sz="4" w:space="0" w:color="auto"/>
              <w:bottom w:val="single" w:sz="4" w:space="0" w:color="auto"/>
            </w:tcBorders>
            <w:shd w:val="clear" w:color="000000" w:fill="FFFFFF"/>
            <w:noWrap/>
            <w:vAlign w:val="bottom"/>
            <w:hideMark/>
          </w:tcPr>
          <w:p w14:paraId="2BB2CD94" w14:textId="77777777" w:rsidR="00744544" w:rsidRPr="00A66C9F" w:rsidRDefault="00744544" w:rsidP="00107D5D">
            <w:pPr>
              <w:suppressAutoHyphens/>
              <w:spacing w:before="81" w:after="81" w:line="160" w:lineRule="exact"/>
              <w:ind w:right="43"/>
              <w:jc w:val="center"/>
              <w:rPr>
                <w:i/>
                <w:sz w:val="14"/>
                <w:lang w:val="fr-FR"/>
              </w:rPr>
            </w:pPr>
            <w:r w:rsidRPr="00A66C9F">
              <w:rPr>
                <w:i/>
                <w:sz w:val="14"/>
                <w:lang w:val="fr-FR"/>
              </w:rPr>
              <w:t>Budget définitif pour 2019</w:t>
            </w:r>
          </w:p>
        </w:tc>
        <w:tc>
          <w:tcPr>
            <w:tcW w:w="90" w:type="dxa"/>
            <w:tcBorders>
              <w:top w:val="single" w:sz="4" w:space="0" w:color="auto"/>
            </w:tcBorders>
            <w:shd w:val="clear" w:color="000000" w:fill="FFFFFF"/>
            <w:noWrap/>
            <w:vAlign w:val="bottom"/>
            <w:hideMark/>
          </w:tcPr>
          <w:p w14:paraId="058578BE" w14:textId="77777777" w:rsidR="00744544" w:rsidRPr="00A66C9F" w:rsidRDefault="00744544" w:rsidP="00107D5D">
            <w:pPr>
              <w:suppressAutoHyphens/>
              <w:spacing w:before="81" w:after="81" w:line="160" w:lineRule="exact"/>
              <w:ind w:right="43"/>
              <w:jc w:val="center"/>
              <w:rPr>
                <w:i/>
                <w:sz w:val="14"/>
                <w:lang w:val="fr-FR"/>
              </w:rPr>
            </w:pPr>
          </w:p>
        </w:tc>
        <w:tc>
          <w:tcPr>
            <w:tcW w:w="2610" w:type="dxa"/>
            <w:gridSpan w:val="3"/>
            <w:tcBorders>
              <w:top w:val="single" w:sz="4" w:space="0" w:color="auto"/>
              <w:bottom w:val="single" w:sz="4" w:space="0" w:color="auto"/>
            </w:tcBorders>
            <w:shd w:val="clear" w:color="000000" w:fill="FFFFFF"/>
            <w:vAlign w:val="bottom"/>
          </w:tcPr>
          <w:p w14:paraId="6C75B98F" w14:textId="77777777" w:rsidR="00744544" w:rsidRPr="00A66C9F" w:rsidRDefault="00744544" w:rsidP="00107D5D">
            <w:pPr>
              <w:suppressAutoHyphens/>
              <w:spacing w:before="81" w:after="81" w:line="160" w:lineRule="exact"/>
              <w:ind w:right="43"/>
              <w:jc w:val="center"/>
              <w:rPr>
                <w:i/>
                <w:sz w:val="14"/>
                <w:lang w:val="fr-FR"/>
              </w:rPr>
            </w:pPr>
            <w:r w:rsidRPr="00A66C9F">
              <w:rPr>
                <w:i/>
                <w:sz w:val="14"/>
                <w:lang w:val="fr-FR"/>
              </w:rPr>
              <w:t>Montants effectifs calculés sur une base comparable</w:t>
            </w:r>
          </w:p>
        </w:tc>
        <w:tc>
          <w:tcPr>
            <w:tcW w:w="90" w:type="dxa"/>
            <w:tcBorders>
              <w:top w:val="single" w:sz="4" w:space="0" w:color="auto"/>
            </w:tcBorders>
            <w:shd w:val="clear" w:color="000000" w:fill="FFFFFF"/>
            <w:noWrap/>
            <w:vAlign w:val="bottom"/>
            <w:hideMark/>
          </w:tcPr>
          <w:p w14:paraId="7B5C870D" w14:textId="77777777" w:rsidR="00744544" w:rsidRPr="00A66C9F" w:rsidRDefault="00744544" w:rsidP="00107D5D">
            <w:pPr>
              <w:suppressAutoHyphens/>
              <w:spacing w:before="81" w:after="81" w:line="160" w:lineRule="exact"/>
              <w:ind w:right="43"/>
              <w:jc w:val="center"/>
              <w:rPr>
                <w:i/>
                <w:sz w:val="14"/>
                <w:lang w:val="fr-FR"/>
              </w:rPr>
            </w:pPr>
          </w:p>
        </w:tc>
        <w:tc>
          <w:tcPr>
            <w:tcW w:w="2610" w:type="dxa"/>
            <w:gridSpan w:val="3"/>
            <w:tcBorders>
              <w:top w:val="single" w:sz="4" w:space="0" w:color="auto"/>
              <w:bottom w:val="single" w:sz="4" w:space="0" w:color="auto"/>
            </w:tcBorders>
            <w:shd w:val="clear" w:color="000000" w:fill="FFFFFF"/>
            <w:vAlign w:val="bottom"/>
          </w:tcPr>
          <w:p w14:paraId="27B5F157" w14:textId="77777777" w:rsidR="00744544" w:rsidRPr="00A66C9F" w:rsidRDefault="00744544" w:rsidP="00107D5D">
            <w:pPr>
              <w:suppressAutoHyphens/>
              <w:spacing w:before="81" w:after="81" w:line="160" w:lineRule="exact"/>
              <w:ind w:right="43"/>
              <w:jc w:val="center"/>
              <w:rPr>
                <w:i/>
                <w:sz w:val="14"/>
                <w:lang w:val="fr-FR"/>
              </w:rPr>
            </w:pPr>
            <w:r w:rsidRPr="00A66C9F">
              <w:rPr>
                <w:i/>
                <w:sz w:val="14"/>
                <w:lang w:val="fr-FR"/>
              </w:rPr>
              <w:t>Différence</w:t>
            </w:r>
          </w:p>
        </w:tc>
        <w:tc>
          <w:tcPr>
            <w:tcW w:w="900" w:type="dxa"/>
            <w:tcBorders>
              <w:top w:val="single" w:sz="4" w:space="0" w:color="auto"/>
            </w:tcBorders>
            <w:shd w:val="clear" w:color="000000" w:fill="FFFFFF"/>
            <w:noWrap/>
            <w:vAlign w:val="bottom"/>
          </w:tcPr>
          <w:p w14:paraId="09F85493" w14:textId="77777777" w:rsidR="00744544" w:rsidRPr="00A66C9F" w:rsidRDefault="00744544" w:rsidP="00107D5D">
            <w:pPr>
              <w:suppressAutoHyphens/>
              <w:spacing w:before="81" w:after="81" w:line="160" w:lineRule="exact"/>
              <w:ind w:right="43"/>
              <w:jc w:val="right"/>
              <w:rPr>
                <w:i/>
                <w:sz w:val="14"/>
                <w:lang w:val="fr-FR"/>
              </w:rPr>
            </w:pPr>
          </w:p>
        </w:tc>
      </w:tr>
      <w:tr w:rsidR="00744544" w:rsidRPr="00A66C9F" w14:paraId="401A5273" w14:textId="77777777" w:rsidTr="00480329">
        <w:trPr>
          <w:cantSplit/>
          <w:tblHeader/>
        </w:trPr>
        <w:tc>
          <w:tcPr>
            <w:tcW w:w="4140" w:type="dxa"/>
            <w:gridSpan w:val="2"/>
            <w:tcBorders>
              <w:bottom w:val="single" w:sz="12" w:space="0" w:color="auto"/>
            </w:tcBorders>
            <w:shd w:val="clear" w:color="000000" w:fill="FFFFFF"/>
            <w:noWrap/>
            <w:vAlign w:val="bottom"/>
            <w:hideMark/>
          </w:tcPr>
          <w:p w14:paraId="75A5210D" w14:textId="77777777" w:rsidR="00744544" w:rsidRPr="00A66C9F" w:rsidRDefault="00744544" w:rsidP="00107D5D">
            <w:pPr>
              <w:suppressAutoHyphens/>
              <w:spacing w:before="81" w:after="81" w:line="160" w:lineRule="exact"/>
              <w:ind w:right="43"/>
              <w:rPr>
                <w:i/>
                <w:sz w:val="14"/>
                <w:lang w:val="fr-FR"/>
              </w:rPr>
            </w:pPr>
          </w:p>
        </w:tc>
        <w:tc>
          <w:tcPr>
            <w:tcW w:w="900" w:type="dxa"/>
            <w:tcBorders>
              <w:top w:val="single" w:sz="4" w:space="0" w:color="auto"/>
              <w:bottom w:val="single" w:sz="12" w:space="0" w:color="auto"/>
            </w:tcBorders>
            <w:shd w:val="clear" w:color="000000" w:fill="FFFFFF"/>
            <w:noWrap/>
            <w:vAlign w:val="bottom"/>
            <w:hideMark/>
          </w:tcPr>
          <w:p w14:paraId="5AF1F265"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 xml:space="preserve">Caisse </w:t>
            </w:r>
            <w:r w:rsidRPr="00A66C9F">
              <w:rPr>
                <w:i/>
                <w:sz w:val="14"/>
                <w:lang w:val="fr-FR"/>
              </w:rPr>
              <w:br/>
              <w:t>des pensions</w:t>
            </w:r>
          </w:p>
        </w:tc>
        <w:tc>
          <w:tcPr>
            <w:tcW w:w="900" w:type="dxa"/>
            <w:tcBorders>
              <w:top w:val="single" w:sz="4" w:space="0" w:color="auto"/>
              <w:bottom w:val="single" w:sz="12" w:space="0" w:color="auto"/>
            </w:tcBorders>
            <w:shd w:val="clear" w:color="000000" w:fill="FFFFFF"/>
            <w:noWrap/>
            <w:vAlign w:val="bottom"/>
            <w:hideMark/>
          </w:tcPr>
          <w:p w14:paraId="0EED0481"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ONU</w:t>
            </w:r>
          </w:p>
        </w:tc>
        <w:tc>
          <w:tcPr>
            <w:tcW w:w="900" w:type="dxa"/>
            <w:tcBorders>
              <w:top w:val="single" w:sz="4" w:space="0" w:color="auto"/>
              <w:bottom w:val="single" w:sz="12" w:space="0" w:color="auto"/>
            </w:tcBorders>
            <w:shd w:val="clear" w:color="000000" w:fill="FFFFFF"/>
            <w:noWrap/>
            <w:vAlign w:val="bottom"/>
            <w:hideMark/>
          </w:tcPr>
          <w:p w14:paraId="35D28D59"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Total</w:t>
            </w:r>
          </w:p>
        </w:tc>
        <w:tc>
          <w:tcPr>
            <w:tcW w:w="990" w:type="dxa"/>
            <w:gridSpan w:val="2"/>
            <w:tcBorders>
              <w:bottom w:val="single" w:sz="12" w:space="0" w:color="auto"/>
            </w:tcBorders>
            <w:shd w:val="clear" w:color="000000" w:fill="FFFFFF"/>
            <w:noWrap/>
            <w:vAlign w:val="bottom"/>
            <w:hideMark/>
          </w:tcPr>
          <w:p w14:paraId="698569EB"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 xml:space="preserve">Caisse </w:t>
            </w:r>
            <w:r w:rsidRPr="00A66C9F">
              <w:rPr>
                <w:i/>
                <w:sz w:val="14"/>
                <w:lang w:val="fr-FR"/>
              </w:rPr>
              <w:br/>
              <w:t>des pensions</w:t>
            </w:r>
          </w:p>
        </w:tc>
        <w:tc>
          <w:tcPr>
            <w:tcW w:w="810" w:type="dxa"/>
            <w:tcBorders>
              <w:bottom w:val="single" w:sz="12" w:space="0" w:color="auto"/>
            </w:tcBorders>
            <w:shd w:val="clear" w:color="000000" w:fill="FFFFFF"/>
            <w:noWrap/>
            <w:vAlign w:val="bottom"/>
            <w:hideMark/>
          </w:tcPr>
          <w:p w14:paraId="3E3D4D5D"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ONU</w:t>
            </w:r>
          </w:p>
        </w:tc>
        <w:tc>
          <w:tcPr>
            <w:tcW w:w="900" w:type="dxa"/>
            <w:tcBorders>
              <w:bottom w:val="single" w:sz="12" w:space="0" w:color="auto"/>
            </w:tcBorders>
            <w:shd w:val="clear" w:color="000000" w:fill="FFFFFF"/>
            <w:noWrap/>
            <w:vAlign w:val="bottom"/>
            <w:hideMark/>
          </w:tcPr>
          <w:p w14:paraId="50CDBF54"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Total</w:t>
            </w:r>
          </w:p>
        </w:tc>
        <w:tc>
          <w:tcPr>
            <w:tcW w:w="900" w:type="dxa"/>
            <w:gridSpan w:val="2"/>
            <w:tcBorders>
              <w:bottom w:val="single" w:sz="12" w:space="0" w:color="auto"/>
            </w:tcBorders>
            <w:shd w:val="clear" w:color="000000" w:fill="FFFFFF"/>
            <w:noWrap/>
            <w:vAlign w:val="bottom"/>
            <w:hideMark/>
          </w:tcPr>
          <w:p w14:paraId="0031CB7E"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 xml:space="preserve">Caisse </w:t>
            </w:r>
            <w:r w:rsidRPr="00A66C9F">
              <w:rPr>
                <w:i/>
                <w:sz w:val="14"/>
                <w:lang w:val="fr-FR"/>
              </w:rPr>
              <w:br/>
              <w:t>des pensions</w:t>
            </w:r>
          </w:p>
        </w:tc>
        <w:tc>
          <w:tcPr>
            <w:tcW w:w="900" w:type="dxa"/>
            <w:tcBorders>
              <w:bottom w:val="single" w:sz="12" w:space="0" w:color="auto"/>
            </w:tcBorders>
            <w:shd w:val="clear" w:color="000000" w:fill="FFFFFF"/>
            <w:noWrap/>
            <w:vAlign w:val="bottom"/>
            <w:hideMark/>
          </w:tcPr>
          <w:p w14:paraId="11584950"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ONU</w:t>
            </w:r>
          </w:p>
        </w:tc>
        <w:tc>
          <w:tcPr>
            <w:tcW w:w="900" w:type="dxa"/>
            <w:tcBorders>
              <w:bottom w:val="single" w:sz="12" w:space="0" w:color="auto"/>
            </w:tcBorders>
            <w:shd w:val="clear" w:color="000000" w:fill="FFFFFF"/>
            <w:noWrap/>
            <w:vAlign w:val="bottom"/>
            <w:hideMark/>
          </w:tcPr>
          <w:p w14:paraId="03013FCF"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Total</w:t>
            </w:r>
          </w:p>
        </w:tc>
        <w:tc>
          <w:tcPr>
            <w:tcW w:w="900" w:type="dxa"/>
            <w:tcBorders>
              <w:bottom w:val="single" w:sz="12" w:space="0" w:color="auto"/>
            </w:tcBorders>
            <w:shd w:val="clear" w:color="000000" w:fill="FFFFFF"/>
            <w:noWrap/>
            <w:vAlign w:val="bottom"/>
          </w:tcPr>
          <w:p w14:paraId="61F99D74"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Pourcentage</w:t>
            </w:r>
          </w:p>
        </w:tc>
      </w:tr>
      <w:tr w:rsidR="00744544" w:rsidRPr="00A66C9F" w14:paraId="5AFBDBF5" w14:textId="77777777" w:rsidTr="00480329">
        <w:trPr>
          <w:cantSplit/>
          <w:trHeight w:hRule="exact" w:val="115"/>
          <w:tblHeader/>
        </w:trPr>
        <w:tc>
          <w:tcPr>
            <w:tcW w:w="270" w:type="dxa"/>
            <w:tcBorders>
              <w:top w:val="single" w:sz="12" w:space="0" w:color="auto"/>
            </w:tcBorders>
            <w:shd w:val="clear" w:color="000000" w:fill="FFFFFF"/>
            <w:noWrap/>
            <w:vAlign w:val="bottom"/>
          </w:tcPr>
          <w:p w14:paraId="4CD9EAA1" w14:textId="77777777" w:rsidR="00744544" w:rsidRPr="00A66C9F" w:rsidRDefault="00744544" w:rsidP="00107D5D">
            <w:pPr>
              <w:suppressAutoHyphens/>
              <w:spacing w:before="40" w:after="40" w:line="210" w:lineRule="exact"/>
              <w:ind w:right="40"/>
              <w:rPr>
                <w:sz w:val="17"/>
                <w:lang w:val="fr-FR"/>
              </w:rPr>
            </w:pPr>
          </w:p>
        </w:tc>
        <w:tc>
          <w:tcPr>
            <w:tcW w:w="3870" w:type="dxa"/>
            <w:tcBorders>
              <w:top w:val="single" w:sz="12" w:space="0" w:color="auto"/>
            </w:tcBorders>
            <w:shd w:val="clear" w:color="000000" w:fill="FFFFFF"/>
            <w:noWrap/>
            <w:vAlign w:val="bottom"/>
          </w:tcPr>
          <w:p w14:paraId="5F0B0F0F" w14:textId="77777777" w:rsidR="00744544" w:rsidRPr="00A66C9F" w:rsidRDefault="00744544" w:rsidP="00107D5D">
            <w:pPr>
              <w:suppressAutoHyphens/>
              <w:spacing w:before="40" w:after="40" w:line="210" w:lineRule="exact"/>
              <w:ind w:right="43"/>
              <w:rPr>
                <w:sz w:val="17"/>
                <w:lang w:val="fr-FR"/>
              </w:rPr>
            </w:pPr>
          </w:p>
        </w:tc>
        <w:tc>
          <w:tcPr>
            <w:tcW w:w="900" w:type="dxa"/>
            <w:tcBorders>
              <w:top w:val="single" w:sz="12" w:space="0" w:color="auto"/>
            </w:tcBorders>
            <w:shd w:val="clear" w:color="000000" w:fill="FFFFFF"/>
            <w:noWrap/>
            <w:vAlign w:val="bottom"/>
          </w:tcPr>
          <w:p w14:paraId="464D93DB" w14:textId="77777777" w:rsidR="00744544" w:rsidRPr="00A66C9F" w:rsidRDefault="00744544" w:rsidP="00107D5D">
            <w:pPr>
              <w:suppressAutoHyphens/>
              <w:spacing w:before="40" w:after="40" w:line="210" w:lineRule="exact"/>
              <w:ind w:right="43"/>
              <w:jc w:val="right"/>
              <w:rPr>
                <w:sz w:val="17"/>
                <w:lang w:val="fr-FR"/>
              </w:rPr>
            </w:pPr>
          </w:p>
        </w:tc>
        <w:tc>
          <w:tcPr>
            <w:tcW w:w="900" w:type="dxa"/>
            <w:tcBorders>
              <w:top w:val="single" w:sz="12" w:space="0" w:color="auto"/>
            </w:tcBorders>
            <w:shd w:val="clear" w:color="000000" w:fill="FFFFFF"/>
            <w:noWrap/>
            <w:vAlign w:val="bottom"/>
          </w:tcPr>
          <w:p w14:paraId="292E177F" w14:textId="77777777" w:rsidR="00744544" w:rsidRPr="00A66C9F" w:rsidRDefault="00744544" w:rsidP="00107D5D">
            <w:pPr>
              <w:suppressAutoHyphens/>
              <w:spacing w:before="40" w:after="40" w:line="210" w:lineRule="exact"/>
              <w:ind w:right="43"/>
              <w:jc w:val="right"/>
              <w:rPr>
                <w:sz w:val="17"/>
                <w:lang w:val="fr-FR"/>
              </w:rPr>
            </w:pPr>
          </w:p>
        </w:tc>
        <w:tc>
          <w:tcPr>
            <w:tcW w:w="900" w:type="dxa"/>
            <w:tcBorders>
              <w:top w:val="single" w:sz="12" w:space="0" w:color="auto"/>
            </w:tcBorders>
            <w:shd w:val="clear" w:color="000000" w:fill="FFFFFF"/>
            <w:noWrap/>
            <w:vAlign w:val="bottom"/>
          </w:tcPr>
          <w:p w14:paraId="68481BEE" w14:textId="77777777" w:rsidR="00744544" w:rsidRPr="00A66C9F" w:rsidRDefault="00744544" w:rsidP="00107D5D">
            <w:pPr>
              <w:suppressAutoHyphens/>
              <w:spacing w:before="40" w:after="40" w:line="210" w:lineRule="exact"/>
              <w:ind w:right="43"/>
              <w:jc w:val="right"/>
              <w:rPr>
                <w:sz w:val="17"/>
                <w:lang w:val="fr-FR"/>
              </w:rPr>
            </w:pPr>
          </w:p>
        </w:tc>
        <w:tc>
          <w:tcPr>
            <w:tcW w:w="990" w:type="dxa"/>
            <w:gridSpan w:val="2"/>
            <w:tcBorders>
              <w:top w:val="single" w:sz="12" w:space="0" w:color="auto"/>
            </w:tcBorders>
            <w:shd w:val="clear" w:color="000000" w:fill="FFFFFF"/>
            <w:noWrap/>
            <w:vAlign w:val="bottom"/>
          </w:tcPr>
          <w:p w14:paraId="31646D87" w14:textId="77777777" w:rsidR="00744544" w:rsidRPr="00A66C9F" w:rsidRDefault="00744544" w:rsidP="00107D5D">
            <w:pPr>
              <w:suppressAutoHyphens/>
              <w:spacing w:before="40" w:after="40" w:line="210" w:lineRule="exact"/>
              <w:ind w:right="43"/>
              <w:jc w:val="right"/>
              <w:rPr>
                <w:sz w:val="17"/>
                <w:lang w:val="fr-FR"/>
              </w:rPr>
            </w:pPr>
          </w:p>
        </w:tc>
        <w:tc>
          <w:tcPr>
            <w:tcW w:w="810" w:type="dxa"/>
            <w:tcBorders>
              <w:top w:val="single" w:sz="12" w:space="0" w:color="auto"/>
            </w:tcBorders>
            <w:shd w:val="clear" w:color="000000" w:fill="FFFFFF"/>
            <w:noWrap/>
            <w:vAlign w:val="bottom"/>
          </w:tcPr>
          <w:p w14:paraId="74CA9561" w14:textId="77777777" w:rsidR="00744544" w:rsidRPr="00A66C9F" w:rsidRDefault="00744544" w:rsidP="00107D5D">
            <w:pPr>
              <w:suppressAutoHyphens/>
              <w:spacing w:before="40" w:after="40" w:line="210" w:lineRule="exact"/>
              <w:ind w:right="43"/>
              <w:jc w:val="right"/>
              <w:rPr>
                <w:sz w:val="17"/>
                <w:lang w:val="fr-FR"/>
              </w:rPr>
            </w:pPr>
          </w:p>
        </w:tc>
        <w:tc>
          <w:tcPr>
            <w:tcW w:w="900" w:type="dxa"/>
            <w:tcBorders>
              <w:top w:val="single" w:sz="12" w:space="0" w:color="auto"/>
            </w:tcBorders>
            <w:shd w:val="clear" w:color="000000" w:fill="FFFFFF"/>
            <w:noWrap/>
            <w:vAlign w:val="bottom"/>
          </w:tcPr>
          <w:p w14:paraId="1AD19311" w14:textId="77777777" w:rsidR="00744544" w:rsidRPr="00A66C9F" w:rsidRDefault="00744544" w:rsidP="00107D5D">
            <w:pPr>
              <w:suppressAutoHyphens/>
              <w:spacing w:before="40" w:after="40" w:line="210" w:lineRule="exact"/>
              <w:ind w:right="43"/>
              <w:jc w:val="right"/>
              <w:rPr>
                <w:sz w:val="17"/>
                <w:lang w:val="fr-FR"/>
              </w:rPr>
            </w:pPr>
          </w:p>
        </w:tc>
        <w:tc>
          <w:tcPr>
            <w:tcW w:w="900" w:type="dxa"/>
            <w:gridSpan w:val="2"/>
            <w:tcBorders>
              <w:top w:val="single" w:sz="12" w:space="0" w:color="auto"/>
            </w:tcBorders>
            <w:shd w:val="clear" w:color="000000" w:fill="FFFFFF"/>
            <w:noWrap/>
            <w:vAlign w:val="bottom"/>
          </w:tcPr>
          <w:p w14:paraId="7503AB25" w14:textId="77777777" w:rsidR="00744544" w:rsidRPr="00A66C9F" w:rsidRDefault="00744544" w:rsidP="00107D5D">
            <w:pPr>
              <w:suppressAutoHyphens/>
              <w:spacing w:before="40" w:after="40" w:line="210" w:lineRule="exact"/>
              <w:ind w:right="43"/>
              <w:jc w:val="right"/>
              <w:rPr>
                <w:sz w:val="17"/>
                <w:lang w:val="fr-FR"/>
              </w:rPr>
            </w:pPr>
          </w:p>
        </w:tc>
        <w:tc>
          <w:tcPr>
            <w:tcW w:w="900" w:type="dxa"/>
            <w:tcBorders>
              <w:top w:val="single" w:sz="12" w:space="0" w:color="auto"/>
            </w:tcBorders>
            <w:shd w:val="clear" w:color="000000" w:fill="FFFFFF"/>
            <w:noWrap/>
            <w:vAlign w:val="bottom"/>
          </w:tcPr>
          <w:p w14:paraId="28C99E95" w14:textId="77777777" w:rsidR="00744544" w:rsidRPr="00A66C9F" w:rsidRDefault="00744544" w:rsidP="00107D5D">
            <w:pPr>
              <w:suppressAutoHyphens/>
              <w:spacing w:before="40" w:after="40" w:line="210" w:lineRule="exact"/>
              <w:ind w:right="43"/>
              <w:jc w:val="right"/>
              <w:rPr>
                <w:sz w:val="17"/>
                <w:lang w:val="fr-FR"/>
              </w:rPr>
            </w:pPr>
          </w:p>
        </w:tc>
        <w:tc>
          <w:tcPr>
            <w:tcW w:w="900" w:type="dxa"/>
            <w:tcBorders>
              <w:top w:val="single" w:sz="12" w:space="0" w:color="auto"/>
            </w:tcBorders>
            <w:shd w:val="clear" w:color="000000" w:fill="FFFFFF"/>
            <w:noWrap/>
            <w:vAlign w:val="bottom"/>
          </w:tcPr>
          <w:p w14:paraId="59D58295" w14:textId="77777777" w:rsidR="00744544" w:rsidRPr="00A66C9F" w:rsidRDefault="00744544" w:rsidP="00107D5D">
            <w:pPr>
              <w:suppressAutoHyphens/>
              <w:spacing w:before="40" w:after="40" w:line="210" w:lineRule="exact"/>
              <w:ind w:right="43"/>
              <w:jc w:val="right"/>
              <w:rPr>
                <w:sz w:val="17"/>
                <w:lang w:val="fr-FR"/>
              </w:rPr>
            </w:pPr>
          </w:p>
        </w:tc>
        <w:tc>
          <w:tcPr>
            <w:tcW w:w="900" w:type="dxa"/>
            <w:tcBorders>
              <w:top w:val="single" w:sz="12" w:space="0" w:color="auto"/>
            </w:tcBorders>
            <w:shd w:val="clear" w:color="000000" w:fill="FFFFFF"/>
            <w:noWrap/>
            <w:vAlign w:val="bottom"/>
          </w:tcPr>
          <w:p w14:paraId="6EFF80C4" w14:textId="77777777" w:rsidR="00744544" w:rsidRPr="00A66C9F" w:rsidRDefault="00744544" w:rsidP="00107D5D">
            <w:pPr>
              <w:suppressAutoHyphens/>
              <w:spacing w:before="40" w:after="40" w:line="210" w:lineRule="exact"/>
              <w:ind w:right="43"/>
              <w:jc w:val="right"/>
              <w:rPr>
                <w:sz w:val="17"/>
                <w:lang w:val="fr-FR"/>
              </w:rPr>
            </w:pPr>
          </w:p>
        </w:tc>
      </w:tr>
      <w:tr w:rsidR="00744544" w:rsidRPr="00A66C9F" w14:paraId="1F99D4B4" w14:textId="77777777" w:rsidTr="00480329">
        <w:trPr>
          <w:cantSplit/>
        </w:trPr>
        <w:tc>
          <w:tcPr>
            <w:tcW w:w="5040" w:type="dxa"/>
            <w:gridSpan w:val="3"/>
            <w:shd w:val="clear" w:color="000000" w:fill="FFFFFF"/>
            <w:noWrap/>
            <w:vAlign w:val="bottom"/>
            <w:hideMark/>
          </w:tcPr>
          <w:p w14:paraId="0B32307B"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rPr>
                <w:sz w:val="17"/>
                <w:lang w:val="fr-FR"/>
              </w:rPr>
            </w:pPr>
            <w:r w:rsidRPr="00A66C9F">
              <w:rPr>
                <w:b/>
                <w:bCs/>
                <w:sz w:val="17"/>
                <w:lang w:val="fr-FR"/>
              </w:rPr>
              <w:t>A.</w:t>
            </w:r>
            <w:r w:rsidRPr="00A66C9F">
              <w:rPr>
                <w:b/>
                <w:bCs/>
                <w:sz w:val="17"/>
                <w:lang w:val="fr-FR"/>
              </w:rPr>
              <w:tab/>
              <w:t>Secrétariat de la Caisse</w:t>
            </w:r>
          </w:p>
        </w:tc>
        <w:tc>
          <w:tcPr>
            <w:tcW w:w="900" w:type="dxa"/>
            <w:shd w:val="clear" w:color="000000" w:fill="FFFFFF"/>
            <w:noWrap/>
            <w:vAlign w:val="bottom"/>
            <w:hideMark/>
          </w:tcPr>
          <w:p w14:paraId="1F7A966F"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w:t>
            </w:r>
          </w:p>
        </w:tc>
        <w:tc>
          <w:tcPr>
            <w:tcW w:w="900" w:type="dxa"/>
            <w:shd w:val="clear" w:color="000000" w:fill="FFFFFF"/>
            <w:noWrap/>
            <w:vAlign w:val="bottom"/>
            <w:hideMark/>
          </w:tcPr>
          <w:p w14:paraId="3CE9D932"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w:t>
            </w:r>
          </w:p>
        </w:tc>
        <w:tc>
          <w:tcPr>
            <w:tcW w:w="990" w:type="dxa"/>
            <w:gridSpan w:val="2"/>
            <w:shd w:val="clear" w:color="000000" w:fill="FFFFFF"/>
            <w:noWrap/>
            <w:vAlign w:val="bottom"/>
            <w:hideMark/>
          </w:tcPr>
          <w:p w14:paraId="723E27D5"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w:t>
            </w:r>
          </w:p>
        </w:tc>
        <w:tc>
          <w:tcPr>
            <w:tcW w:w="810" w:type="dxa"/>
            <w:shd w:val="clear" w:color="000000" w:fill="FFFFFF"/>
            <w:noWrap/>
            <w:vAlign w:val="bottom"/>
            <w:hideMark/>
          </w:tcPr>
          <w:p w14:paraId="558AF9F5"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w:t>
            </w:r>
          </w:p>
        </w:tc>
        <w:tc>
          <w:tcPr>
            <w:tcW w:w="900" w:type="dxa"/>
            <w:shd w:val="clear" w:color="000000" w:fill="FFFFFF"/>
            <w:noWrap/>
            <w:vAlign w:val="bottom"/>
            <w:hideMark/>
          </w:tcPr>
          <w:p w14:paraId="4FA41547"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w:t>
            </w:r>
          </w:p>
        </w:tc>
        <w:tc>
          <w:tcPr>
            <w:tcW w:w="900" w:type="dxa"/>
            <w:gridSpan w:val="2"/>
            <w:shd w:val="clear" w:color="000000" w:fill="FFFFFF"/>
            <w:noWrap/>
            <w:vAlign w:val="bottom"/>
            <w:hideMark/>
          </w:tcPr>
          <w:p w14:paraId="64D1267F"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w:t>
            </w:r>
          </w:p>
        </w:tc>
        <w:tc>
          <w:tcPr>
            <w:tcW w:w="900" w:type="dxa"/>
            <w:shd w:val="clear" w:color="000000" w:fill="FFFFFF"/>
            <w:noWrap/>
            <w:vAlign w:val="bottom"/>
            <w:hideMark/>
          </w:tcPr>
          <w:p w14:paraId="46BED0F2"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w:t>
            </w:r>
          </w:p>
        </w:tc>
        <w:tc>
          <w:tcPr>
            <w:tcW w:w="900" w:type="dxa"/>
            <w:shd w:val="clear" w:color="000000" w:fill="FFFFFF"/>
            <w:noWrap/>
            <w:vAlign w:val="bottom"/>
            <w:hideMark/>
          </w:tcPr>
          <w:p w14:paraId="2162A297"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w:t>
            </w:r>
          </w:p>
        </w:tc>
        <w:tc>
          <w:tcPr>
            <w:tcW w:w="900" w:type="dxa"/>
            <w:shd w:val="clear" w:color="000000" w:fill="FFFFFF"/>
            <w:noWrap/>
            <w:vAlign w:val="bottom"/>
          </w:tcPr>
          <w:p w14:paraId="60044A0E"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p>
        </w:tc>
      </w:tr>
      <w:tr w:rsidR="00744544" w:rsidRPr="00A66C9F" w14:paraId="4E2F96FB" w14:textId="77777777" w:rsidTr="00480329">
        <w:trPr>
          <w:cantSplit/>
        </w:trPr>
        <w:tc>
          <w:tcPr>
            <w:tcW w:w="4140" w:type="dxa"/>
            <w:gridSpan w:val="2"/>
            <w:shd w:val="clear" w:color="000000" w:fill="FFFFFF"/>
            <w:noWrap/>
            <w:vAlign w:val="bottom"/>
            <w:hideMark/>
          </w:tcPr>
          <w:p w14:paraId="6B81BA28" w14:textId="77777777" w:rsidR="00744544" w:rsidRPr="00A66C9F" w:rsidRDefault="00744544" w:rsidP="00107D5D">
            <w:pPr>
              <w:tabs>
                <w:tab w:val="left" w:pos="288"/>
                <w:tab w:val="left" w:pos="576"/>
                <w:tab w:val="left" w:pos="864"/>
                <w:tab w:val="left" w:pos="1152"/>
              </w:tabs>
              <w:suppressAutoHyphens/>
              <w:spacing w:before="30" w:after="30" w:line="210" w:lineRule="exact"/>
              <w:ind w:right="40"/>
              <w:rPr>
                <w:sz w:val="17"/>
                <w:lang w:val="fr-FR"/>
              </w:rPr>
            </w:pPr>
            <w:r w:rsidRPr="00A66C9F">
              <w:rPr>
                <w:sz w:val="17"/>
                <w:lang w:val="fr-FR"/>
              </w:rPr>
              <w:tab/>
              <w:t>Postes</w:t>
            </w:r>
          </w:p>
        </w:tc>
        <w:tc>
          <w:tcPr>
            <w:tcW w:w="900" w:type="dxa"/>
            <w:shd w:val="clear" w:color="000000" w:fill="FFFFFF"/>
            <w:noWrap/>
            <w:vAlign w:val="bottom"/>
            <w:hideMark/>
          </w:tcPr>
          <w:p w14:paraId="6ACF7648"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17 601,4 </w:t>
            </w:r>
          </w:p>
        </w:tc>
        <w:tc>
          <w:tcPr>
            <w:tcW w:w="900" w:type="dxa"/>
            <w:shd w:val="clear" w:color="000000" w:fill="FFFFFF"/>
            <w:noWrap/>
            <w:vAlign w:val="bottom"/>
            <w:hideMark/>
          </w:tcPr>
          <w:p w14:paraId="33F99BC6"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7 908,2 </w:t>
            </w:r>
          </w:p>
        </w:tc>
        <w:tc>
          <w:tcPr>
            <w:tcW w:w="900" w:type="dxa"/>
            <w:shd w:val="clear" w:color="000000" w:fill="FFFFFF"/>
            <w:noWrap/>
            <w:vAlign w:val="bottom"/>
            <w:hideMark/>
          </w:tcPr>
          <w:p w14:paraId="09D9B8E6"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25 509,6 </w:t>
            </w:r>
          </w:p>
        </w:tc>
        <w:tc>
          <w:tcPr>
            <w:tcW w:w="990" w:type="dxa"/>
            <w:gridSpan w:val="2"/>
            <w:shd w:val="clear" w:color="000000" w:fill="FFFFFF"/>
            <w:noWrap/>
            <w:vAlign w:val="bottom"/>
            <w:hideMark/>
          </w:tcPr>
          <w:p w14:paraId="00970B5A"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17 631,1 </w:t>
            </w:r>
          </w:p>
        </w:tc>
        <w:tc>
          <w:tcPr>
            <w:tcW w:w="810" w:type="dxa"/>
            <w:shd w:val="clear" w:color="000000" w:fill="FFFFFF"/>
            <w:noWrap/>
            <w:vAlign w:val="bottom"/>
            <w:hideMark/>
          </w:tcPr>
          <w:p w14:paraId="3D9B2D39"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7 905,0 </w:t>
            </w:r>
          </w:p>
        </w:tc>
        <w:tc>
          <w:tcPr>
            <w:tcW w:w="900" w:type="dxa"/>
            <w:shd w:val="clear" w:color="000000" w:fill="FFFFFF"/>
            <w:noWrap/>
            <w:vAlign w:val="bottom"/>
            <w:hideMark/>
          </w:tcPr>
          <w:p w14:paraId="0522C006"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25 536,1 </w:t>
            </w:r>
          </w:p>
        </w:tc>
        <w:tc>
          <w:tcPr>
            <w:tcW w:w="900" w:type="dxa"/>
            <w:gridSpan w:val="2"/>
            <w:shd w:val="clear" w:color="000000" w:fill="FFFFFF"/>
            <w:noWrap/>
            <w:vAlign w:val="bottom"/>
            <w:hideMark/>
          </w:tcPr>
          <w:p w14:paraId="212D5CBB"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29,7</w:t>
            </w:r>
          </w:p>
        </w:tc>
        <w:tc>
          <w:tcPr>
            <w:tcW w:w="900" w:type="dxa"/>
            <w:shd w:val="clear" w:color="000000" w:fill="FFFFFF"/>
            <w:noWrap/>
            <w:vAlign w:val="bottom"/>
            <w:hideMark/>
          </w:tcPr>
          <w:p w14:paraId="644B2E66"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(3,2)</w:t>
            </w:r>
          </w:p>
        </w:tc>
        <w:tc>
          <w:tcPr>
            <w:tcW w:w="900" w:type="dxa"/>
            <w:shd w:val="clear" w:color="000000" w:fill="FFFFFF"/>
            <w:noWrap/>
            <w:vAlign w:val="bottom"/>
            <w:hideMark/>
          </w:tcPr>
          <w:p w14:paraId="333FEF4C"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26,5</w:t>
            </w:r>
          </w:p>
        </w:tc>
        <w:tc>
          <w:tcPr>
            <w:tcW w:w="900" w:type="dxa"/>
            <w:shd w:val="clear" w:color="000000" w:fill="FFFFFF"/>
            <w:noWrap/>
            <w:vAlign w:val="bottom"/>
          </w:tcPr>
          <w:p w14:paraId="36CC1432"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0 </w:t>
            </w:r>
          </w:p>
        </w:tc>
      </w:tr>
      <w:tr w:rsidR="00744544" w:rsidRPr="00A66C9F" w14:paraId="746CE579" w14:textId="77777777" w:rsidTr="00480329">
        <w:trPr>
          <w:cantSplit/>
        </w:trPr>
        <w:tc>
          <w:tcPr>
            <w:tcW w:w="4140" w:type="dxa"/>
            <w:gridSpan w:val="2"/>
            <w:shd w:val="clear" w:color="000000" w:fill="FFFFFF"/>
            <w:noWrap/>
            <w:vAlign w:val="bottom"/>
            <w:hideMark/>
          </w:tcPr>
          <w:p w14:paraId="12C00CB4" w14:textId="77777777" w:rsidR="00744544" w:rsidRPr="00A66C9F" w:rsidRDefault="00744544" w:rsidP="00107D5D">
            <w:pPr>
              <w:tabs>
                <w:tab w:val="left" w:pos="288"/>
                <w:tab w:val="left" w:pos="576"/>
                <w:tab w:val="left" w:pos="864"/>
                <w:tab w:val="left" w:pos="1152"/>
              </w:tabs>
              <w:suppressAutoHyphens/>
              <w:spacing w:before="30" w:after="30" w:line="210" w:lineRule="exact"/>
              <w:ind w:left="288" w:right="40" w:hanging="288"/>
              <w:rPr>
                <w:sz w:val="17"/>
                <w:lang w:val="fr-FR"/>
              </w:rPr>
            </w:pPr>
            <w:r w:rsidRPr="00A66C9F">
              <w:rPr>
                <w:sz w:val="17"/>
                <w:lang w:val="fr-FR"/>
              </w:rPr>
              <w:tab/>
              <w:t>Autres dépenses de personnel</w:t>
            </w:r>
          </w:p>
        </w:tc>
        <w:tc>
          <w:tcPr>
            <w:tcW w:w="900" w:type="dxa"/>
            <w:shd w:val="clear" w:color="000000" w:fill="FFFFFF"/>
            <w:noWrap/>
            <w:vAlign w:val="bottom"/>
            <w:hideMark/>
          </w:tcPr>
          <w:p w14:paraId="6CB40FFB"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5 525,4 </w:t>
            </w:r>
          </w:p>
        </w:tc>
        <w:tc>
          <w:tcPr>
            <w:tcW w:w="900" w:type="dxa"/>
            <w:shd w:val="clear" w:color="000000" w:fill="FFFFFF"/>
            <w:noWrap/>
            <w:vAlign w:val="bottom"/>
            <w:hideMark/>
          </w:tcPr>
          <w:p w14:paraId="52D61209"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184,5</w:t>
            </w:r>
          </w:p>
        </w:tc>
        <w:tc>
          <w:tcPr>
            <w:tcW w:w="900" w:type="dxa"/>
            <w:shd w:val="clear" w:color="000000" w:fill="FFFFFF"/>
            <w:noWrap/>
            <w:vAlign w:val="bottom"/>
            <w:hideMark/>
          </w:tcPr>
          <w:p w14:paraId="797EB4DD"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5 709,9 </w:t>
            </w:r>
          </w:p>
        </w:tc>
        <w:tc>
          <w:tcPr>
            <w:tcW w:w="990" w:type="dxa"/>
            <w:gridSpan w:val="2"/>
            <w:shd w:val="clear" w:color="000000" w:fill="FFFFFF"/>
            <w:noWrap/>
            <w:vAlign w:val="bottom"/>
            <w:hideMark/>
          </w:tcPr>
          <w:p w14:paraId="0CED7B13"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4 821,7 </w:t>
            </w:r>
          </w:p>
        </w:tc>
        <w:tc>
          <w:tcPr>
            <w:tcW w:w="810" w:type="dxa"/>
            <w:shd w:val="clear" w:color="000000" w:fill="FFFFFF"/>
            <w:noWrap/>
            <w:vAlign w:val="bottom"/>
            <w:hideMark/>
          </w:tcPr>
          <w:p w14:paraId="0D9733E3"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112,9</w:t>
            </w:r>
          </w:p>
        </w:tc>
        <w:tc>
          <w:tcPr>
            <w:tcW w:w="900" w:type="dxa"/>
            <w:shd w:val="clear" w:color="000000" w:fill="FFFFFF"/>
            <w:noWrap/>
            <w:vAlign w:val="bottom"/>
            <w:hideMark/>
          </w:tcPr>
          <w:p w14:paraId="7CAE56D7"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4 934,6 </w:t>
            </w:r>
          </w:p>
        </w:tc>
        <w:tc>
          <w:tcPr>
            <w:tcW w:w="900" w:type="dxa"/>
            <w:gridSpan w:val="2"/>
            <w:shd w:val="clear" w:color="000000" w:fill="FFFFFF"/>
            <w:noWrap/>
            <w:vAlign w:val="bottom"/>
            <w:hideMark/>
          </w:tcPr>
          <w:p w14:paraId="47466BF8"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(703,7)</w:t>
            </w:r>
          </w:p>
        </w:tc>
        <w:tc>
          <w:tcPr>
            <w:tcW w:w="900" w:type="dxa"/>
            <w:shd w:val="clear" w:color="000000" w:fill="FFFFFF"/>
            <w:noWrap/>
            <w:vAlign w:val="bottom"/>
            <w:hideMark/>
          </w:tcPr>
          <w:p w14:paraId="73A8D84A"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(71,6)</w:t>
            </w:r>
          </w:p>
        </w:tc>
        <w:tc>
          <w:tcPr>
            <w:tcW w:w="900" w:type="dxa"/>
            <w:shd w:val="clear" w:color="000000" w:fill="FFFFFF"/>
            <w:noWrap/>
            <w:vAlign w:val="bottom"/>
            <w:hideMark/>
          </w:tcPr>
          <w:p w14:paraId="2F7E8EDD"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(775,3)</w:t>
            </w:r>
          </w:p>
        </w:tc>
        <w:tc>
          <w:tcPr>
            <w:tcW w:w="900" w:type="dxa"/>
            <w:shd w:val="clear" w:color="000000" w:fill="FFFFFF"/>
            <w:noWrap/>
            <w:vAlign w:val="bottom"/>
          </w:tcPr>
          <w:p w14:paraId="253B710E"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(14)</w:t>
            </w:r>
          </w:p>
        </w:tc>
      </w:tr>
      <w:tr w:rsidR="00744544" w:rsidRPr="00A66C9F" w14:paraId="7E39642F" w14:textId="77777777" w:rsidTr="00480329">
        <w:trPr>
          <w:cantSplit/>
        </w:trPr>
        <w:tc>
          <w:tcPr>
            <w:tcW w:w="4140" w:type="dxa"/>
            <w:gridSpan w:val="2"/>
            <w:shd w:val="clear" w:color="000000" w:fill="FFFFFF"/>
            <w:noWrap/>
            <w:vAlign w:val="bottom"/>
            <w:hideMark/>
          </w:tcPr>
          <w:p w14:paraId="10AC466D" w14:textId="77777777" w:rsidR="00744544" w:rsidRPr="00A66C9F" w:rsidRDefault="00744544" w:rsidP="00107D5D">
            <w:pPr>
              <w:tabs>
                <w:tab w:val="left" w:pos="288"/>
                <w:tab w:val="left" w:pos="576"/>
                <w:tab w:val="left" w:pos="864"/>
                <w:tab w:val="left" w:pos="1152"/>
              </w:tabs>
              <w:suppressAutoHyphens/>
              <w:spacing w:before="30" w:after="30" w:line="210" w:lineRule="exact"/>
              <w:ind w:right="40"/>
              <w:rPr>
                <w:sz w:val="17"/>
                <w:lang w:val="fr-FR"/>
              </w:rPr>
            </w:pPr>
            <w:r w:rsidRPr="00A66C9F">
              <w:rPr>
                <w:sz w:val="17"/>
                <w:lang w:val="fr-FR"/>
              </w:rPr>
              <w:tab/>
              <w:t>Frais de représentation</w:t>
            </w:r>
          </w:p>
        </w:tc>
        <w:tc>
          <w:tcPr>
            <w:tcW w:w="900" w:type="dxa"/>
            <w:shd w:val="clear" w:color="000000" w:fill="FFFFFF"/>
            <w:noWrap/>
            <w:vAlign w:val="bottom"/>
            <w:hideMark/>
          </w:tcPr>
          <w:p w14:paraId="3C1673A1"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5,8</w:t>
            </w:r>
          </w:p>
        </w:tc>
        <w:tc>
          <w:tcPr>
            <w:tcW w:w="900" w:type="dxa"/>
            <w:shd w:val="clear" w:color="000000" w:fill="FFFFFF"/>
            <w:noWrap/>
            <w:vAlign w:val="bottom"/>
            <w:hideMark/>
          </w:tcPr>
          <w:p w14:paraId="445EAB86"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w:t>
            </w:r>
          </w:p>
        </w:tc>
        <w:tc>
          <w:tcPr>
            <w:tcW w:w="900" w:type="dxa"/>
            <w:shd w:val="clear" w:color="000000" w:fill="FFFFFF"/>
            <w:noWrap/>
            <w:vAlign w:val="bottom"/>
            <w:hideMark/>
          </w:tcPr>
          <w:p w14:paraId="7EE70AD1"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5,8</w:t>
            </w:r>
          </w:p>
        </w:tc>
        <w:tc>
          <w:tcPr>
            <w:tcW w:w="990" w:type="dxa"/>
            <w:gridSpan w:val="2"/>
            <w:shd w:val="clear" w:color="000000" w:fill="FFFFFF"/>
            <w:noWrap/>
            <w:vAlign w:val="bottom"/>
            <w:hideMark/>
          </w:tcPr>
          <w:p w14:paraId="0096FDA6"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0,3 </w:t>
            </w:r>
          </w:p>
        </w:tc>
        <w:tc>
          <w:tcPr>
            <w:tcW w:w="810" w:type="dxa"/>
            <w:shd w:val="clear" w:color="000000" w:fill="FFFFFF"/>
            <w:noWrap/>
            <w:vAlign w:val="bottom"/>
            <w:hideMark/>
          </w:tcPr>
          <w:p w14:paraId="3B8D7763"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w:t>
            </w:r>
          </w:p>
        </w:tc>
        <w:tc>
          <w:tcPr>
            <w:tcW w:w="900" w:type="dxa"/>
            <w:shd w:val="clear" w:color="000000" w:fill="FFFFFF"/>
            <w:noWrap/>
            <w:vAlign w:val="bottom"/>
            <w:hideMark/>
          </w:tcPr>
          <w:p w14:paraId="3D29DFA4"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0,3 </w:t>
            </w:r>
          </w:p>
        </w:tc>
        <w:tc>
          <w:tcPr>
            <w:tcW w:w="900" w:type="dxa"/>
            <w:gridSpan w:val="2"/>
            <w:shd w:val="clear" w:color="000000" w:fill="FFFFFF"/>
            <w:noWrap/>
            <w:vAlign w:val="bottom"/>
            <w:hideMark/>
          </w:tcPr>
          <w:p w14:paraId="0A75713F"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(5,5)</w:t>
            </w:r>
          </w:p>
        </w:tc>
        <w:tc>
          <w:tcPr>
            <w:tcW w:w="900" w:type="dxa"/>
            <w:shd w:val="clear" w:color="000000" w:fill="FFFFFF"/>
            <w:noWrap/>
            <w:vAlign w:val="bottom"/>
            <w:hideMark/>
          </w:tcPr>
          <w:p w14:paraId="5686291F"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w:t>
            </w:r>
          </w:p>
        </w:tc>
        <w:tc>
          <w:tcPr>
            <w:tcW w:w="900" w:type="dxa"/>
            <w:shd w:val="clear" w:color="000000" w:fill="FFFFFF"/>
            <w:noWrap/>
            <w:vAlign w:val="bottom"/>
            <w:hideMark/>
          </w:tcPr>
          <w:p w14:paraId="73E45CAE"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(5,5)</w:t>
            </w:r>
          </w:p>
        </w:tc>
        <w:tc>
          <w:tcPr>
            <w:tcW w:w="900" w:type="dxa"/>
            <w:shd w:val="clear" w:color="000000" w:fill="FFFFFF"/>
            <w:noWrap/>
            <w:vAlign w:val="bottom"/>
          </w:tcPr>
          <w:p w14:paraId="1AC477EC"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(95)</w:t>
            </w:r>
          </w:p>
        </w:tc>
      </w:tr>
      <w:tr w:rsidR="00744544" w:rsidRPr="00A66C9F" w14:paraId="7CC2D5EA" w14:textId="77777777" w:rsidTr="00480329">
        <w:trPr>
          <w:cantSplit/>
        </w:trPr>
        <w:tc>
          <w:tcPr>
            <w:tcW w:w="4140" w:type="dxa"/>
            <w:gridSpan w:val="2"/>
            <w:shd w:val="clear" w:color="000000" w:fill="FFFFFF"/>
            <w:noWrap/>
            <w:vAlign w:val="bottom"/>
            <w:hideMark/>
          </w:tcPr>
          <w:p w14:paraId="7AC55BE7" w14:textId="77777777" w:rsidR="00744544" w:rsidRPr="00A66C9F" w:rsidRDefault="00744544" w:rsidP="00107D5D">
            <w:pPr>
              <w:tabs>
                <w:tab w:val="left" w:pos="288"/>
                <w:tab w:val="left" w:pos="576"/>
                <w:tab w:val="left" w:pos="864"/>
                <w:tab w:val="left" w:pos="1152"/>
              </w:tabs>
              <w:suppressAutoHyphens/>
              <w:spacing w:before="30" w:after="30" w:line="210" w:lineRule="exact"/>
              <w:ind w:right="40"/>
              <w:rPr>
                <w:sz w:val="17"/>
                <w:lang w:val="fr-FR"/>
              </w:rPr>
            </w:pPr>
            <w:r w:rsidRPr="00A66C9F">
              <w:rPr>
                <w:sz w:val="17"/>
                <w:lang w:val="fr-FR"/>
              </w:rPr>
              <w:tab/>
              <w:t>Consultants</w:t>
            </w:r>
          </w:p>
        </w:tc>
        <w:tc>
          <w:tcPr>
            <w:tcW w:w="900" w:type="dxa"/>
            <w:shd w:val="clear" w:color="000000" w:fill="FFFFFF"/>
            <w:noWrap/>
            <w:vAlign w:val="bottom"/>
            <w:hideMark/>
          </w:tcPr>
          <w:p w14:paraId="00639E70"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145,2</w:t>
            </w:r>
          </w:p>
        </w:tc>
        <w:tc>
          <w:tcPr>
            <w:tcW w:w="900" w:type="dxa"/>
            <w:shd w:val="clear" w:color="000000" w:fill="FFFFFF"/>
            <w:noWrap/>
            <w:vAlign w:val="bottom"/>
            <w:hideMark/>
          </w:tcPr>
          <w:p w14:paraId="08C1E95C"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w:t>
            </w:r>
          </w:p>
        </w:tc>
        <w:tc>
          <w:tcPr>
            <w:tcW w:w="900" w:type="dxa"/>
            <w:shd w:val="clear" w:color="000000" w:fill="FFFFFF"/>
            <w:noWrap/>
            <w:vAlign w:val="bottom"/>
            <w:hideMark/>
          </w:tcPr>
          <w:p w14:paraId="12222A85"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145,2</w:t>
            </w:r>
          </w:p>
        </w:tc>
        <w:tc>
          <w:tcPr>
            <w:tcW w:w="990" w:type="dxa"/>
            <w:gridSpan w:val="2"/>
            <w:shd w:val="clear" w:color="000000" w:fill="FFFFFF"/>
            <w:noWrap/>
            <w:vAlign w:val="bottom"/>
            <w:hideMark/>
          </w:tcPr>
          <w:p w14:paraId="43C5E5BB"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146,1</w:t>
            </w:r>
          </w:p>
        </w:tc>
        <w:tc>
          <w:tcPr>
            <w:tcW w:w="810" w:type="dxa"/>
            <w:shd w:val="clear" w:color="000000" w:fill="FFFFFF"/>
            <w:noWrap/>
            <w:vAlign w:val="bottom"/>
            <w:hideMark/>
          </w:tcPr>
          <w:p w14:paraId="1A0B1515"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w:t>
            </w:r>
          </w:p>
        </w:tc>
        <w:tc>
          <w:tcPr>
            <w:tcW w:w="900" w:type="dxa"/>
            <w:shd w:val="clear" w:color="000000" w:fill="FFFFFF"/>
            <w:noWrap/>
            <w:vAlign w:val="bottom"/>
            <w:hideMark/>
          </w:tcPr>
          <w:p w14:paraId="36349634"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146,1</w:t>
            </w:r>
          </w:p>
        </w:tc>
        <w:tc>
          <w:tcPr>
            <w:tcW w:w="900" w:type="dxa"/>
            <w:gridSpan w:val="2"/>
            <w:shd w:val="clear" w:color="000000" w:fill="FFFFFF"/>
            <w:noWrap/>
            <w:vAlign w:val="bottom"/>
            <w:hideMark/>
          </w:tcPr>
          <w:p w14:paraId="1A731EFC"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0,9 </w:t>
            </w:r>
          </w:p>
        </w:tc>
        <w:tc>
          <w:tcPr>
            <w:tcW w:w="900" w:type="dxa"/>
            <w:shd w:val="clear" w:color="000000" w:fill="FFFFFF"/>
            <w:noWrap/>
            <w:vAlign w:val="bottom"/>
            <w:hideMark/>
          </w:tcPr>
          <w:p w14:paraId="4D787812"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w:t>
            </w:r>
          </w:p>
        </w:tc>
        <w:tc>
          <w:tcPr>
            <w:tcW w:w="900" w:type="dxa"/>
            <w:shd w:val="clear" w:color="000000" w:fill="FFFFFF"/>
            <w:noWrap/>
            <w:vAlign w:val="bottom"/>
            <w:hideMark/>
          </w:tcPr>
          <w:p w14:paraId="21A3322B"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0,9 </w:t>
            </w:r>
          </w:p>
        </w:tc>
        <w:tc>
          <w:tcPr>
            <w:tcW w:w="900" w:type="dxa"/>
            <w:shd w:val="clear" w:color="000000" w:fill="FFFFFF"/>
            <w:noWrap/>
            <w:vAlign w:val="bottom"/>
          </w:tcPr>
          <w:p w14:paraId="0CC8571E"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1 </w:t>
            </w:r>
          </w:p>
        </w:tc>
      </w:tr>
      <w:tr w:rsidR="00744544" w:rsidRPr="00A66C9F" w14:paraId="2BCFD1EE" w14:textId="77777777" w:rsidTr="00480329">
        <w:trPr>
          <w:cantSplit/>
        </w:trPr>
        <w:tc>
          <w:tcPr>
            <w:tcW w:w="4140" w:type="dxa"/>
            <w:gridSpan w:val="2"/>
            <w:shd w:val="clear" w:color="000000" w:fill="FFFFFF"/>
            <w:noWrap/>
            <w:vAlign w:val="bottom"/>
            <w:hideMark/>
          </w:tcPr>
          <w:p w14:paraId="59955ECD" w14:textId="77777777" w:rsidR="00744544" w:rsidRPr="00A66C9F" w:rsidRDefault="00744544" w:rsidP="00107D5D">
            <w:pPr>
              <w:tabs>
                <w:tab w:val="left" w:pos="288"/>
                <w:tab w:val="left" w:pos="576"/>
                <w:tab w:val="left" w:pos="864"/>
                <w:tab w:val="left" w:pos="1152"/>
              </w:tabs>
              <w:suppressAutoHyphens/>
              <w:spacing w:before="30" w:after="30" w:line="210" w:lineRule="exact"/>
              <w:ind w:right="40"/>
              <w:rPr>
                <w:sz w:val="17"/>
                <w:lang w:val="fr-FR"/>
              </w:rPr>
            </w:pPr>
            <w:r w:rsidRPr="00A66C9F">
              <w:rPr>
                <w:sz w:val="17"/>
                <w:lang w:val="fr-FR"/>
              </w:rPr>
              <w:tab/>
              <w:t>Voyages du personnel</w:t>
            </w:r>
          </w:p>
        </w:tc>
        <w:tc>
          <w:tcPr>
            <w:tcW w:w="900" w:type="dxa"/>
            <w:shd w:val="clear" w:color="000000" w:fill="FFFFFF"/>
            <w:noWrap/>
            <w:vAlign w:val="bottom"/>
            <w:hideMark/>
          </w:tcPr>
          <w:p w14:paraId="5262D4C9"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719,9 </w:t>
            </w:r>
          </w:p>
        </w:tc>
        <w:tc>
          <w:tcPr>
            <w:tcW w:w="900" w:type="dxa"/>
            <w:shd w:val="clear" w:color="000000" w:fill="FFFFFF"/>
            <w:noWrap/>
            <w:vAlign w:val="bottom"/>
            <w:hideMark/>
          </w:tcPr>
          <w:p w14:paraId="3489F597"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w:t>
            </w:r>
          </w:p>
        </w:tc>
        <w:tc>
          <w:tcPr>
            <w:tcW w:w="900" w:type="dxa"/>
            <w:shd w:val="clear" w:color="000000" w:fill="FFFFFF"/>
            <w:noWrap/>
            <w:vAlign w:val="bottom"/>
            <w:hideMark/>
          </w:tcPr>
          <w:p w14:paraId="2B9F8224"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719,9 </w:t>
            </w:r>
          </w:p>
        </w:tc>
        <w:tc>
          <w:tcPr>
            <w:tcW w:w="990" w:type="dxa"/>
            <w:gridSpan w:val="2"/>
            <w:shd w:val="clear" w:color="000000" w:fill="FFFFFF"/>
            <w:noWrap/>
            <w:vAlign w:val="bottom"/>
            <w:hideMark/>
          </w:tcPr>
          <w:p w14:paraId="21506237"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432,5</w:t>
            </w:r>
          </w:p>
        </w:tc>
        <w:tc>
          <w:tcPr>
            <w:tcW w:w="810" w:type="dxa"/>
            <w:shd w:val="clear" w:color="000000" w:fill="FFFFFF"/>
            <w:noWrap/>
            <w:vAlign w:val="bottom"/>
            <w:hideMark/>
          </w:tcPr>
          <w:p w14:paraId="23D4A83B"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w:t>
            </w:r>
          </w:p>
        </w:tc>
        <w:tc>
          <w:tcPr>
            <w:tcW w:w="900" w:type="dxa"/>
            <w:shd w:val="clear" w:color="000000" w:fill="FFFFFF"/>
            <w:noWrap/>
            <w:vAlign w:val="bottom"/>
            <w:hideMark/>
          </w:tcPr>
          <w:p w14:paraId="3046A784"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432,5</w:t>
            </w:r>
          </w:p>
        </w:tc>
        <w:tc>
          <w:tcPr>
            <w:tcW w:w="900" w:type="dxa"/>
            <w:gridSpan w:val="2"/>
            <w:shd w:val="clear" w:color="000000" w:fill="FFFFFF"/>
            <w:noWrap/>
            <w:vAlign w:val="bottom"/>
            <w:hideMark/>
          </w:tcPr>
          <w:p w14:paraId="219542C1"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(287,4)</w:t>
            </w:r>
          </w:p>
        </w:tc>
        <w:tc>
          <w:tcPr>
            <w:tcW w:w="900" w:type="dxa"/>
            <w:shd w:val="clear" w:color="000000" w:fill="FFFFFF"/>
            <w:noWrap/>
            <w:vAlign w:val="bottom"/>
            <w:hideMark/>
          </w:tcPr>
          <w:p w14:paraId="762EAABF"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w:t>
            </w:r>
          </w:p>
        </w:tc>
        <w:tc>
          <w:tcPr>
            <w:tcW w:w="900" w:type="dxa"/>
            <w:shd w:val="clear" w:color="000000" w:fill="FFFFFF"/>
            <w:noWrap/>
            <w:vAlign w:val="bottom"/>
            <w:hideMark/>
          </w:tcPr>
          <w:p w14:paraId="775949E9"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(287,4)</w:t>
            </w:r>
          </w:p>
        </w:tc>
        <w:tc>
          <w:tcPr>
            <w:tcW w:w="900" w:type="dxa"/>
            <w:shd w:val="clear" w:color="000000" w:fill="FFFFFF"/>
            <w:noWrap/>
            <w:vAlign w:val="bottom"/>
          </w:tcPr>
          <w:p w14:paraId="37755878"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(40)</w:t>
            </w:r>
          </w:p>
        </w:tc>
      </w:tr>
      <w:tr w:rsidR="00744544" w:rsidRPr="00A66C9F" w14:paraId="5E3C9645" w14:textId="77777777" w:rsidTr="00480329">
        <w:trPr>
          <w:cantSplit/>
        </w:trPr>
        <w:tc>
          <w:tcPr>
            <w:tcW w:w="4140" w:type="dxa"/>
            <w:gridSpan w:val="2"/>
            <w:shd w:val="clear" w:color="000000" w:fill="FFFFFF"/>
            <w:noWrap/>
            <w:vAlign w:val="bottom"/>
            <w:hideMark/>
          </w:tcPr>
          <w:p w14:paraId="5EB5653C" w14:textId="77777777" w:rsidR="00744544" w:rsidRPr="00A66C9F" w:rsidRDefault="00744544" w:rsidP="00107D5D">
            <w:pPr>
              <w:tabs>
                <w:tab w:val="left" w:pos="288"/>
                <w:tab w:val="left" w:pos="576"/>
                <w:tab w:val="left" w:pos="864"/>
                <w:tab w:val="left" w:pos="1152"/>
              </w:tabs>
              <w:suppressAutoHyphens/>
              <w:spacing w:before="30" w:after="30" w:line="210" w:lineRule="exact"/>
              <w:ind w:right="40"/>
              <w:rPr>
                <w:sz w:val="17"/>
                <w:lang w:val="fr-FR"/>
              </w:rPr>
            </w:pPr>
            <w:r w:rsidRPr="00A66C9F">
              <w:rPr>
                <w:sz w:val="17"/>
                <w:lang w:val="fr-FR"/>
              </w:rPr>
              <w:tab/>
              <w:t>Services contractuels</w:t>
            </w:r>
            <w:r w:rsidRPr="00A66C9F">
              <w:rPr>
                <w:i/>
                <w:iCs/>
                <w:sz w:val="17"/>
                <w:vertAlign w:val="superscript"/>
                <w:lang w:val="fr-FR"/>
              </w:rPr>
              <w:t>b</w:t>
            </w:r>
          </w:p>
        </w:tc>
        <w:tc>
          <w:tcPr>
            <w:tcW w:w="900" w:type="dxa"/>
            <w:shd w:val="clear" w:color="000000" w:fill="FFFFFF"/>
            <w:noWrap/>
            <w:vAlign w:val="bottom"/>
            <w:hideMark/>
          </w:tcPr>
          <w:p w14:paraId="6FF99D77"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10 416,7 </w:t>
            </w:r>
          </w:p>
        </w:tc>
        <w:tc>
          <w:tcPr>
            <w:tcW w:w="900" w:type="dxa"/>
            <w:shd w:val="clear" w:color="000000" w:fill="FFFFFF"/>
            <w:noWrap/>
            <w:vAlign w:val="bottom"/>
            <w:hideMark/>
          </w:tcPr>
          <w:p w14:paraId="561AC2EF"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976,5 </w:t>
            </w:r>
          </w:p>
        </w:tc>
        <w:tc>
          <w:tcPr>
            <w:tcW w:w="900" w:type="dxa"/>
            <w:shd w:val="clear" w:color="000000" w:fill="FFFFFF"/>
            <w:noWrap/>
            <w:vAlign w:val="bottom"/>
            <w:hideMark/>
          </w:tcPr>
          <w:p w14:paraId="5BB52975"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11 393,2 </w:t>
            </w:r>
          </w:p>
        </w:tc>
        <w:tc>
          <w:tcPr>
            <w:tcW w:w="990" w:type="dxa"/>
            <w:gridSpan w:val="2"/>
            <w:shd w:val="clear" w:color="000000" w:fill="FFFFFF"/>
            <w:noWrap/>
            <w:vAlign w:val="bottom"/>
            <w:hideMark/>
          </w:tcPr>
          <w:p w14:paraId="50045727"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10 226,7 </w:t>
            </w:r>
          </w:p>
        </w:tc>
        <w:tc>
          <w:tcPr>
            <w:tcW w:w="810" w:type="dxa"/>
            <w:shd w:val="clear" w:color="000000" w:fill="FFFFFF"/>
            <w:noWrap/>
            <w:vAlign w:val="bottom"/>
            <w:hideMark/>
          </w:tcPr>
          <w:p w14:paraId="5190515A"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996,6 </w:t>
            </w:r>
          </w:p>
        </w:tc>
        <w:tc>
          <w:tcPr>
            <w:tcW w:w="900" w:type="dxa"/>
            <w:shd w:val="clear" w:color="000000" w:fill="FFFFFF"/>
            <w:noWrap/>
            <w:vAlign w:val="bottom"/>
            <w:hideMark/>
          </w:tcPr>
          <w:p w14:paraId="288DCFE6"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11 223,3 </w:t>
            </w:r>
          </w:p>
        </w:tc>
        <w:tc>
          <w:tcPr>
            <w:tcW w:w="900" w:type="dxa"/>
            <w:gridSpan w:val="2"/>
            <w:shd w:val="clear" w:color="000000" w:fill="FFFFFF"/>
            <w:noWrap/>
            <w:vAlign w:val="bottom"/>
            <w:hideMark/>
          </w:tcPr>
          <w:p w14:paraId="636D7B1A"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(190,0)</w:t>
            </w:r>
          </w:p>
        </w:tc>
        <w:tc>
          <w:tcPr>
            <w:tcW w:w="900" w:type="dxa"/>
            <w:shd w:val="clear" w:color="000000" w:fill="FFFFFF"/>
            <w:noWrap/>
            <w:vAlign w:val="bottom"/>
            <w:hideMark/>
          </w:tcPr>
          <w:p w14:paraId="7A187865"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20,1</w:t>
            </w:r>
          </w:p>
        </w:tc>
        <w:tc>
          <w:tcPr>
            <w:tcW w:w="900" w:type="dxa"/>
            <w:shd w:val="clear" w:color="000000" w:fill="FFFFFF"/>
            <w:noWrap/>
            <w:vAlign w:val="bottom"/>
            <w:hideMark/>
          </w:tcPr>
          <w:p w14:paraId="17CFC6BC"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(169,9)</w:t>
            </w:r>
          </w:p>
        </w:tc>
        <w:tc>
          <w:tcPr>
            <w:tcW w:w="900" w:type="dxa"/>
            <w:shd w:val="clear" w:color="000000" w:fill="FFFFFF"/>
            <w:noWrap/>
            <w:vAlign w:val="bottom"/>
          </w:tcPr>
          <w:p w14:paraId="1907E082"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(1)</w:t>
            </w:r>
          </w:p>
        </w:tc>
      </w:tr>
      <w:tr w:rsidR="00744544" w:rsidRPr="00A66C9F" w14:paraId="273C6C75" w14:textId="77777777" w:rsidTr="00480329">
        <w:trPr>
          <w:cantSplit/>
        </w:trPr>
        <w:tc>
          <w:tcPr>
            <w:tcW w:w="4140" w:type="dxa"/>
            <w:gridSpan w:val="2"/>
            <w:shd w:val="clear" w:color="000000" w:fill="FFFFFF"/>
            <w:noWrap/>
            <w:vAlign w:val="bottom"/>
            <w:hideMark/>
          </w:tcPr>
          <w:p w14:paraId="555DB400" w14:textId="77777777" w:rsidR="00744544" w:rsidRPr="00A66C9F" w:rsidRDefault="00744544" w:rsidP="00107D5D">
            <w:pPr>
              <w:tabs>
                <w:tab w:val="left" w:pos="288"/>
                <w:tab w:val="left" w:pos="576"/>
                <w:tab w:val="left" w:pos="864"/>
                <w:tab w:val="left" w:pos="1152"/>
              </w:tabs>
              <w:suppressAutoHyphens/>
              <w:spacing w:before="30" w:after="30" w:line="210" w:lineRule="exact"/>
              <w:ind w:left="288" w:right="40" w:hanging="288"/>
              <w:rPr>
                <w:sz w:val="17"/>
                <w:lang w:val="fr-FR"/>
              </w:rPr>
            </w:pPr>
            <w:r w:rsidRPr="00A66C9F">
              <w:rPr>
                <w:sz w:val="17"/>
                <w:lang w:val="fr-FR"/>
              </w:rPr>
              <w:tab/>
              <w:t xml:space="preserve">Frais généraux de fonctionnement </w:t>
            </w:r>
          </w:p>
        </w:tc>
        <w:tc>
          <w:tcPr>
            <w:tcW w:w="900" w:type="dxa"/>
            <w:shd w:val="clear" w:color="000000" w:fill="FFFFFF"/>
            <w:noWrap/>
            <w:vAlign w:val="bottom"/>
            <w:hideMark/>
          </w:tcPr>
          <w:p w14:paraId="06CF432A"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2 317,1 </w:t>
            </w:r>
          </w:p>
        </w:tc>
        <w:tc>
          <w:tcPr>
            <w:tcW w:w="900" w:type="dxa"/>
            <w:shd w:val="clear" w:color="000000" w:fill="FFFFFF"/>
            <w:noWrap/>
            <w:vAlign w:val="bottom"/>
            <w:hideMark/>
          </w:tcPr>
          <w:p w14:paraId="58504998"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255,1</w:t>
            </w:r>
          </w:p>
        </w:tc>
        <w:tc>
          <w:tcPr>
            <w:tcW w:w="900" w:type="dxa"/>
            <w:shd w:val="clear" w:color="000000" w:fill="FFFFFF"/>
            <w:noWrap/>
            <w:vAlign w:val="bottom"/>
            <w:hideMark/>
          </w:tcPr>
          <w:p w14:paraId="1B2433EC"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2 572,2 </w:t>
            </w:r>
          </w:p>
        </w:tc>
        <w:tc>
          <w:tcPr>
            <w:tcW w:w="990" w:type="dxa"/>
            <w:gridSpan w:val="2"/>
            <w:shd w:val="clear" w:color="000000" w:fill="FFFFFF"/>
            <w:noWrap/>
            <w:vAlign w:val="bottom"/>
            <w:hideMark/>
          </w:tcPr>
          <w:p w14:paraId="56E8A732"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2 608,6 </w:t>
            </w:r>
          </w:p>
        </w:tc>
        <w:tc>
          <w:tcPr>
            <w:tcW w:w="810" w:type="dxa"/>
            <w:shd w:val="clear" w:color="000000" w:fill="FFFFFF"/>
            <w:noWrap/>
            <w:vAlign w:val="bottom"/>
            <w:hideMark/>
          </w:tcPr>
          <w:p w14:paraId="3663076D"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316,4</w:t>
            </w:r>
          </w:p>
        </w:tc>
        <w:tc>
          <w:tcPr>
            <w:tcW w:w="900" w:type="dxa"/>
            <w:shd w:val="clear" w:color="000000" w:fill="FFFFFF"/>
            <w:noWrap/>
            <w:vAlign w:val="bottom"/>
            <w:hideMark/>
          </w:tcPr>
          <w:p w14:paraId="1020A768"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2 925,0 </w:t>
            </w:r>
          </w:p>
        </w:tc>
        <w:tc>
          <w:tcPr>
            <w:tcW w:w="900" w:type="dxa"/>
            <w:gridSpan w:val="2"/>
            <w:shd w:val="clear" w:color="000000" w:fill="FFFFFF"/>
            <w:noWrap/>
            <w:vAlign w:val="bottom"/>
            <w:hideMark/>
          </w:tcPr>
          <w:p w14:paraId="4FC30D35"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291,5</w:t>
            </w:r>
          </w:p>
        </w:tc>
        <w:tc>
          <w:tcPr>
            <w:tcW w:w="900" w:type="dxa"/>
            <w:shd w:val="clear" w:color="000000" w:fill="FFFFFF"/>
            <w:noWrap/>
            <w:vAlign w:val="bottom"/>
            <w:hideMark/>
          </w:tcPr>
          <w:p w14:paraId="08DE8E96"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61,3</w:t>
            </w:r>
          </w:p>
        </w:tc>
        <w:tc>
          <w:tcPr>
            <w:tcW w:w="900" w:type="dxa"/>
            <w:shd w:val="clear" w:color="000000" w:fill="FFFFFF"/>
            <w:noWrap/>
            <w:vAlign w:val="bottom"/>
            <w:hideMark/>
          </w:tcPr>
          <w:p w14:paraId="5D10CC49"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352,8</w:t>
            </w:r>
          </w:p>
        </w:tc>
        <w:tc>
          <w:tcPr>
            <w:tcW w:w="900" w:type="dxa"/>
            <w:shd w:val="clear" w:color="000000" w:fill="FFFFFF"/>
            <w:noWrap/>
            <w:vAlign w:val="bottom"/>
          </w:tcPr>
          <w:p w14:paraId="6879E469"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14 </w:t>
            </w:r>
          </w:p>
        </w:tc>
      </w:tr>
      <w:tr w:rsidR="00744544" w:rsidRPr="00A66C9F" w14:paraId="14A71056" w14:textId="77777777" w:rsidTr="00480329">
        <w:trPr>
          <w:cantSplit/>
        </w:trPr>
        <w:tc>
          <w:tcPr>
            <w:tcW w:w="4140" w:type="dxa"/>
            <w:gridSpan w:val="2"/>
            <w:shd w:val="clear" w:color="000000" w:fill="FFFFFF"/>
            <w:noWrap/>
            <w:vAlign w:val="bottom"/>
            <w:hideMark/>
          </w:tcPr>
          <w:p w14:paraId="541995F3" w14:textId="77777777" w:rsidR="00744544" w:rsidRPr="00A66C9F" w:rsidRDefault="00744544" w:rsidP="00107D5D">
            <w:pPr>
              <w:tabs>
                <w:tab w:val="left" w:pos="288"/>
                <w:tab w:val="left" w:pos="576"/>
                <w:tab w:val="left" w:pos="864"/>
                <w:tab w:val="left" w:pos="1152"/>
              </w:tabs>
              <w:suppressAutoHyphens/>
              <w:spacing w:before="30" w:after="30" w:line="210" w:lineRule="exact"/>
              <w:ind w:left="288" w:right="40" w:hanging="288"/>
              <w:rPr>
                <w:sz w:val="17"/>
                <w:lang w:val="fr-FR"/>
              </w:rPr>
            </w:pPr>
            <w:r w:rsidRPr="00A66C9F">
              <w:rPr>
                <w:sz w:val="17"/>
                <w:lang w:val="fr-FR"/>
              </w:rPr>
              <w:tab/>
              <w:t>Fournitures et accessoires</w:t>
            </w:r>
          </w:p>
        </w:tc>
        <w:tc>
          <w:tcPr>
            <w:tcW w:w="900" w:type="dxa"/>
            <w:shd w:val="clear" w:color="000000" w:fill="FFFFFF"/>
            <w:noWrap/>
            <w:vAlign w:val="bottom"/>
            <w:hideMark/>
          </w:tcPr>
          <w:p w14:paraId="749A761F"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91,0</w:t>
            </w:r>
          </w:p>
        </w:tc>
        <w:tc>
          <w:tcPr>
            <w:tcW w:w="900" w:type="dxa"/>
            <w:shd w:val="clear" w:color="000000" w:fill="FFFFFF"/>
            <w:noWrap/>
            <w:vAlign w:val="bottom"/>
            <w:hideMark/>
          </w:tcPr>
          <w:p w14:paraId="64B28436"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45,5</w:t>
            </w:r>
          </w:p>
        </w:tc>
        <w:tc>
          <w:tcPr>
            <w:tcW w:w="900" w:type="dxa"/>
            <w:shd w:val="clear" w:color="000000" w:fill="FFFFFF"/>
            <w:noWrap/>
            <w:vAlign w:val="bottom"/>
            <w:hideMark/>
          </w:tcPr>
          <w:p w14:paraId="2F86FCAF"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136,5</w:t>
            </w:r>
          </w:p>
        </w:tc>
        <w:tc>
          <w:tcPr>
            <w:tcW w:w="990" w:type="dxa"/>
            <w:gridSpan w:val="2"/>
            <w:shd w:val="clear" w:color="000000" w:fill="FFFFFF"/>
            <w:noWrap/>
            <w:vAlign w:val="bottom"/>
            <w:hideMark/>
          </w:tcPr>
          <w:p w14:paraId="6898A315"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46,8</w:t>
            </w:r>
          </w:p>
        </w:tc>
        <w:tc>
          <w:tcPr>
            <w:tcW w:w="810" w:type="dxa"/>
            <w:shd w:val="clear" w:color="000000" w:fill="FFFFFF"/>
            <w:noWrap/>
            <w:vAlign w:val="bottom"/>
            <w:hideMark/>
          </w:tcPr>
          <w:p w14:paraId="42B550D8"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11,8</w:t>
            </w:r>
          </w:p>
        </w:tc>
        <w:tc>
          <w:tcPr>
            <w:tcW w:w="900" w:type="dxa"/>
            <w:shd w:val="clear" w:color="000000" w:fill="FFFFFF"/>
            <w:noWrap/>
            <w:vAlign w:val="bottom"/>
            <w:hideMark/>
          </w:tcPr>
          <w:p w14:paraId="40EB3DBE"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58,6</w:t>
            </w:r>
          </w:p>
        </w:tc>
        <w:tc>
          <w:tcPr>
            <w:tcW w:w="900" w:type="dxa"/>
            <w:gridSpan w:val="2"/>
            <w:shd w:val="clear" w:color="000000" w:fill="FFFFFF"/>
            <w:noWrap/>
            <w:vAlign w:val="bottom"/>
            <w:hideMark/>
          </w:tcPr>
          <w:p w14:paraId="1BAC829C"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(44,2)</w:t>
            </w:r>
          </w:p>
        </w:tc>
        <w:tc>
          <w:tcPr>
            <w:tcW w:w="900" w:type="dxa"/>
            <w:shd w:val="clear" w:color="000000" w:fill="FFFFFF"/>
            <w:noWrap/>
            <w:vAlign w:val="bottom"/>
            <w:hideMark/>
          </w:tcPr>
          <w:p w14:paraId="441B5351"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(33,7)</w:t>
            </w:r>
          </w:p>
        </w:tc>
        <w:tc>
          <w:tcPr>
            <w:tcW w:w="900" w:type="dxa"/>
            <w:shd w:val="clear" w:color="000000" w:fill="FFFFFF"/>
            <w:noWrap/>
            <w:vAlign w:val="bottom"/>
            <w:hideMark/>
          </w:tcPr>
          <w:p w14:paraId="6758308D"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(77,9)</w:t>
            </w:r>
          </w:p>
        </w:tc>
        <w:tc>
          <w:tcPr>
            <w:tcW w:w="900" w:type="dxa"/>
            <w:shd w:val="clear" w:color="000000" w:fill="FFFFFF"/>
            <w:noWrap/>
            <w:vAlign w:val="bottom"/>
          </w:tcPr>
          <w:p w14:paraId="3D4B812A"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(57)</w:t>
            </w:r>
          </w:p>
        </w:tc>
      </w:tr>
      <w:tr w:rsidR="00744544" w:rsidRPr="00A66C9F" w14:paraId="492BAD7C" w14:textId="77777777" w:rsidTr="00480329">
        <w:trPr>
          <w:cantSplit/>
        </w:trPr>
        <w:tc>
          <w:tcPr>
            <w:tcW w:w="4140" w:type="dxa"/>
            <w:gridSpan w:val="2"/>
            <w:tcBorders>
              <w:bottom w:val="single" w:sz="4" w:space="0" w:color="auto"/>
            </w:tcBorders>
            <w:shd w:val="clear" w:color="000000" w:fill="FFFFFF"/>
            <w:noWrap/>
            <w:vAlign w:val="bottom"/>
            <w:hideMark/>
          </w:tcPr>
          <w:p w14:paraId="682A722E" w14:textId="77777777" w:rsidR="00744544" w:rsidRPr="00A66C9F" w:rsidRDefault="00744544" w:rsidP="00107D5D">
            <w:pPr>
              <w:tabs>
                <w:tab w:val="left" w:pos="288"/>
                <w:tab w:val="left" w:pos="576"/>
                <w:tab w:val="left" w:pos="864"/>
                <w:tab w:val="left" w:pos="1152"/>
              </w:tabs>
              <w:suppressAutoHyphens/>
              <w:spacing w:before="30" w:after="81" w:line="210" w:lineRule="exact"/>
              <w:ind w:right="40"/>
              <w:rPr>
                <w:sz w:val="17"/>
                <w:lang w:val="fr-FR"/>
              </w:rPr>
            </w:pPr>
            <w:r w:rsidRPr="00A66C9F">
              <w:rPr>
                <w:sz w:val="17"/>
                <w:lang w:val="fr-FR"/>
              </w:rPr>
              <w:tab/>
              <w:t>Mobilier et matériel</w:t>
            </w:r>
          </w:p>
        </w:tc>
        <w:tc>
          <w:tcPr>
            <w:tcW w:w="900" w:type="dxa"/>
            <w:tcBorders>
              <w:bottom w:val="single" w:sz="4" w:space="0" w:color="auto"/>
            </w:tcBorders>
            <w:shd w:val="clear" w:color="000000" w:fill="FFFFFF"/>
            <w:noWrap/>
            <w:vAlign w:val="bottom"/>
            <w:hideMark/>
          </w:tcPr>
          <w:p w14:paraId="3F6B3EBB" w14:textId="77777777" w:rsidR="00744544" w:rsidRPr="00A66C9F" w:rsidRDefault="00744544" w:rsidP="00107D5D">
            <w:pPr>
              <w:tabs>
                <w:tab w:val="left" w:pos="288"/>
                <w:tab w:val="left" w:pos="576"/>
                <w:tab w:val="left" w:pos="864"/>
                <w:tab w:val="left" w:pos="1152"/>
              </w:tabs>
              <w:suppressAutoHyphens/>
              <w:spacing w:before="30" w:after="81" w:line="210" w:lineRule="exact"/>
              <w:ind w:right="43"/>
              <w:jc w:val="right"/>
              <w:rPr>
                <w:sz w:val="17"/>
                <w:lang w:val="fr-FR"/>
              </w:rPr>
            </w:pPr>
            <w:r w:rsidRPr="00A66C9F">
              <w:rPr>
                <w:sz w:val="17"/>
                <w:lang w:val="fr-FR"/>
              </w:rPr>
              <w:t xml:space="preserve"> 749,2 </w:t>
            </w:r>
          </w:p>
        </w:tc>
        <w:tc>
          <w:tcPr>
            <w:tcW w:w="900" w:type="dxa"/>
            <w:tcBorders>
              <w:bottom w:val="single" w:sz="4" w:space="0" w:color="auto"/>
            </w:tcBorders>
            <w:shd w:val="clear" w:color="000000" w:fill="FFFFFF"/>
            <w:noWrap/>
            <w:vAlign w:val="bottom"/>
            <w:hideMark/>
          </w:tcPr>
          <w:p w14:paraId="1052549E" w14:textId="77777777" w:rsidR="00744544" w:rsidRPr="00A66C9F" w:rsidRDefault="00744544" w:rsidP="00107D5D">
            <w:pPr>
              <w:tabs>
                <w:tab w:val="left" w:pos="288"/>
                <w:tab w:val="left" w:pos="576"/>
                <w:tab w:val="left" w:pos="864"/>
                <w:tab w:val="left" w:pos="1152"/>
              </w:tabs>
              <w:suppressAutoHyphens/>
              <w:spacing w:before="30" w:after="81" w:line="210" w:lineRule="exact"/>
              <w:ind w:right="43"/>
              <w:jc w:val="right"/>
              <w:rPr>
                <w:sz w:val="17"/>
                <w:lang w:val="fr-FR"/>
              </w:rPr>
            </w:pPr>
            <w:r w:rsidRPr="00A66C9F">
              <w:rPr>
                <w:sz w:val="17"/>
                <w:lang w:val="fr-FR"/>
              </w:rPr>
              <w:t>299,4</w:t>
            </w:r>
          </w:p>
        </w:tc>
        <w:tc>
          <w:tcPr>
            <w:tcW w:w="900" w:type="dxa"/>
            <w:tcBorders>
              <w:bottom w:val="single" w:sz="4" w:space="0" w:color="auto"/>
            </w:tcBorders>
            <w:shd w:val="clear" w:color="000000" w:fill="FFFFFF"/>
            <w:noWrap/>
            <w:vAlign w:val="bottom"/>
            <w:hideMark/>
          </w:tcPr>
          <w:p w14:paraId="4184EC38" w14:textId="77777777" w:rsidR="00744544" w:rsidRPr="00A66C9F" w:rsidRDefault="00744544" w:rsidP="00107D5D">
            <w:pPr>
              <w:tabs>
                <w:tab w:val="left" w:pos="288"/>
                <w:tab w:val="left" w:pos="576"/>
                <w:tab w:val="left" w:pos="864"/>
                <w:tab w:val="left" w:pos="1152"/>
              </w:tabs>
              <w:suppressAutoHyphens/>
              <w:spacing w:before="30" w:after="81" w:line="210" w:lineRule="exact"/>
              <w:ind w:right="43"/>
              <w:jc w:val="right"/>
              <w:rPr>
                <w:sz w:val="17"/>
                <w:lang w:val="fr-FR"/>
              </w:rPr>
            </w:pPr>
            <w:r w:rsidRPr="00A66C9F">
              <w:rPr>
                <w:sz w:val="17"/>
                <w:lang w:val="fr-FR"/>
              </w:rPr>
              <w:t xml:space="preserve"> 1 048,6 </w:t>
            </w:r>
          </w:p>
        </w:tc>
        <w:tc>
          <w:tcPr>
            <w:tcW w:w="990" w:type="dxa"/>
            <w:gridSpan w:val="2"/>
            <w:tcBorders>
              <w:bottom w:val="single" w:sz="4" w:space="0" w:color="auto"/>
            </w:tcBorders>
            <w:shd w:val="clear" w:color="000000" w:fill="FFFFFF"/>
            <w:noWrap/>
            <w:vAlign w:val="bottom"/>
            <w:hideMark/>
          </w:tcPr>
          <w:p w14:paraId="2366EA60" w14:textId="77777777" w:rsidR="00744544" w:rsidRPr="00A66C9F" w:rsidRDefault="00744544" w:rsidP="00107D5D">
            <w:pPr>
              <w:tabs>
                <w:tab w:val="left" w:pos="288"/>
                <w:tab w:val="left" w:pos="576"/>
                <w:tab w:val="left" w:pos="864"/>
                <w:tab w:val="left" w:pos="1152"/>
              </w:tabs>
              <w:suppressAutoHyphens/>
              <w:spacing w:before="30" w:after="81" w:line="210" w:lineRule="exact"/>
              <w:ind w:right="43"/>
              <w:jc w:val="right"/>
              <w:rPr>
                <w:sz w:val="17"/>
                <w:lang w:val="fr-FR"/>
              </w:rPr>
            </w:pPr>
            <w:r w:rsidRPr="00A66C9F">
              <w:rPr>
                <w:sz w:val="17"/>
                <w:lang w:val="fr-FR"/>
              </w:rPr>
              <w:t xml:space="preserve"> 905,5 </w:t>
            </w:r>
          </w:p>
        </w:tc>
        <w:tc>
          <w:tcPr>
            <w:tcW w:w="810" w:type="dxa"/>
            <w:tcBorders>
              <w:bottom w:val="single" w:sz="4" w:space="0" w:color="auto"/>
            </w:tcBorders>
            <w:shd w:val="clear" w:color="000000" w:fill="FFFFFF"/>
            <w:noWrap/>
            <w:vAlign w:val="bottom"/>
            <w:hideMark/>
          </w:tcPr>
          <w:p w14:paraId="3E3A2A09" w14:textId="77777777" w:rsidR="00744544" w:rsidRPr="00A66C9F" w:rsidRDefault="00744544" w:rsidP="00107D5D">
            <w:pPr>
              <w:tabs>
                <w:tab w:val="left" w:pos="288"/>
                <w:tab w:val="left" w:pos="576"/>
                <w:tab w:val="left" w:pos="864"/>
                <w:tab w:val="left" w:pos="1152"/>
              </w:tabs>
              <w:suppressAutoHyphens/>
              <w:spacing w:before="30" w:after="81" w:line="210" w:lineRule="exact"/>
              <w:ind w:right="43"/>
              <w:jc w:val="right"/>
              <w:rPr>
                <w:sz w:val="17"/>
                <w:lang w:val="fr-FR"/>
              </w:rPr>
            </w:pPr>
            <w:r w:rsidRPr="00A66C9F">
              <w:rPr>
                <w:sz w:val="17"/>
                <w:lang w:val="fr-FR"/>
              </w:rPr>
              <w:t>236,6</w:t>
            </w:r>
          </w:p>
        </w:tc>
        <w:tc>
          <w:tcPr>
            <w:tcW w:w="900" w:type="dxa"/>
            <w:tcBorders>
              <w:bottom w:val="single" w:sz="4" w:space="0" w:color="auto"/>
            </w:tcBorders>
            <w:shd w:val="clear" w:color="000000" w:fill="FFFFFF"/>
            <w:noWrap/>
            <w:vAlign w:val="bottom"/>
            <w:hideMark/>
          </w:tcPr>
          <w:p w14:paraId="586B67D8" w14:textId="77777777" w:rsidR="00744544" w:rsidRPr="00A66C9F" w:rsidRDefault="00744544" w:rsidP="00107D5D">
            <w:pPr>
              <w:tabs>
                <w:tab w:val="left" w:pos="288"/>
                <w:tab w:val="left" w:pos="576"/>
                <w:tab w:val="left" w:pos="864"/>
                <w:tab w:val="left" w:pos="1152"/>
              </w:tabs>
              <w:suppressAutoHyphens/>
              <w:spacing w:before="30" w:after="81" w:line="210" w:lineRule="exact"/>
              <w:ind w:right="43"/>
              <w:jc w:val="right"/>
              <w:rPr>
                <w:sz w:val="17"/>
                <w:lang w:val="fr-FR"/>
              </w:rPr>
            </w:pPr>
            <w:r w:rsidRPr="00A66C9F">
              <w:rPr>
                <w:sz w:val="17"/>
                <w:lang w:val="fr-FR"/>
              </w:rPr>
              <w:t xml:space="preserve"> 1 142,1 </w:t>
            </w:r>
          </w:p>
        </w:tc>
        <w:tc>
          <w:tcPr>
            <w:tcW w:w="900" w:type="dxa"/>
            <w:gridSpan w:val="2"/>
            <w:tcBorders>
              <w:bottom w:val="single" w:sz="4" w:space="0" w:color="auto"/>
            </w:tcBorders>
            <w:shd w:val="clear" w:color="000000" w:fill="FFFFFF"/>
            <w:noWrap/>
            <w:vAlign w:val="bottom"/>
            <w:hideMark/>
          </w:tcPr>
          <w:p w14:paraId="2B7BBBBC" w14:textId="77777777" w:rsidR="00744544" w:rsidRPr="00A66C9F" w:rsidRDefault="00744544" w:rsidP="00107D5D">
            <w:pPr>
              <w:tabs>
                <w:tab w:val="left" w:pos="288"/>
                <w:tab w:val="left" w:pos="576"/>
                <w:tab w:val="left" w:pos="864"/>
                <w:tab w:val="left" w:pos="1152"/>
              </w:tabs>
              <w:suppressAutoHyphens/>
              <w:spacing w:before="30" w:after="81" w:line="210" w:lineRule="exact"/>
              <w:ind w:right="43"/>
              <w:jc w:val="right"/>
              <w:rPr>
                <w:sz w:val="17"/>
                <w:lang w:val="fr-FR"/>
              </w:rPr>
            </w:pPr>
            <w:r w:rsidRPr="00A66C9F">
              <w:rPr>
                <w:sz w:val="17"/>
                <w:lang w:val="fr-FR"/>
              </w:rPr>
              <w:t>156,3</w:t>
            </w:r>
          </w:p>
        </w:tc>
        <w:tc>
          <w:tcPr>
            <w:tcW w:w="900" w:type="dxa"/>
            <w:tcBorders>
              <w:bottom w:val="single" w:sz="4" w:space="0" w:color="auto"/>
            </w:tcBorders>
            <w:shd w:val="clear" w:color="000000" w:fill="FFFFFF"/>
            <w:noWrap/>
            <w:vAlign w:val="bottom"/>
            <w:hideMark/>
          </w:tcPr>
          <w:p w14:paraId="44DDF536" w14:textId="77777777" w:rsidR="00744544" w:rsidRPr="00A66C9F" w:rsidRDefault="00744544" w:rsidP="00107D5D">
            <w:pPr>
              <w:tabs>
                <w:tab w:val="left" w:pos="288"/>
                <w:tab w:val="left" w:pos="576"/>
                <w:tab w:val="left" w:pos="864"/>
                <w:tab w:val="left" w:pos="1152"/>
              </w:tabs>
              <w:suppressAutoHyphens/>
              <w:spacing w:before="30" w:after="81" w:line="210" w:lineRule="exact"/>
              <w:ind w:right="43"/>
              <w:jc w:val="right"/>
              <w:rPr>
                <w:sz w:val="17"/>
                <w:lang w:val="fr-FR"/>
              </w:rPr>
            </w:pPr>
            <w:r w:rsidRPr="00A66C9F">
              <w:rPr>
                <w:sz w:val="17"/>
                <w:lang w:val="fr-FR"/>
              </w:rPr>
              <w:t xml:space="preserve"> (62,8)</w:t>
            </w:r>
          </w:p>
        </w:tc>
        <w:tc>
          <w:tcPr>
            <w:tcW w:w="900" w:type="dxa"/>
            <w:tcBorders>
              <w:bottom w:val="single" w:sz="4" w:space="0" w:color="auto"/>
            </w:tcBorders>
            <w:shd w:val="clear" w:color="000000" w:fill="FFFFFF"/>
            <w:noWrap/>
            <w:vAlign w:val="bottom"/>
            <w:hideMark/>
          </w:tcPr>
          <w:p w14:paraId="1214F143" w14:textId="77777777" w:rsidR="00744544" w:rsidRPr="00A66C9F" w:rsidRDefault="00744544" w:rsidP="00107D5D">
            <w:pPr>
              <w:tabs>
                <w:tab w:val="left" w:pos="288"/>
                <w:tab w:val="left" w:pos="576"/>
                <w:tab w:val="left" w:pos="864"/>
                <w:tab w:val="left" w:pos="1152"/>
              </w:tabs>
              <w:suppressAutoHyphens/>
              <w:spacing w:before="30" w:after="81" w:line="210" w:lineRule="exact"/>
              <w:ind w:right="43"/>
              <w:jc w:val="right"/>
              <w:rPr>
                <w:sz w:val="17"/>
                <w:lang w:val="fr-FR"/>
              </w:rPr>
            </w:pPr>
            <w:r w:rsidRPr="00A66C9F">
              <w:rPr>
                <w:sz w:val="17"/>
                <w:lang w:val="fr-FR"/>
              </w:rPr>
              <w:t>93,5</w:t>
            </w:r>
          </w:p>
        </w:tc>
        <w:tc>
          <w:tcPr>
            <w:tcW w:w="900" w:type="dxa"/>
            <w:tcBorders>
              <w:bottom w:val="single" w:sz="4" w:space="0" w:color="auto"/>
            </w:tcBorders>
            <w:shd w:val="clear" w:color="000000" w:fill="FFFFFF"/>
            <w:noWrap/>
            <w:vAlign w:val="bottom"/>
          </w:tcPr>
          <w:p w14:paraId="4878463F" w14:textId="77777777" w:rsidR="00744544" w:rsidRPr="00A66C9F" w:rsidRDefault="00744544" w:rsidP="00107D5D">
            <w:pPr>
              <w:tabs>
                <w:tab w:val="left" w:pos="288"/>
                <w:tab w:val="left" w:pos="576"/>
                <w:tab w:val="left" w:pos="864"/>
                <w:tab w:val="left" w:pos="1152"/>
              </w:tabs>
              <w:suppressAutoHyphens/>
              <w:spacing w:before="30" w:after="81" w:line="210" w:lineRule="exact"/>
              <w:ind w:right="43"/>
              <w:jc w:val="right"/>
              <w:rPr>
                <w:sz w:val="17"/>
                <w:lang w:val="fr-FR"/>
              </w:rPr>
            </w:pPr>
            <w:r w:rsidRPr="00A66C9F">
              <w:rPr>
                <w:sz w:val="17"/>
                <w:lang w:val="fr-FR"/>
              </w:rPr>
              <w:t xml:space="preserve"> 9 </w:t>
            </w:r>
          </w:p>
        </w:tc>
      </w:tr>
      <w:tr w:rsidR="00744544" w:rsidRPr="00A66C9F" w14:paraId="0418DA54" w14:textId="77777777" w:rsidTr="00480329">
        <w:trPr>
          <w:cantSplit/>
        </w:trPr>
        <w:tc>
          <w:tcPr>
            <w:tcW w:w="4140" w:type="dxa"/>
            <w:gridSpan w:val="2"/>
            <w:tcBorders>
              <w:top w:val="single" w:sz="4" w:space="0" w:color="auto"/>
              <w:bottom w:val="single" w:sz="4" w:space="0" w:color="auto"/>
            </w:tcBorders>
            <w:shd w:val="clear" w:color="000000" w:fill="FFFFFF"/>
            <w:noWrap/>
            <w:vAlign w:val="bottom"/>
            <w:hideMark/>
          </w:tcPr>
          <w:p w14:paraId="2BAB5CA5" w14:textId="77777777" w:rsidR="00744544" w:rsidRPr="00A66C9F" w:rsidRDefault="00744544" w:rsidP="00107D5D">
            <w:pPr>
              <w:tabs>
                <w:tab w:val="left" w:pos="288"/>
                <w:tab w:val="left" w:pos="576"/>
                <w:tab w:val="left" w:pos="864"/>
                <w:tab w:val="left" w:pos="1152"/>
              </w:tabs>
              <w:suppressAutoHyphens/>
              <w:spacing w:before="81" w:after="81" w:line="210" w:lineRule="exact"/>
              <w:ind w:right="40"/>
              <w:rPr>
                <w:b/>
                <w:sz w:val="17"/>
                <w:lang w:val="fr-FR"/>
              </w:rPr>
            </w:pPr>
            <w:r w:rsidRPr="00A66C9F">
              <w:rPr>
                <w:b/>
                <w:sz w:val="17"/>
                <w:lang w:val="fr-FR"/>
              </w:rPr>
              <w:tab/>
              <w:t>Total partiel</w:t>
            </w:r>
          </w:p>
        </w:tc>
        <w:tc>
          <w:tcPr>
            <w:tcW w:w="900" w:type="dxa"/>
            <w:tcBorders>
              <w:top w:val="single" w:sz="4" w:space="0" w:color="auto"/>
              <w:bottom w:val="single" w:sz="4" w:space="0" w:color="auto"/>
            </w:tcBorders>
            <w:shd w:val="clear" w:color="000000" w:fill="FFFFFF"/>
            <w:noWrap/>
            <w:vAlign w:val="bottom"/>
            <w:hideMark/>
          </w:tcPr>
          <w:p w14:paraId="680DDD50"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37 571,7 </w:t>
            </w:r>
          </w:p>
        </w:tc>
        <w:tc>
          <w:tcPr>
            <w:tcW w:w="900" w:type="dxa"/>
            <w:tcBorders>
              <w:top w:val="single" w:sz="4" w:space="0" w:color="auto"/>
              <w:bottom w:val="single" w:sz="4" w:space="0" w:color="auto"/>
            </w:tcBorders>
            <w:shd w:val="clear" w:color="000000" w:fill="FFFFFF"/>
            <w:noWrap/>
            <w:vAlign w:val="bottom"/>
            <w:hideMark/>
          </w:tcPr>
          <w:p w14:paraId="76F028D1"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9 669,2 </w:t>
            </w:r>
          </w:p>
        </w:tc>
        <w:tc>
          <w:tcPr>
            <w:tcW w:w="900" w:type="dxa"/>
            <w:tcBorders>
              <w:top w:val="single" w:sz="4" w:space="0" w:color="auto"/>
              <w:bottom w:val="single" w:sz="4" w:space="0" w:color="auto"/>
            </w:tcBorders>
            <w:shd w:val="clear" w:color="000000" w:fill="FFFFFF"/>
            <w:noWrap/>
            <w:vAlign w:val="bottom"/>
            <w:hideMark/>
          </w:tcPr>
          <w:p w14:paraId="765AC332"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47 240,9 </w:t>
            </w:r>
          </w:p>
        </w:tc>
        <w:tc>
          <w:tcPr>
            <w:tcW w:w="990" w:type="dxa"/>
            <w:gridSpan w:val="2"/>
            <w:tcBorders>
              <w:top w:val="single" w:sz="4" w:space="0" w:color="auto"/>
              <w:bottom w:val="single" w:sz="4" w:space="0" w:color="auto"/>
            </w:tcBorders>
            <w:shd w:val="clear" w:color="000000" w:fill="FFFFFF"/>
            <w:noWrap/>
            <w:vAlign w:val="bottom"/>
            <w:hideMark/>
          </w:tcPr>
          <w:p w14:paraId="12FF5D50"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36 819,3 </w:t>
            </w:r>
          </w:p>
        </w:tc>
        <w:tc>
          <w:tcPr>
            <w:tcW w:w="810" w:type="dxa"/>
            <w:tcBorders>
              <w:top w:val="single" w:sz="4" w:space="0" w:color="auto"/>
              <w:bottom w:val="single" w:sz="4" w:space="0" w:color="auto"/>
            </w:tcBorders>
            <w:shd w:val="clear" w:color="000000" w:fill="FFFFFF"/>
            <w:noWrap/>
            <w:vAlign w:val="bottom"/>
            <w:hideMark/>
          </w:tcPr>
          <w:p w14:paraId="69AB7B2F"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9 579,3 </w:t>
            </w:r>
          </w:p>
        </w:tc>
        <w:tc>
          <w:tcPr>
            <w:tcW w:w="900" w:type="dxa"/>
            <w:tcBorders>
              <w:top w:val="single" w:sz="4" w:space="0" w:color="auto"/>
              <w:bottom w:val="single" w:sz="4" w:space="0" w:color="auto"/>
            </w:tcBorders>
            <w:shd w:val="clear" w:color="000000" w:fill="FFFFFF"/>
            <w:noWrap/>
            <w:vAlign w:val="bottom"/>
            <w:hideMark/>
          </w:tcPr>
          <w:p w14:paraId="72A1B1F5"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46 398,6 </w:t>
            </w:r>
          </w:p>
        </w:tc>
        <w:tc>
          <w:tcPr>
            <w:tcW w:w="900" w:type="dxa"/>
            <w:gridSpan w:val="2"/>
            <w:tcBorders>
              <w:top w:val="single" w:sz="4" w:space="0" w:color="auto"/>
              <w:bottom w:val="single" w:sz="4" w:space="0" w:color="auto"/>
            </w:tcBorders>
            <w:shd w:val="clear" w:color="000000" w:fill="FFFFFF"/>
            <w:noWrap/>
            <w:vAlign w:val="bottom"/>
            <w:hideMark/>
          </w:tcPr>
          <w:p w14:paraId="4034F5D2"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(752,4)</w:t>
            </w:r>
          </w:p>
        </w:tc>
        <w:tc>
          <w:tcPr>
            <w:tcW w:w="900" w:type="dxa"/>
            <w:tcBorders>
              <w:top w:val="single" w:sz="4" w:space="0" w:color="auto"/>
              <w:bottom w:val="single" w:sz="4" w:space="0" w:color="auto"/>
            </w:tcBorders>
            <w:shd w:val="clear" w:color="000000" w:fill="FFFFFF"/>
            <w:noWrap/>
            <w:vAlign w:val="bottom"/>
            <w:hideMark/>
          </w:tcPr>
          <w:p w14:paraId="4AC74FD5"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(89,9)</w:t>
            </w:r>
          </w:p>
        </w:tc>
        <w:tc>
          <w:tcPr>
            <w:tcW w:w="900" w:type="dxa"/>
            <w:tcBorders>
              <w:top w:val="single" w:sz="4" w:space="0" w:color="auto"/>
              <w:bottom w:val="single" w:sz="4" w:space="0" w:color="auto"/>
            </w:tcBorders>
            <w:shd w:val="clear" w:color="000000" w:fill="FFFFFF"/>
            <w:noWrap/>
            <w:vAlign w:val="bottom"/>
            <w:hideMark/>
          </w:tcPr>
          <w:p w14:paraId="5B4E7059"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(842,3)</w:t>
            </w:r>
          </w:p>
        </w:tc>
        <w:tc>
          <w:tcPr>
            <w:tcW w:w="900" w:type="dxa"/>
            <w:tcBorders>
              <w:top w:val="single" w:sz="4" w:space="0" w:color="auto"/>
              <w:bottom w:val="single" w:sz="4" w:space="0" w:color="auto"/>
            </w:tcBorders>
            <w:shd w:val="clear" w:color="000000" w:fill="FFFFFF"/>
            <w:noWrap/>
            <w:vAlign w:val="bottom"/>
          </w:tcPr>
          <w:p w14:paraId="6B38FB98"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(2)</w:t>
            </w:r>
          </w:p>
        </w:tc>
      </w:tr>
      <w:tr w:rsidR="00744544" w:rsidRPr="00A66C9F" w14:paraId="5B553712" w14:textId="77777777" w:rsidTr="00480329">
        <w:trPr>
          <w:cantSplit/>
        </w:trPr>
        <w:tc>
          <w:tcPr>
            <w:tcW w:w="5940" w:type="dxa"/>
            <w:gridSpan w:val="4"/>
            <w:tcBorders>
              <w:top w:val="single" w:sz="4" w:space="0" w:color="auto"/>
            </w:tcBorders>
            <w:shd w:val="clear" w:color="000000" w:fill="FFFFFF"/>
            <w:noWrap/>
            <w:vAlign w:val="bottom"/>
            <w:hideMark/>
          </w:tcPr>
          <w:p w14:paraId="487C6F67" w14:textId="77777777" w:rsidR="00744544" w:rsidRPr="00A66C9F" w:rsidRDefault="00744544" w:rsidP="00107D5D">
            <w:pPr>
              <w:tabs>
                <w:tab w:val="left" w:pos="288"/>
                <w:tab w:val="left" w:pos="576"/>
                <w:tab w:val="left" w:pos="864"/>
                <w:tab w:val="left" w:pos="1152"/>
              </w:tabs>
              <w:suppressAutoHyphens/>
              <w:spacing w:before="81" w:after="30" w:line="210" w:lineRule="exact"/>
              <w:ind w:right="43"/>
              <w:rPr>
                <w:sz w:val="17"/>
                <w:lang w:val="fr-FR"/>
              </w:rPr>
            </w:pPr>
            <w:r w:rsidRPr="00A66C9F">
              <w:rPr>
                <w:b/>
                <w:bCs/>
                <w:sz w:val="17"/>
                <w:lang w:val="fr-FR"/>
              </w:rPr>
              <w:t>B.</w:t>
            </w:r>
            <w:r w:rsidRPr="00A66C9F">
              <w:rPr>
                <w:b/>
                <w:bCs/>
                <w:sz w:val="17"/>
                <w:lang w:val="fr-FR"/>
              </w:rPr>
              <w:tab/>
              <w:t>Bureau de la gestion des investissements</w:t>
            </w:r>
          </w:p>
        </w:tc>
        <w:tc>
          <w:tcPr>
            <w:tcW w:w="900" w:type="dxa"/>
            <w:tcBorders>
              <w:top w:val="single" w:sz="4" w:space="0" w:color="auto"/>
            </w:tcBorders>
            <w:shd w:val="clear" w:color="000000" w:fill="FFFFFF"/>
            <w:noWrap/>
            <w:vAlign w:val="bottom"/>
          </w:tcPr>
          <w:p w14:paraId="68CAA6AB" w14:textId="77777777" w:rsidR="00744544" w:rsidRPr="00A66C9F" w:rsidRDefault="00744544" w:rsidP="00107D5D">
            <w:pPr>
              <w:tabs>
                <w:tab w:val="left" w:pos="288"/>
                <w:tab w:val="left" w:pos="576"/>
                <w:tab w:val="left" w:pos="864"/>
                <w:tab w:val="left" w:pos="1152"/>
              </w:tabs>
              <w:suppressAutoHyphens/>
              <w:spacing w:before="81" w:after="30" w:line="210" w:lineRule="exact"/>
              <w:ind w:right="43"/>
              <w:jc w:val="right"/>
              <w:rPr>
                <w:sz w:val="17"/>
                <w:lang w:val="fr-FR"/>
              </w:rPr>
            </w:pPr>
          </w:p>
        </w:tc>
        <w:tc>
          <w:tcPr>
            <w:tcW w:w="990" w:type="dxa"/>
            <w:gridSpan w:val="2"/>
            <w:tcBorders>
              <w:top w:val="single" w:sz="4" w:space="0" w:color="auto"/>
            </w:tcBorders>
            <w:shd w:val="clear" w:color="000000" w:fill="FFFFFF"/>
            <w:noWrap/>
            <w:vAlign w:val="bottom"/>
          </w:tcPr>
          <w:p w14:paraId="4168EFAC" w14:textId="77777777" w:rsidR="00744544" w:rsidRPr="00A66C9F" w:rsidRDefault="00744544" w:rsidP="00107D5D">
            <w:pPr>
              <w:tabs>
                <w:tab w:val="left" w:pos="288"/>
                <w:tab w:val="left" w:pos="576"/>
                <w:tab w:val="left" w:pos="864"/>
                <w:tab w:val="left" w:pos="1152"/>
              </w:tabs>
              <w:suppressAutoHyphens/>
              <w:spacing w:before="81" w:after="30" w:line="210" w:lineRule="exact"/>
              <w:ind w:right="43"/>
              <w:jc w:val="right"/>
              <w:rPr>
                <w:sz w:val="17"/>
                <w:lang w:val="fr-FR"/>
              </w:rPr>
            </w:pPr>
          </w:p>
        </w:tc>
        <w:tc>
          <w:tcPr>
            <w:tcW w:w="810" w:type="dxa"/>
            <w:tcBorders>
              <w:top w:val="single" w:sz="4" w:space="0" w:color="auto"/>
            </w:tcBorders>
            <w:shd w:val="clear" w:color="000000" w:fill="FFFFFF"/>
            <w:noWrap/>
            <w:vAlign w:val="bottom"/>
          </w:tcPr>
          <w:p w14:paraId="71BF757E" w14:textId="77777777" w:rsidR="00744544" w:rsidRPr="00A66C9F" w:rsidRDefault="00744544" w:rsidP="00107D5D">
            <w:pPr>
              <w:tabs>
                <w:tab w:val="left" w:pos="288"/>
                <w:tab w:val="left" w:pos="576"/>
                <w:tab w:val="left" w:pos="864"/>
                <w:tab w:val="left" w:pos="1152"/>
              </w:tabs>
              <w:suppressAutoHyphens/>
              <w:spacing w:before="81" w:after="30" w:line="210" w:lineRule="exact"/>
              <w:ind w:right="43"/>
              <w:jc w:val="right"/>
              <w:rPr>
                <w:sz w:val="17"/>
                <w:lang w:val="fr-FR"/>
              </w:rPr>
            </w:pPr>
          </w:p>
        </w:tc>
        <w:tc>
          <w:tcPr>
            <w:tcW w:w="900" w:type="dxa"/>
            <w:tcBorders>
              <w:top w:val="single" w:sz="4" w:space="0" w:color="auto"/>
            </w:tcBorders>
            <w:shd w:val="clear" w:color="000000" w:fill="FFFFFF"/>
            <w:noWrap/>
            <w:vAlign w:val="bottom"/>
          </w:tcPr>
          <w:p w14:paraId="590B6513" w14:textId="77777777" w:rsidR="00744544" w:rsidRPr="00A66C9F" w:rsidRDefault="00744544" w:rsidP="00107D5D">
            <w:pPr>
              <w:tabs>
                <w:tab w:val="left" w:pos="288"/>
                <w:tab w:val="left" w:pos="576"/>
                <w:tab w:val="left" w:pos="864"/>
                <w:tab w:val="left" w:pos="1152"/>
              </w:tabs>
              <w:suppressAutoHyphens/>
              <w:spacing w:before="81" w:after="30" w:line="210" w:lineRule="exact"/>
              <w:ind w:right="43"/>
              <w:jc w:val="right"/>
              <w:rPr>
                <w:sz w:val="17"/>
                <w:lang w:val="fr-FR"/>
              </w:rPr>
            </w:pPr>
          </w:p>
        </w:tc>
        <w:tc>
          <w:tcPr>
            <w:tcW w:w="900" w:type="dxa"/>
            <w:gridSpan w:val="2"/>
            <w:tcBorders>
              <w:top w:val="single" w:sz="4" w:space="0" w:color="auto"/>
            </w:tcBorders>
            <w:shd w:val="clear" w:color="000000" w:fill="FFFFFF"/>
            <w:noWrap/>
            <w:vAlign w:val="bottom"/>
          </w:tcPr>
          <w:p w14:paraId="25315EF3" w14:textId="77777777" w:rsidR="00744544" w:rsidRPr="00A66C9F" w:rsidRDefault="00744544" w:rsidP="00107D5D">
            <w:pPr>
              <w:tabs>
                <w:tab w:val="left" w:pos="288"/>
                <w:tab w:val="left" w:pos="576"/>
                <w:tab w:val="left" w:pos="864"/>
                <w:tab w:val="left" w:pos="1152"/>
              </w:tabs>
              <w:suppressAutoHyphens/>
              <w:spacing w:before="81" w:after="30" w:line="210" w:lineRule="exact"/>
              <w:ind w:right="43"/>
              <w:jc w:val="right"/>
              <w:rPr>
                <w:sz w:val="17"/>
                <w:lang w:val="fr-FR"/>
              </w:rPr>
            </w:pPr>
          </w:p>
        </w:tc>
        <w:tc>
          <w:tcPr>
            <w:tcW w:w="900" w:type="dxa"/>
            <w:tcBorders>
              <w:top w:val="single" w:sz="4" w:space="0" w:color="auto"/>
            </w:tcBorders>
            <w:shd w:val="clear" w:color="000000" w:fill="FFFFFF"/>
            <w:noWrap/>
            <w:vAlign w:val="bottom"/>
          </w:tcPr>
          <w:p w14:paraId="721449F8" w14:textId="77777777" w:rsidR="00744544" w:rsidRPr="00A66C9F" w:rsidRDefault="00744544" w:rsidP="00107D5D">
            <w:pPr>
              <w:tabs>
                <w:tab w:val="left" w:pos="288"/>
                <w:tab w:val="left" w:pos="576"/>
                <w:tab w:val="left" w:pos="864"/>
                <w:tab w:val="left" w:pos="1152"/>
              </w:tabs>
              <w:suppressAutoHyphens/>
              <w:spacing w:before="81" w:after="30" w:line="210" w:lineRule="exact"/>
              <w:ind w:right="43"/>
              <w:jc w:val="right"/>
              <w:rPr>
                <w:sz w:val="17"/>
                <w:lang w:val="fr-FR"/>
              </w:rPr>
            </w:pPr>
          </w:p>
        </w:tc>
        <w:tc>
          <w:tcPr>
            <w:tcW w:w="900" w:type="dxa"/>
            <w:tcBorders>
              <w:top w:val="single" w:sz="4" w:space="0" w:color="auto"/>
            </w:tcBorders>
            <w:shd w:val="clear" w:color="000000" w:fill="FFFFFF"/>
            <w:noWrap/>
            <w:vAlign w:val="bottom"/>
          </w:tcPr>
          <w:p w14:paraId="0F66AA0E" w14:textId="77777777" w:rsidR="00744544" w:rsidRPr="00A66C9F" w:rsidRDefault="00744544" w:rsidP="00107D5D">
            <w:pPr>
              <w:tabs>
                <w:tab w:val="left" w:pos="288"/>
                <w:tab w:val="left" w:pos="576"/>
                <w:tab w:val="left" w:pos="864"/>
                <w:tab w:val="left" w:pos="1152"/>
              </w:tabs>
              <w:suppressAutoHyphens/>
              <w:spacing w:before="81" w:after="30" w:line="210" w:lineRule="exact"/>
              <w:ind w:right="43"/>
              <w:jc w:val="right"/>
              <w:rPr>
                <w:sz w:val="17"/>
                <w:lang w:val="fr-FR"/>
              </w:rPr>
            </w:pPr>
          </w:p>
        </w:tc>
        <w:tc>
          <w:tcPr>
            <w:tcW w:w="900" w:type="dxa"/>
            <w:tcBorders>
              <w:top w:val="single" w:sz="4" w:space="0" w:color="auto"/>
            </w:tcBorders>
            <w:shd w:val="clear" w:color="000000" w:fill="FFFFFF"/>
            <w:noWrap/>
            <w:vAlign w:val="bottom"/>
          </w:tcPr>
          <w:p w14:paraId="70969168" w14:textId="77777777" w:rsidR="00744544" w:rsidRPr="00A66C9F" w:rsidRDefault="00744544" w:rsidP="00107D5D">
            <w:pPr>
              <w:tabs>
                <w:tab w:val="left" w:pos="288"/>
                <w:tab w:val="left" w:pos="576"/>
                <w:tab w:val="left" w:pos="864"/>
                <w:tab w:val="left" w:pos="1152"/>
              </w:tabs>
              <w:suppressAutoHyphens/>
              <w:spacing w:before="81" w:after="30" w:line="210" w:lineRule="exact"/>
              <w:ind w:right="43"/>
              <w:jc w:val="right"/>
              <w:rPr>
                <w:sz w:val="17"/>
                <w:lang w:val="fr-FR"/>
              </w:rPr>
            </w:pPr>
          </w:p>
        </w:tc>
      </w:tr>
      <w:tr w:rsidR="00744544" w:rsidRPr="00A66C9F" w14:paraId="4901817F" w14:textId="77777777" w:rsidTr="00480329">
        <w:trPr>
          <w:cantSplit/>
        </w:trPr>
        <w:tc>
          <w:tcPr>
            <w:tcW w:w="4140" w:type="dxa"/>
            <w:gridSpan w:val="2"/>
            <w:shd w:val="clear" w:color="000000" w:fill="FFFFFF"/>
            <w:noWrap/>
            <w:vAlign w:val="bottom"/>
            <w:hideMark/>
          </w:tcPr>
          <w:p w14:paraId="6F2E83C7" w14:textId="77777777" w:rsidR="00744544" w:rsidRPr="00A66C9F" w:rsidRDefault="00744544" w:rsidP="00107D5D">
            <w:pPr>
              <w:tabs>
                <w:tab w:val="left" w:pos="288"/>
                <w:tab w:val="left" w:pos="576"/>
                <w:tab w:val="left" w:pos="864"/>
                <w:tab w:val="left" w:pos="1152"/>
              </w:tabs>
              <w:suppressAutoHyphens/>
              <w:spacing w:before="30" w:after="30" w:line="210" w:lineRule="exact"/>
              <w:ind w:right="40"/>
              <w:rPr>
                <w:sz w:val="17"/>
                <w:lang w:val="fr-FR"/>
              </w:rPr>
            </w:pPr>
            <w:r w:rsidRPr="00A66C9F">
              <w:rPr>
                <w:sz w:val="17"/>
                <w:lang w:val="fr-FR"/>
              </w:rPr>
              <w:tab/>
              <w:t>Postes</w:t>
            </w:r>
          </w:p>
        </w:tc>
        <w:tc>
          <w:tcPr>
            <w:tcW w:w="900" w:type="dxa"/>
            <w:shd w:val="clear" w:color="000000" w:fill="FFFFFF"/>
            <w:noWrap/>
            <w:vAlign w:val="bottom"/>
            <w:hideMark/>
          </w:tcPr>
          <w:p w14:paraId="66826C1E"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13 117,6 </w:t>
            </w:r>
          </w:p>
        </w:tc>
        <w:tc>
          <w:tcPr>
            <w:tcW w:w="900" w:type="dxa"/>
            <w:shd w:val="clear" w:color="000000" w:fill="FFFFFF"/>
            <w:noWrap/>
            <w:vAlign w:val="bottom"/>
            <w:hideMark/>
          </w:tcPr>
          <w:p w14:paraId="347A9A6F"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w:t>
            </w:r>
          </w:p>
        </w:tc>
        <w:tc>
          <w:tcPr>
            <w:tcW w:w="900" w:type="dxa"/>
            <w:shd w:val="clear" w:color="000000" w:fill="FFFFFF"/>
            <w:noWrap/>
            <w:vAlign w:val="bottom"/>
            <w:hideMark/>
          </w:tcPr>
          <w:p w14:paraId="5E835E80"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13 117,6 </w:t>
            </w:r>
          </w:p>
        </w:tc>
        <w:tc>
          <w:tcPr>
            <w:tcW w:w="990" w:type="dxa"/>
            <w:gridSpan w:val="2"/>
            <w:shd w:val="clear" w:color="000000" w:fill="FFFFFF"/>
            <w:noWrap/>
            <w:vAlign w:val="bottom"/>
            <w:hideMark/>
          </w:tcPr>
          <w:p w14:paraId="70CD4DF5"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13 729,6 </w:t>
            </w:r>
          </w:p>
        </w:tc>
        <w:tc>
          <w:tcPr>
            <w:tcW w:w="810" w:type="dxa"/>
            <w:shd w:val="clear" w:color="000000" w:fill="FFFFFF"/>
            <w:noWrap/>
            <w:vAlign w:val="bottom"/>
            <w:hideMark/>
          </w:tcPr>
          <w:p w14:paraId="0F349AB5"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w:t>
            </w:r>
          </w:p>
        </w:tc>
        <w:tc>
          <w:tcPr>
            <w:tcW w:w="900" w:type="dxa"/>
            <w:shd w:val="clear" w:color="000000" w:fill="FFFFFF"/>
            <w:noWrap/>
            <w:vAlign w:val="bottom"/>
            <w:hideMark/>
          </w:tcPr>
          <w:p w14:paraId="701FB80A"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13 729,6 </w:t>
            </w:r>
          </w:p>
        </w:tc>
        <w:tc>
          <w:tcPr>
            <w:tcW w:w="900" w:type="dxa"/>
            <w:gridSpan w:val="2"/>
            <w:shd w:val="clear" w:color="000000" w:fill="FFFFFF"/>
            <w:noWrap/>
            <w:vAlign w:val="bottom"/>
            <w:hideMark/>
          </w:tcPr>
          <w:p w14:paraId="0BE450DF"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612,0 </w:t>
            </w:r>
          </w:p>
        </w:tc>
        <w:tc>
          <w:tcPr>
            <w:tcW w:w="900" w:type="dxa"/>
            <w:shd w:val="clear" w:color="000000" w:fill="FFFFFF"/>
            <w:noWrap/>
            <w:vAlign w:val="bottom"/>
            <w:hideMark/>
          </w:tcPr>
          <w:p w14:paraId="50FF2A97"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w:t>
            </w:r>
          </w:p>
        </w:tc>
        <w:tc>
          <w:tcPr>
            <w:tcW w:w="900" w:type="dxa"/>
            <w:shd w:val="clear" w:color="000000" w:fill="FFFFFF"/>
            <w:noWrap/>
            <w:vAlign w:val="bottom"/>
            <w:hideMark/>
          </w:tcPr>
          <w:p w14:paraId="6811C9CE"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612,0 </w:t>
            </w:r>
          </w:p>
        </w:tc>
        <w:tc>
          <w:tcPr>
            <w:tcW w:w="900" w:type="dxa"/>
            <w:shd w:val="clear" w:color="000000" w:fill="FFFFFF"/>
            <w:noWrap/>
            <w:vAlign w:val="bottom"/>
          </w:tcPr>
          <w:p w14:paraId="0D77D3B5"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5 </w:t>
            </w:r>
          </w:p>
        </w:tc>
      </w:tr>
      <w:tr w:rsidR="00744544" w:rsidRPr="00A66C9F" w14:paraId="3828D75E" w14:textId="77777777" w:rsidTr="00480329">
        <w:trPr>
          <w:cantSplit/>
        </w:trPr>
        <w:tc>
          <w:tcPr>
            <w:tcW w:w="4140" w:type="dxa"/>
            <w:gridSpan w:val="2"/>
            <w:shd w:val="clear" w:color="000000" w:fill="FFFFFF"/>
            <w:noWrap/>
            <w:vAlign w:val="bottom"/>
            <w:hideMark/>
          </w:tcPr>
          <w:p w14:paraId="59D1CE8F" w14:textId="77777777" w:rsidR="00744544" w:rsidRPr="00A66C9F" w:rsidRDefault="00744544" w:rsidP="00107D5D">
            <w:pPr>
              <w:tabs>
                <w:tab w:val="left" w:pos="288"/>
                <w:tab w:val="left" w:pos="576"/>
                <w:tab w:val="left" w:pos="864"/>
                <w:tab w:val="left" w:pos="1152"/>
              </w:tabs>
              <w:suppressAutoHyphens/>
              <w:spacing w:before="30" w:after="30" w:line="210" w:lineRule="exact"/>
              <w:ind w:left="288" w:right="40" w:hanging="288"/>
              <w:rPr>
                <w:sz w:val="17"/>
                <w:lang w:val="fr-FR"/>
              </w:rPr>
            </w:pPr>
            <w:r w:rsidRPr="00A66C9F">
              <w:rPr>
                <w:sz w:val="17"/>
                <w:lang w:val="fr-FR"/>
              </w:rPr>
              <w:tab/>
              <w:t>Autres dépenses de personnel</w:t>
            </w:r>
          </w:p>
        </w:tc>
        <w:tc>
          <w:tcPr>
            <w:tcW w:w="900" w:type="dxa"/>
            <w:shd w:val="clear" w:color="000000" w:fill="FFFFFF"/>
            <w:noWrap/>
            <w:vAlign w:val="bottom"/>
            <w:hideMark/>
          </w:tcPr>
          <w:p w14:paraId="60EE3397"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3 040,4 </w:t>
            </w:r>
          </w:p>
        </w:tc>
        <w:tc>
          <w:tcPr>
            <w:tcW w:w="900" w:type="dxa"/>
            <w:shd w:val="clear" w:color="000000" w:fill="FFFFFF"/>
            <w:noWrap/>
            <w:vAlign w:val="bottom"/>
            <w:hideMark/>
          </w:tcPr>
          <w:p w14:paraId="2D3E1A6C"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w:t>
            </w:r>
          </w:p>
        </w:tc>
        <w:tc>
          <w:tcPr>
            <w:tcW w:w="900" w:type="dxa"/>
            <w:shd w:val="clear" w:color="000000" w:fill="FFFFFF"/>
            <w:noWrap/>
            <w:vAlign w:val="bottom"/>
            <w:hideMark/>
          </w:tcPr>
          <w:p w14:paraId="428870A9"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3 040,4 </w:t>
            </w:r>
          </w:p>
        </w:tc>
        <w:tc>
          <w:tcPr>
            <w:tcW w:w="990" w:type="dxa"/>
            <w:gridSpan w:val="2"/>
            <w:shd w:val="clear" w:color="000000" w:fill="FFFFFF"/>
            <w:noWrap/>
            <w:vAlign w:val="bottom"/>
            <w:hideMark/>
          </w:tcPr>
          <w:p w14:paraId="0756CB8E"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2 261,8 </w:t>
            </w:r>
          </w:p>
        </w:tc>
        <w:tc>
          <w:tcPr>
            <w:tcW w:w="810" w:type="dxa"/>
            <w:shd w:val="clear" w:color="000000" w:fill="FFFFFF"/>
            <w:noWrap/>
            <w:vAlign w:val="bottom"/>
            <w:hideMark/>
          </w:tcPr>
          <w:p w14:paraId="27CBB6FE"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w:t>
            </w:r>
          </w:p>
        </w:tc>
        <w:tc>
          <w:tcPr>
            <w:tcW w:w="900" w:type="dxa"/>
            <w:shd w:val="clear" w:color="000000" w:fill="FFFFFF"/>
            <w:noWrap/>
            <w:vAlign w:val="bottom"/>
            <w:hideMark/>
          </w:tcPr>
          <w:p w14:paraId="4D37EEC9"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2 261,8 </w:t>
            </w:r>
          </w:p>
        </w:tc>
        <w:tc>
          <w:tcPr>
            <w:tcW w:w="900" w:type="dxa"/>
            <w:gridSpan w:val="2"/>
            <w:shd w:val="clear" w:color="000000" w:fill="FFFFFF"/>
            <w:noWrap/>
            <w:vAlign w:val="bottom"/>
            <w:hideMark/>
          </w:tcPr>
          <w:p w14:paraId="75D07DEB"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(778,6)</w:t>
            </w:r>
          </w:p>
        </w:tc>
        <w:tc>
          <w:tcPr>
            <w:tcW w:w="900" w:type="dxa"/>
            <w:shd w:val="clear" w:color="000000" w:fill="FFFFFF"/>
            <w:noWrap/>
            <w:vAlign w:val="bottom"/>
            <w:hideMark/>
          </w:tcPr>
          <w:p w14:paraId="5A7B8599"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w:t>
            </w:r>
          </w:p>
        </w:tc>
        <w:tc>
          <w:tcPr>
            <w:tcW w:w="900" w:type="dxa"/>
            <w:shd w:val="clear" w:color="000000" w:fill="FFFFFF"/>
            <w:noWrap/>
            <w:vAlign w:val="bottom"/>
            <w:hideMark/>
          </w:tcPr>
          <w:p w14:paraId="4FC127B5"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(778,6)</w:t>
            </w:r>
          </w:p>
        </w:tc>
        <w:tc>
          <w:tcPr>
            <w:tcW w:w="900" w:type="dxa"/>
            <w:shd w:val="clear" w:color="000000" w:fill="FFFFFF"/>
            <w:noWrap/>
            <w:vAlign w:val="bottom"/>
          </w:tcPr>
          <w:p w14:paraId="401D1E86"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(26)</w:t>
            </w:r>
          </w:p>
        </w:tc>
      </w:tr>
      <w:tr w:rsidR="00744544" w:rsidRPr="00A66C9F" w14:paraId="76D2CE35" w14:textId="77777777" w:rsidTr="00480329">
        <w:trPr>
          <w:cantSplit/>
        </w:trPr>
        <w:tc>
          <w:tcPr>
            <w:tcW w:w="4140" w:type="dxa"/>
            <w:gridSpan w:val="2"/>
            <w:shd w:val="clear" w:color="000000" w:fill="FFFFFF"/>
            <w:noWrap/>
            <w:vAlign w:val="bottom"/>
            <w:hideMark/>
          </w:tcPr>
          <w:p w14:paraId="11DAFF14" w14:textId="77777777" w:rsidR="00744544" w:rsidRPr="00A66C9F" w:rsidRDefault="00744544" w:rsidP="00107D5D">
            <w:pPr>
              <w:tabs>
                <w:tab w:val="left" w:pos="288"/>
                <w:tab w:val="left" w:pos="576"/>
                <w:tab w:val="left" w:pos="864"/>
                <w:tab w:val="left" w:pos="1152"/>
              </w:tabs>
              <w:suppressAutoHyphens/>
              <w:spacing w:before="30" w:after="30" w:line="210" w:lineRule="exact"/>
              <w:ind w:right="40"/>
              <w:rPr>
                <w:sz w:val="17"/>
                <w:lang w:val="fr-FR"/>
              </w:rPr>
            </w:pPr>
            <w:r w:rsidRPr="00A66C9F">
              <w:rPr>
                <w:sz w:val="17"/>
                <w:lang w:val="fr-FR"/>
              </w:rPr>
              <w:tab/>
              <w:t>Frais de représentation</w:t>
            </w:r>
          </w:p>
        </w:tc>
        <w:tc>
          <w:tcPr>
            <w:tcW w:w="900" w:type="dxa"/>
            <w:shd w:val="clear" w:color="000000" w:fill="FFFFFF"/>
            <w:noWrap/>
            <w:vAlign w:val="bottom"/>
            <w:hideMark/>
          </w:tcPr>
          <w:p w14:paraId="19785226"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21,2</w:t>
            </w:r>
          </w:p>
        </w:tc>
        <w:tc>
          <w:tcPr>
            <w:tcW w:w="900" w:type="dxa"/>
            <w:shd w:val="clear" w:color="000000" w:fill="FFFFFF"/>
            <w:noWrap/>
            <w:vAlign w:val="bottom"/>
            <w:hideMark/>
          </w:tcPr>
          <w:p w14:paraId="37F431E7"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w:t>
            </w:r>
          </w:p>
        </w:tc>
        <w:tc>
          <w:tcPr>
            <w:tcW w:w="900" w:type="dxa"/>
            <w:shd w:val="clear" w:color="000000" w:fill="FFFFFF"/>
            <w:noWrap/>
            <w:vAlign w:val="bottom"/>
            <w:hideMark/>
          </w:tcPr>
          <w:p w14:paraId="2E2B4A4E"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21,2</w:t>
            </w:r>
          </w:p>
        </w:tc>
        <w:tc>
          <w:tcPr>
            <w:tcW w:w="990" w:type="dxa"/>
            <w:gridSpan w:val="2"/>
            <w:shd w:val="clear" w:color="000000" w:fill="FFFFFF"/>
            <w:noWrap/>
            <w:vAlign w:val="bottom"/>
            <w:hideMark/>
          </w:tcPr>
          <w:p w14:paraId="4DCE4E94"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3,0</w:t>
            </w:r>
          </w:p>
        </w:tc>
        <w:tc>
          <w:tcPr>
            <w:tcW w:w="810" w:type="dxa"/>
            <w:shd w:val="clear" w:color="000000" w:fill="FFFFFF"/>
            <w:noWrap/>
            <w:vAlign w:val="bottom"/>
            <w:hideMark/>
          </w:tcPr>
          <w:p w14:paraId="7EA95F1A"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w:t>
            </w:r>
          </w:p>
        </w:tc>
        <w:tc>
          <w:tcPr>
            <w:tcW w:w="900" w:type="dxa"/>
            <w:shd w:val="clear" w:color="000000" w:fill="FFFFFF"/>
            <w:noWrap/>
            <w:vAlign w:val="bottom"/>
            <w:hideMark/>
          </w:tcPr>
          <w:p w14:paraId="42B25265"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3,0</w:t>
            </w:r>
          </w:p>
        </w:tc>
        <w:tc>
          <w:tcPr>
            <w:tcW w:w="900" w:type="dxa"/>
            <w:gridSpan w:val="2"/>
            <w:shd w:val="clear" w:color="000000" w:fill="FFFFFF"/>
            <w:noWrap/>
            <w:vAlign w:val="bottom"/>
            <w:hideMark/>
          </w:tcPr>
          <w:p w14:paraId="4E0FC089"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(18,2)</w:t>
            </w:r>
          </w:p>
        </w:tc>
        <w:tc>
          <w:tcPr>
            <w:tcW w:w="900" w:type="dxa"/>
            <w:shd w:val="clear" w:color="000000" w:fill="FFFFFF"/>
            <w:noWrap/>
            <w:vAlign w:val="bottom"/>
            <w:hideMark/>
          </w:tcPr>
          <w:p w14:paraId="4D5A2B6C"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w:t>
            </w:r>
          </w:p>
        </w:tc>
        <w:tc>
          <w:tcPr>
            <w:tcW w:w="900" w:type="dxa"/>
            <w:shd w:val="clear" w:color="000000" w:fill="FFFFFF"/>
            <w:noWrap/>
            <w:vAlign w:val="bottom"/>
            <w:hideMark/>
          </w:tcPr>
          <w:p w14:paraId="1740BE68"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(18,2)</w:t>
            </w:r>
          </w:p>
        </w:tc>
        <w:tc>
          <w:tcPr>
            <w:tcW w:w="900" w:type="dxa"/>
            <w:shd w:val="clear" w:color="000000" w:fill="FFFFFF"/>
            <w:noWrap/>
            <w:vAlign w:val="bottom"/>
          </w:tcPr>
          <w:p w14:paraId="29D54C09"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(86)</w:t>
            </w:r>
          </w:p>
        </w:tc>
      </w:tr>
      <w:tr w:rsidR="00744544" w:rsidRPr="00A66C9F" w14:paraId="43889F81" w14:textId="77777777" w:rsidTr="00480329">
        <w:trPr>
          <w:cantSplit/>
        </w:trPr>
        <w:tc>
          <w:tcPr>
            <w:tcW w:w="4140" w:type="dxa"/>
            <w:gridSpan w:val="2"/>
            <w:shd w:val="clear" w:color="000000" w:fill="FFFFFF"/>
            <w:noWrap/>
            <w:vAlign w:val="bottom"/>
            <w:hideMark/>
          </w:tcPr>
          <w:p w14:paraId="103DB866" w14:textId="77777777" w:rsidR="00744544" w:rsidRPr="00A66C9F" w:rsidRDefault="00744544" w:rsidP="00107D5D">
            <w:pPr>
              <w:tabs>
                <w:tab w:val="left" w:pos="288"/>
                <w:tab w:val="left" w:pos="576"/>
                <w:tab w:val="left" w:pos="864"/>
                <w:tab w:val="left" w:pos="1152"/>
              </w:tabs>
              <w:suppressAutoHyphens/>
              <w:spacing w:before="30" w:after="30" w:line="210" w:lineRule="exact"/>
              <w:ind w:right="40"/>
              <w:rPr>
                <w:sz w:val="17"/>
                <w:lang w:val="fr-FR"/>
              </w:rPr>
            </w:pPr>
            <w:r w:rsidRPr="00A66C9F">
              <w:rPr>
                <w:sz w:val="17"/>
                <w:lang w:val="fr-FR"/>
              </w:rPr>
              <w:tab/>
              <w:t>Consultants</w:t>
            </w:r>
          </w:p>
        </w:tc>
        <w:tc>
          <w:tcPr>
            <w:tcW w:w="900" w:type="dxa"/>
            <w:shd w:val="clear" w:color="000000" w:fill="FFFFFF"/>
            <w:noWrap/>
            <w:vAlign w:val="bottom"/>
            <w:hideMark/>
          </w:tcPr>
          <w:p w14:paraId="2AD7DF52"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538,2 </w:t>
            </w:r>
          </w:p>
        </w:tc>
        <w:tc>
          <w:tcPr>
            <w:tcW w:w="900" w:type="dxa"/>
            <w:shd w:val="clear" w:color="000000" w:fill="FFFFFF"/>
            <w:noWrap/>
            <w:vAlign w:val="bottom"/>
            <w:hideMark/>
          </w:tcPr>
          <w:p w14:paraId="369F2475"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w:t>
            </w:r>
          </w:p>
        </w:tc>
        <w:tc>
          <w:tcPr>
            <w:tcW w:w="900" w:type="dxa"/>
            <w:shd w:val="clear" w:color="000000" w:fill="FFFFFF"/>
            <w:noWrap/>
            <w:vAlign w:val="bottom"/>
            <w:hideMark/>
          </w:tcPr>
          <w:p w14:paraId="124663EA"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538,2 </w:t>
            </w:r>
          </w:p>
        </w:tc>
        <w:tc>
          <w:tcPr>
            <w:tcW w:w="990" w:type="dxa"/>
            <w:gridSpan w:val="2"/>
            <w:shd w:val="clear" w:color="000000" w:fill="FFFFFF"/>
            <w:noWrap/>
            <w:vAlign w:val="bottom"/>
            <w:hideMark/>
          </w:tcPr>
          <w:p w14:paraId="3173BF75"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171,5</w:t>
            </w:r>
          </w:p>
        </w:tc>
        <w:tc>
          <w:tcPr>
            <w:tcW w:w="810" w:type="dxa"/>
            <w:shd w:val="clear" w:color="000000" w:fill="FFFFFF"/>
            <w:noWrap/>
            <w:vAlign w:val="bottom"/>
            <w:hideMark/>
          </w:tcPr>
          <w:p w14:paraId="4084AEDD"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w:t>
            </w:r>
          </w:p>
        </w:tc>
        <w:tc>
          <w:tcPr>
            <w:tcW w:w="900" w:type="dxa"/>
            <w:shd w:val="clear" w:color="000000" w:fill="FFFFFF"/>
            <w:noWrap/>
            <w:vAlign w:val="bottom"/>
            <w:hideMark/>
          </w:tcPr>
          <w:p w14:paraId="3D353970"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171,5</w:t>
            </w:r>
          </w:p>
        </w:tc>
        <w:tc>
          <w:tcPr>
            <w:tcW w:w="900" w:type="dxa"/>
            <w:gridSpan w:val="2"/>
            <w:shd w:val="clear" w:color="000000" w:fill="FFFFFF"/>
            <w:noWrap/>
            <w:vAlign w:val="bottom"/>
            <w:hideMark/>
          </w:tcPr>
          <w:p w14:paraId="3DE95FC5"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(366,7)</w:t>
            </w:r>
          </w:p>
        </w:tc>
        <w:tc>
          <w:tcPr>
            <w:tcW w:w="900" w:type="dxa"/>
            <w:shd w:val="clear" w:color="000000" w:fill="FFFFFF"/>
            <w:noWrap/>
            <w:vAlign w:val="bottom"/>
            <w:hideMark/>
          </w:tcPr>
          <w:p w14:paraId="3D0BD97D"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w:t>
            </w:r>
          </w:p>
        </w:tc>
        <w:tc>
          <w:tcPr>
            <w:tcW w:w="900" w:type="dxa"/>
            <w:shd w:val="clear" w:color="000000" w:fill="FFFFFF"/>
            <w:noWrap/>
            <w:vAlign w:val="bottom"/>
            <w:hideMark/>
          </w:tcPr>
          <w:p w14:paraId="0AA370D9"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(366,7)</w:t>
            </w:r>
          </w:p>
        </w:tc>
        <w:tc>
          <w:tcPr>
            <w:tcW w:w="900" w:type="dxa"/>
            <w:shd w:val="clear" w:color="000000" w:fill="FFFFFF"/>
            <w:noWrap/>
            <w:vAlign w:val="bottom"/>
          </w:tcPr>
          <w:p w14:paraId="3B2CDF8B"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(68)</w:t>
            </w:r>
          </w:p>
        </w:tc>
      </w:tr>
      <w:tr w:rsidR="00744544" w:rsidRPr="00A66C9F" w14:paraId="253A8FFA" w14:textId="77777777" w:rsidTr="00480329">
        <w:trPr>
          <w:cantSplit/>
        </w:trPr>
        <w:tc>
          <w:tcPr>
            <w:tcW w:w="4140" w:type="dxa"/>
            <w:gridSpan w:val="2"/>
            <w:shd w:val="clear" w:color="000000" w:fill="FFFFFF"/>
            <w:noWrap/>
            <w:vAlign w:val="bottom"/>
            <w:hideMark/>
          </w:tcPr>
          <w:p w14:paraId="6B5BE0B1" w14:textId="77777777" w:rsidR="00744544" w:rsidRPr="00A66C9F" w:rsidRDefault="00744544" w:rsidP="00107D5D">
            <w:pPr>
              <w:tabs>
                <w:tab w:val="left" w:pos="288"/>
                <w:tab w:val="left" w:pos="576"/>
                <w:tab w:val="left" w:pos="864"/>
                <w:tab w:val="left" w:pos="1152"/>
              </w:tabs>
              <w:suppressAutoHyphens/>
              <w:spacing w:before="30" w:after="30" w:line="210" w:lineRule="exact"/>
              <w:ind w:left="288" w:right="40" w:hanging="288"/>
              <w:rPr>
                <w:sz w:val="17"/>
                <w:lang w:val="fr-FR"/>
              </w:rPr>
            </w:pPr>
            <w:r w:rsidRPr="00A66C9F">
              <w:rPr>
                <w:sz w:val="17"/>
                <w:lang w:val="fr-FR"/>
              </w:rPr>
              <w:tab/>
              <w:t>Voyages des représentants</w:t>
            </w:r>
            <w:r w:rsidRPr="00A66C9F">
              <w:rPr>
                <w:i/>
                <w:iCs/>
                <w:sz w:val="17"/>
                <w:vertAlign w:val="superscript"/>
                <w:lang w:val="fr-FR"/>
              </w:rPr>
              <w:t>a</w:t>
            </w:r>
          </w:p>
        </w:tc>
        <w:tc>
          <w:tcPr>
            <w:tcW w:w="900" w:type="dxa"/>
            <w:shd w:val="clear" w:color="000000" w:fill="FFFFFF"/>
            <w:noWrap/>
            <w:vAlign w:val="bottom"/>
            <w:hideMark/>
          </w:tcPr>
          <w:p w14:paraId="3EC7D56B"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394,6</w:t>
            </w:r>
          </w:p>
        </w:tc>
        <w:tc>
          <w:tcPr>
            <w:tcW w:w="900" w:type="dxa"/>
            <w:shd w:val="clear" w:color="000000" w:fill="FFFFFF"/>
            <w:noWrap/>
            <w:vAlign w:val="bottom"/>
            <w:hideMark/>
          </w:tcPr>
          <w:p w14:paraId="13535219"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w:t>
            </w:r>
          </w:p>
        </w:tc>
        <w:tc>
          <w:tcPr>
            <w:tcW w:w="900" w:type="dxa"/>
            <w:shd w:val="clear" w:color="000000" w:fill="FFFFFF"/>
            <w:noWrap/>
            <w:vAlign w:val="bottom"/>
            <w:hideMark/>
          </w:tcPr>
          <w:p w14:paraId="7E8155F4"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394,6</w:t>
            </w:r>
          </w:p>
        </w:tc>
        <w:tc>
          <w:tcPr>
            <w:tcW w:w="990" w:type="dxa"/>
            <w:gridSpan w:val="2"/>
            <w:shd w:val="clear" w:color="000000" w:fill="FFFFFF"/>
            <w:noWrap/>
            <w:vAlign w:val="bottom"/>
            <w:hideMark/>
          </w:tcPr>
          <w:p w14:paraId="42CB7FC8"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49,5</w:t>
            </w:r>
          </w:p>
        </w:tc>
        <w:tc>
          <w:tcPr>
            <w:tcW w:w="810" w:type="dxa"/>
            <w:shd w:val="clear" w:color="000000" w:fill="FFFFFF"/>
            <w:noWrap/>
            <w:vAlign w:val="bottom"/>
            <w:hideMark/>
          </w:tcPr>
          <w:p w14:paraId="13F1E52A"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w:t>
            </w:r>
          </w:p>
        </w:tc>
        <w:tc>
          <w:tcPr>
            <w:tcW w:w="900" w:type="dxa"/>
            <w:shd w:val="clear" w:color="000000" w:fill="FFFFFF"/>
            <w:noWrap/>
            <w:vAlign w:val="bottom"/>
            <w:hideMark/>
          </w:tcPr>
          <w:p w14:paraId="41F13700"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49,5</w:t>
            </w:r>
          </w:p>
        </w:tc>
        <w:tc>
          <w:tcPr>
            <w:tcW w:w="900" w:type="dxa"/>
            <w:gridSpan w:val="2"/>
            <w:shd w:val="clear" w:color="000000" w:fill="FFFFFF"/>
            <w:noWrap/>
            <w:vAlign w:val="bottom"/>
            <w:hideMark/>
          </w:tcPr>
          <w:p w14:paraId="5DD7E46C"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(345,1)</w:t>
            </w:r>
          </w:p>
        </w:tc>
        <w:tc>
          <w:tcPr>
            <w:tcW w:w="900" w:type="dxa"/>
            <w:shd w:val="clear" w:color="000000" w:fill="FFFFFF"/>
            <w:noWrap/>
            <w:vAlign w:val="bottom"/>
            <w:hideMark/>
          </w:tcPr>
          <w:p w14:paraId="3E62F2E1"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w:t>
            </w:r>
          </w:p>
        </w:tc>
        <w:tc>
          <w:tcPr>
            <w:tcW w:w="900" w:type="dxa"/>
            <w:shd w:val="clear" w:color="000000" w:fill="FFFFFF"/>
            <w:noWrap/>
            <w:vAlign w:val="bottom"/>
            <w:hideMark/>
          </w:tcPr>
          <w:p w14:paraId="750C6DF0"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(345,1)</w:t>
            </w:r>
          </w:p>
        </w:tc>
        <w:tc>
          <w:tcPr>
            <w:tcW w:w="900" w:type="dxa"/>
            <w:shd w:val="clear" w:color="000000" w:fill="FFFFFF"/>
            <w:noWrap/>
            <w:vAlign w:val="bottom"/>
          </w:tcPr>
          <w:p w14:paraId="78E285F9"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(87)</w:t>
            </w:r>
          </w:p>
        </w:tc>
      </w:tr>
      <w:tr w:rsidR="00744544" w:rsidRPr="00A66C9F" w14:paraId="005A3E46" w14:textId="77777777" w:rsidTr="00480329">
        <w:trPr>
          <w:cantSplit/>
        </w:trPr>
        <w:tc>
          <w:tcPr>
            <w:tcW w:w="4140" w:type="dxa"/>
            <w:gridSpan w:val="2"/>
            <w:shd w:val="clear" w:color="000000" w:fill="FFFFFF"/>
            <w:noWrap/>
            <w:vAlign w:val="bottom"/>
            <w:hideMark/>
          </w:tcPr>
          <w:p w14:paraId="52B240A9" w14:textId="77777777" w:rsidR="00744544" w:rsidRPr="00A66C9F" w:rsidRDefault="00744544" w:rsidP="00107D5D">
            <w:pPr>
              <w:tabs>
                <w:tab w:val="left" w:pos="288"/>
                <w:tab w:val="left" w:pos="576"/>
                <w:tab w:val="left" w:pos="864"/>
                <w:tab w:val="left" w:pos="1152"/>
              </w:tabs>
              <w:suppressAutoHyphens/>
              <w:spacing w:before="30" w:after="30" w:line="210" w:lineRule="exact"/>
              <w:ind w:right="40"/>
              <w:rPr>
                <w:sz w:val="17"/>
                <w:lang w:val="fr-FR"/>
              </w:rPr>
            </w:pPr>
            <w:r w:rsidRPr="00A66C9F">
              <w:rPr>
                <w:sz w:val="17"/>
                <w:lang w:val="fr-FR"/>
              </w:rPr>
              <w:tab/>
              <w:t>Voyages du personnel</w:t>
            </w:r>
          </w:p>
        </w:tc>
        <w:tc>
          <w:tcPr>
            <w:tcW w:w="900" w:type="dxa"/>
            <w:shd w:val="clear" w:color="000000" w:fill="FFFFFF"/>
            <w:noWrap/>
            <w:vAlign w:val="bottom"/>
            <w:hideMark/>
          </w:tcPr>
          <w:p w14:paraId="1B67813E"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998,1 </w:t>
            </w:r>
          </w:p>
        </w:tc>
        <w:tc>
          <w:tcPr>
            <w:tcW w:w="900" w:type="dxa"/>
            <w:shd w:val="clear" w:color="000000" w:fill="FFFFFF"/>
            <w:noWrap/>
            <w:vAlign w:val="bottom"/>
            <w:hideMark/>
          </w:tcPr>
          <w:p w14:paraId="6CD5E5F0"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w:t>
            </w:r>
          </w:p>
        </w:tc>
        <w:tc>
          <w:tcPr>
            <w:tcW w:w="900" w:type="dxa"/>
            <w:shd w:val="clear" w:color="000000" w:fill="FFFFFF"/>
            <w:noWrap/>
            <w:vAlign w:val="bottom"/>
            <w:hideMark/>
          </w:tcPr>
          <w:p w14:paraId="64E30DCA"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998,1 </w:t>
            </w:r>
          </w:p>
        </w:tc>
        <w:tc>
          <w:tcPr>
            <w:tcW w:w="990" w:type="dxa"/>
            <w:gridSpan w:val="2"/>
            <w:shd w:val="clear" w:color="000000" w:fill="FFFFFF"/>
            <w:noWrap/>
            <w:vAlign w:val="bottom"/>
            <w:hideMark/>
          </w:tcPr>
          <w:p w14:paraId="7594E3E8"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610,8 </w:t>
            </w:r>
          </w:p>
        </w:tc>
        <w:tc>
          <w:tcPr>
            <w:tcW w:w="810" w:type="dxa"/>
            <w:shd w:val="clear" w:color="000000" w:fill="FFFFFF"/>
            <w:noWrap/>
            <w:vAlign w:val="bottom"/>
            <w:hideMark/>
          </w:tcPr>
          <w:p w14:paraId="6BF84034"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w:t>
            </w:r>
          </w:p>
        </w:tc>
        <w:tc>
          <w:tcPr>
            <w:tcW w:w="900" w:type="dxa"/>
            <w:shd w:val="clear" w:color="000000" w:fill="FFFFFF"/>
            <w:noWrap/>
            <w:vAlign w:val="bottom"/>
            <w:hideMark/>
          </w:tcPr>
          <w:p w14:paraId="2DC3EDB9"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610,8 </w:t>
            </w:r>
          </w:p>
        </w:tc>
        <w:tc>
          <w:tcPr>
            <w:tcW w:w="900" w:type="dxa"/>
            <w:gridSpan w:val="2"/>
            <w:shd w:val="clear" w:color="000000" w:fill="FFFFFF"/>
            <w:noWrap/>
            <w:vAlign w:val="bottom"/>
            <w:hideMark/>
          </w:tcPr>
          <w:p w14:paraId="50839C29"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(387,3)</w:t>
            </w:r>
          </w:p>
        </w:tc>
        <w:tc>
          <w:tcPr>
            <w:tcW w:w="900" w:type="dxa"/>
            <w:shd w:val="clear" w:color="000000" w:fill="FFFFFF"/>
            <w:noWrap/>
            <w:vAlign w:val="bottom"/>
            <w:hideMark/>
          </w:tcPr>
          <w:p w14:paraId="640AB572"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w:t>
            </w:r>
          </w:p>
        </w:tc>
        <w:tc>
          <w:tcPr>
            <w:tcW w:w="900" w:type="dxa"/>
            <w:shd w:val="clear" w:color="000000" w:fill="FFFFFF"/>
            <w:noWrap/>
            <w:vAlign w:val="bottom"/>
            <w:hideMark/>
          </w:tcPr>
          <w:p w14:paraId="09DFCD7B"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(387,3)</w:t>
            </w:r>
          </w:p>
        </w:tc>
        <w:tc>
          <w:tcPr>
            <w:tcW w:w="900" w:type="dxa"/>
            <w:shd w:val="clear" w:color="000000" w:fill="FFFFFF"/>
            <w:noWrap/>
            <w:vAlign w:val="bottom"/>
          </w:tcPr>
          <w:p w14:paraId="69DA8CD9"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(39)</w:t>
            </w:r>
          </w:p>
        </w:tc>
      </w:tr>
      <w:tr w:rsidR="00744544" w:rsidRPr="00A66C9F" w14:paraId="3DA9B8E4" w14:textId="77777777" w:rsidTr="00480329">
        <w:trPr>
          <w:cantSplit/>
        </w:trPr>
        <w:tc>
          <w:tcPr>
            <w:tcW w:w="4140" w:type="dxa"/>
            <w:gridSpan w:val="2"/>
            <w:shd w:val="clear" w:color="000000" w:fill="FFFFFF"/>
            <w:noWrap/>
            <w:vAlign w:val="bottom"/>
            <w:hideMark/>
          </w:tcPr>
          <w:p w14:paraId="2113A3F3" w14:textId="77777777" w:rsidR="00744544" w:rsidRPr="00A66C9F" w:rsidRDefault="00744544" w:rsidP="00107D5D">
            <w:pPr>
              <w:tabs>
                <w:tab w:val="left" w:pos="288"/>
                <w:tab w:val="left" w:pos="576"/>
                <w:tab w:val="left" w:pos="864"/>
                <w:tab w:val="left" w:pos="1152"/>
              </w:tabs>
              <w:suppressAutoHyphens/>
              <w:spacing w:before="30" w:after="30" w:line="210" w:lineRule="exact"/>
              <w:ind w:right="40"/>
              <w:rPr>
                <w:sz w:val="17"/>
                <w:lang w:val="fr-FR"/>
              </w:rPr>
            </w:pPr>
            <w:r w:rsidRPr="00A66C9F">
              <w:rPr>
                <w:sz w:val="17"/>
                <w:lang w:val="fr-FR"/>
              </w:rPr>
              <w:tab/>
              <w:t xml:space="preserve">Services contractuels </w:t>
            </w:r>
          </w:p>
        </w:tc>
        <w:tc>
          <w:tcPr>
            <w:tcW w:w="900" w:type="dxa"/>
            <w:shd w:val="clear" w:color="000000" w:fill="FFFFFF"/>
            <w:noWrap/>
            <w:vAlign w:val="bottom"/>
            <w:hideMark/>
          </w:tcPr>
          <w:p w14:paraId="098574AD"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22 661,4 </w:t>
            </w:r>
          </w:p>
        </w:tc>
        <w:tc>
          <w:tcPr>
            <w:tcW w:w="900" w:type="dxa"/>
            <w:shd w:val="clear" w:color="000000" w:fill="FFFFFF"/>
            <w:noWrap/>
            <w:vAlign w:val="bottom"/>
            <w:hideMark/>
          </w:tcPr>
          <w:p w14:paraId="5FD9D914"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w:t>
            </w:r>
          </w:p>
        </w:tc>
        <w:tc>
          <w:tcPr>
            <w:tcW w:w="900" w:type="dxa"/>
            <w:shd w:val="clear" w:color="000000" w:fill="FFFFFF"/>
            <w:noWrap/>
            <w:vAlign w:val="bottom"/>
            <w:hideMark/>
          </w:tcPr>
          <w:p w14:paraId="4369B200"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22 661,4 </w:t>
            </w:r>
          </w:p>
        </w:tc>
        <w:tc>
          <w:tcPr>
            <w:tcW w:w="990" w:type="dxa"/>
            <w:gridSpan w:val="2"/>
            <w:shd w:val="clear" w:color="000000" w:fill="FFFFFF"/>
            <w:noWrap/>
            <w:vAlign w:val="bottom"/>
            <w:hideMark/>
          </w:tcPr>
          <w:p w14:paraId="48DE8CC1"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15 207,7 </w:t>
            </w:r>
          </w:p>
        </w:tc>
        <w:tc>
          <w:tcPr>
            <w:tcW w:w="810" w:type="dxa"/>
            <w:shd w:val="clear" w:color="000000" w:fill="FFFFFF"/>
            <w:noWrap/>
            <w:vAlign w:val="bottom"/>
            <w:hideMark/>
          </w:tcPr>
          <w:p w14:paraId="1CCAB164"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w:t>
            </w:r>
          </w:p>
        </w:tc>
        <w:tc>
          <w:tcPr>
            <w:tcW w:w="900" w:type="dxa"/>
            <w:shd w:val="clear" w:color="000000" w:fill="FFFFFF"/>
            <w:noWrap/>
            <w:vAlign w:val="bottom"/>
            <w:hideMark/>
          </w:tcPr>
          <w:p w14:paraId="270404AC"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15 207,7 </w:t>
            </w:r>
          </w:p>
        </w:tc>
        <w:tc>
          <w:tcPr>
            <w:tcW w:w="900" w:type="dxa"/>
            <w:gridSpan w:val="2"/>
            <w:shd w:val="clear" w:color="000000" w:fill="FFFFFF"/>
            <w:noWrap/>
            <w:vAlign w:val="bottom"/>
            <w:hideMark/>
          </w:tcPr>
          <w:p w14:paraId="60340EED"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(7 453,7)</w:t>
            </w:r>
          </w:p>
        </w:tc>
        <w:tc>
          <w:tcPr>
            <w:tcW w:w="900" w:type="dxa"/>
            <w:shd w:val="clear" w:color="000000" w:fill="FFFFFF"/>
            <w:noWrap/>
            <w:vAlign w:val="bottom"/>
            <w:hideMark/>
          </w:tcPr>
          <w:p w14:paraId="482D8F23"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w:t>
            </w:r>
          </w:p>
        </w:tc>
        <w:tc>
          <w:tcPr>
            <w:tcW w:w="900" w:type="dxa"/>
            <w:shd w:val="clear" w:color="000000" w:fill="FFFFFF"/>
            <w:noWrap/>
            <w:vAlign w:val="bottom"/>
            <w:hideMark/>
          </w:tcPr>
          <w:p w14:paraId="16D900EB"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(7 453,7)</w:t>
            </w:r>
          </w:p>
        </w:tc>
        <w:tc>
          <w:tcPr>
            <w:tcW w:w="900" w:type="dxa"/>
            <w:shd w:val="clear" w:color="000000" w:fill="FFFFFF"/>
            <w:noWrap/>
            <w:vAlign w:val="bottom"/>
          </w:tcPr>
          <w:p w14:paraId="1E04EAA0"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(33)</w:t>
            </w:r>
          </w:p>
        </w:tc>
      </w:tr>
      <w:tr w:rsidR="00744544" w:rsidRPr="00A66C9F" w14:paraId="1734DA62" w14:textId="77777777" w:rsidTr="00480329">
        <w:trPr>
          <w:cantSplit/>
        </w:trPr>
        <w:tc>
          <w:tcPr>
            <w:tcW w:w="4140" w:type="dxa"/>
            <w:gridSpan w:val="2"/>
            <w:shd w:val="clear" w:color="000000" w:fill="FFFFFF"/>
            <w:noWrap/>
            <w:vAlign w:val="bottom"/>
            <w:hideMark/>
          </w:tcPr>
          <w:p w14:paraId="3326E895" w14:textId="77777777" w:rsidR="00744544" w:rsidRPr="00A66C9F" w:rsidRDefault="00744544" w:rsidP="00107D5D">
            <w:pPr>
              <w:tabs>
                <w:tab w:val="left" w:pos="288"/>
                <w:tab w:val="left" w:pos="576"/>
                <w:tab w:val="left" w:pos="864"/>
                <w:tab w:val="left" w:pos="1152"/>
              </w:tabs>
              <w:suppressAutoHyphens/>
              <w:spacing w:before="30" w:after="30" w:line="210" w:lineRule="exact"/>
              <w:ind w:left="288" w:right="40" w:hanging="288"/>
              <w:rPr>
                <w:sz w:val="17"/>
                <w:lang w:val="fr-FR"/>
              </w:rPr>
            </w:pPr>
            <w:r w:rsidRPr="00A66C9F">
              <w:rPr>
                <w:sz w:val="17"/>
                <w:lang w:val="fr-FR"/>
              </w:rPr>
              <w:tab/>
              <w:t xml:space="preserve">Frais généraux de fonctionnement </w:t>
            </w:r>
          </w:p>
        </w:tc>
        <w:tc>
          <w:tcPr>
            <w:tcW w:w="900" w:type="dxa"/>
            <w:shd w:val="clear" w:color="000000" w:fill="FFFFFF"/>
            <w:noWrap/>
            <w:vAlign w:val="bottom"/>
            <w:hideMark/>
          </w:tcPr>
          <w:p w14:paraId="76B5693A"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1 819,9 </w:t>
            </w:r>
          </w:p>
        </w:tc>
        <w:tc>
          <w:tcPr>
            <w:tcW w:w="900" w:type="dxa"/>
            <w:shd w:val="clear" w:color="000000" w:fill="FFFFFF"/>
            <w:noWrap/>
            <w:vAlign w:val="bottom"/>
            <w:hideMark/>
          </w:tcPr>
          <w:p w14:paraId="2892D2C1"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w:t>
            </w:r>
          </w:p>
        </w:tc>
        <w:tc>
          <w:tcPr>
            <w:tcW w:w="900" w:type="dxa"/>
            <w:shd w:val="clear" w:color="000000" w:fill="FFFFFF"/>
            <w:noWrap/>
            <w:vAlign w:val="bottom"/>
            <w:hideMark/>
          </w:tcPr>
          <w:p w14:paraId="23ABF32F"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1 819,9 </w:t>
            </w:r>
          </w:p>
        </w:tc>
        <w:tc>
          <w:tcPr>
            <w:tcW w:w="990" w:type="dxa"/>
            <w:gridSpan w:val="2"/>
            <w:shd w:val="clear" w:color="000000" w:fill="FFFFFF"/>
            <w:noWrap/>
            <w:vAlign w:val="bottom"/>
            <w:hideMark/>
          </w:tcPr>
          <w:p w14:paraId="169D06FA"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502,4 </w:t>
            </w:r>
          </w:p>
        </w:tc>
        <w:tc>
          <w:tcPr>
            <w:tcW w:w="810" w:type="dxa"/>
            <w:shd w:val="clear" w:color="000000" w:fill="FFFFFF"/>
            <w:noWrap/>
            <w:vAlign w:val="bottom"/>
            <w:hideMark/>
          </w:tcPr>
          <w:p w14:paraId="21216171"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w:t>
            </w:r>
          </w:p>
        </w:tc>
        <w:tc>
          <w:tcPr>
            <w:tcW w:w="900" w:type="dxa"/>
            <w:shd w:val="clear" w:color="000000" w:fill="FFFFFF"/>
            <w:noWrap/>
            <w:vAlign w:val="bottom"/>
            <w:hideMark/>
          </w:tcPr>
          <w:p w14:paraId="18A3DD82"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502,4 </w:t>
            </w:r>
          </w:p>
        </w:tc>
        <w:tc>
          <w:tcPr>
            <w:tcW w:w="900" w:type="dxa"/>
            <w:gridSpan w:val="2"/>
            <w:shd w:val="clear" w:color="000000" w:fill="FFFFFF"/>
            <w:noWrap/>
            <w:vAlign w:val="bottom"/>
            <w:hideMark/>
          </w:tcPr>
          <w:p w14:paraId="61757334"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(1 317,5)</w:t>
            </w:r>
          </w:p>
        </w:tc>
        <w:tc>
          <w:tcPr>
            <w:tcW w:w="900" w:type="dxa"/>
            <w:shd w:val="clear" w:color="000000" w:fill="FFFFFF"/>
            <w:noWrap/>
            <w:vAlign w:val="bottom"/>
            <w:hideMark/>
          </w:tcPr>
          <w:p w14:paraId="71D18DD2"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w:t>
            </w:r>
          </w:p>
        </w:tc>
        <w:tc>
          <w:tcPr>
            <w:tcW w:w="900" w:type="dxa"/>
            <w:shd w:val="clear" w:color="000000" w:fill="FFFFFF"/>
            <w:noWrap/>
            <w:vAlign w:val="bottom"/>
            <w:hideMark/>
          </w:tcPr>
          <w:p w14:paraId="0F3A9BC4"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(1 317,5)</w:t>
            </w:r>
          </w:p>
        </w:tc>
        <w:tc>
          <w:tcPr>
            <w:tcW w:w="900" w:type="dxa"/>
            <w:shd w:val="clear" w:color="000000" w:fill="FFFFFF"/>
            <w:noWrap/>
            <w:vAlign w:val="bottom"/>
          </w:tcPr>
          <w:p w14:paraId="56766606"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(72)</w:t>
            </w:r>
          </w:p>
        </w:tc>
      </w:tr>
      <w:tr w:rsidR="00744544" w:rsidRPr="00A66C9F" w14:paraId="14F6C024" w14:textId="77777777" w:rsidTr="00480329">
        <w:trPr>
          <w:cantSplit/>
        </w:trPr>
        <w:tc>
          <w:tcPr>
            <w:tcW w:w="4140" w:type="dxa"/>
            <w:gridSpan w:val="2"/>
            <w:shd w:val="clear" w:color="000000" w:fill="FFFFFF"/>
            <w:noWrap/>
            <w:vAlign w:val="bottom"/>
            <w:hideMark/>
          </w:tcPr>
          <w:p w14:paraId="61AAB226" w14:textId="77777777" w:rsidR="00744544" w:rsidRPr="00A66C9F" w:rsidRDefault="00744544" w:rsidP="00107D5D">
            <w:pPr>
              <w:tabs>
                <w:tab w:val="left" w:pos="288"/>
                <w:tab w:val="left" w:pos="576"/>
                <w:tab w:val="left" w:pos="864"/>
                <w:tab w:val="left" w:pos="1152"/>
              </w:tabs>
              <w:suppressAutoHyphens/>
              <w:spacing w:before="30" w:after="30" w:line="210" w:lineRule="exact"/>
              <w:ind w:left="288" w:right="40" w:hanging="288"/>
              <w:rPr>
                <w:sz w:val="17"/>
                <w:lang w:val="fr-FR"/>
              </w:rPr>
            </w:pPr>
            <w:r w:rsidRPr="00A66C9F">
              <w:rPr>
                <w:sz w:val="17"/>
                <w:lang w:val="fr-FR"/>
              </w:rPr>
              <w:tab/>
              <w:t>Fournitures et accessoires</w:t>
            </w:r>
          </w:p>
        </w:tc>
        <w:tc>
          <w:tcPr>
            <w:tcW w:w="900" w:type="dxa"/>
            <w:shd w:val="clear" w:color="000000" w:fill="FFFFFF"/>
            <w:noWrap/>
            <w:vAlign w:val="bottom"/>
            <w:hideMark/>
          </w:tcPr>
          <w:p w14:paraId="6C813FC2"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29,9</w:t>
            </w:r>
          </w:p>
        </w:tc>
        <w:tc>
          <w:tcPr>
            <w:tcW w:w="900" w:type="dxa"/>
            <w:shd w:val="clear" w:color="000000" w:fill="FFFFFF"/>
            <w:noWrap/>
            <w:vAlign w:val="bottom"/>
            <w:hideMark/>
          </w:tcPr>
          <w:p w14:paraId="3577DB28"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w:t>
            </w:r>
          </w:p>
        </w:tc>
        <w:tc>
          <w:tcPr>
            <w:tcW w:w="900" w:type="dxa"/>
            <w:shd w:val="clear" w:color="000000" w:fill="FFFFFF"/>
            <w:noWrap/>
            <w:vAlign w:val="bottom"/>
            <w:hideMark/>
          </w:tcPr>
          <w:p w14:paraId="521F53BD"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29,9</w:t>
            </w:r>
          </w:p>
        </w:tc>
        <w:tc>
          <w:tcPr>
            <w:tcW w:w="990" w:type="dxa"/>
            <w:gridSpan w:val="2"/>
            <w:shd w:val="clear" w:color="000000" w:fill="FFFFFF"/>
            <w:noWrap/>
            <w:vAlign w:val="bottom"/>
            <w:hideMark/>
          </w:tcPr>
          <w:p w14:paraId="16DC5B12"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13,4</w:t>
            </w:r>
          </w:p>
        </w:tc>
        <w:tc>
          <w:tcPr>
            <w:tcW w:w="810" w:type="dxa"/>
            <w:shd w:val="clear" w:color="000000" w:fill="FFFFFF"/>
            <w:noWrap/>
            <w:vAlign w:val="bottom"/>
            <w:hideMark/>
          </w:tcPr>
          <w:p w14:paraId="1E9E7A1D"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w:t>
            </w:r>
          </w:p>
        </w:tc>
        <w:tc>
          <w:tcPr>
            <w:tcW w:w="900" w:type="dxa"/>
            <w:shd w:val="clear" w:color="000000" w:fill="FFFFFF"/>
            <w:noWrap/>
            <w:vAlign w:val="bottom"/>
            <w:hideMark/>
          </w:tcPr>
          <w:p w14:paraId="40BF6355"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13,4</w:t>
            </w:r>
          </w:p>
        </w:tc>
        <w:tc>
          <w:tcPr>
            <w:tcW w:w="900" w:type="dxa"/>
            <w:gridSpan w:val="2"/>
            <w:shd w:val="clear" w:color="000000" w:fill="FFFFFF"/>
            <w:noWrap/>
            <w:vAlign w:val="bottom"/>
            <w:hideMark/>
          </w:tcPr>
          <w:p w14:paraId="09528195"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(16,5)</w:t>
            </w:r>
          </w:p>
        </w:tc>
        <w:tc>
          <w:tcPr>
            <w:tcW w:w="900" w:type="dxa"/>
            <w:shd w:val="clear" w:color="000000" w:fill="FFFFFF"/>
            <w:noWrap/>
            <w:vAlign w:val="bottom"/>
            <w:hideMark/>
          </w:tcPr>
          <w:p w14:paraId="3D41F278"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w:t>
            </w:r>
          </w:p>
        </w:tc>
        <w:tc>
          <w:tcPr>
            <w:tcW w:w="900" w:type="dxa"/>
            <w:shd w:val="clear" w:color="000000" w:fill="FFFFFF"/>
            <w:noWrap/>
            <w:vAlign w:val="bottom"/>
            <w:hideMark/>
          </w:tcPr>
          <w:p w14:paraId="25FFA80F"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(16,5)</w:t>
            </w:r>
          </w:p>
        </w:tc>
        <w:tc>
          <w:tcPr>
            <w:tcW w:w="900" w:type="dxa"/>
            <w:shd w:val="clear" w:color="000000" w:fill="FFFFFF"/>
            <w:noWrap/>
            <w:vAlign w:val="bottom"/>
          </w:tcPr>
          <w:p w14:paraId="5BDEFF58" w14:textId="77777777" w:rsidR="00744544" w:rsidRPr="00A66C9F" w:rsidRDefault="00744544" w:rsidP="00107D5D">
            <w:pPr>
              <w:tabs>
                <w:tab w:val="left" w:pos="288"/>
                <w:tab w:val="left" w:pos="576"/>
                <w:tab w:val="left" w:pos="864"/>
                <w:tab w:val="left" w:pos="1152"/>
              </w:tabs>
              <w:suppressAutoHyphens/>
              <w:spacing w:before="30" w:after="30" w:line="210" w:lineRule="exact"/>
              <w:ind w:right="43"/>
              <w:jc w:val="right"/>
              <w:rPr>
                <w:sz w:val="17"/>
                <w:lang w:val="fr-FR"/>
              </w:rPr>
            </w:pPr>
            <w:r w:rsidRPr="00A66C9F">
              <w:rPr>
                <w:sz w:val="17"/>
                <w:lang w:val="fr-FR"/>
              </w:rPr>
              <w:t xml:space="preserve"> (55)</w:t>
            </w:r>
          </w:p>
        </w:tc>
      </w:tr>
      <w:tr w:rsidR="00744544" w:rsidRPr="00A66C9F" w14:paraId="26FC289A" w14:textId="77777777" w:rsidTr="00480329">
        <w:trPr>
          <w:cantSplit/>
        </w:trPr>
        <w:tc>
          <w:tcPr>
            <w:tcW w:w="4140" w:type="dxa"/>
            <w:gridSpan w:val="2"/>
            <w:tcBorders>
              <w:bottom w:val="single" w:sz="4" w:space="0" w:color="auto"/>
            </w:tcBorders>
            <w:shd w:val="clear" w:color="000000" w:fill="FFFFFF"/>
            <w:noWrap/>
            <w:vAlign w:val="bottom"/>
            <w:hideMark/>
          </w:tcPr>
          <w:p w14:paraId="5935F181" w14:textId="77777777" w:rsidR="00744544" w:rsidRPr="00A66C9F" w:rsidRDefault="00744544" w:rsidP="00107D5D">
            <w:pPr>
              <w:tabs>
                <w:tab w:val="left" w:pos="288"/>
                <w:tab w:val="left" w:pos="576"/>
                <w:tab w:val="left" w:pos="864"/>
                <w:tab w:val="left" w:pos="1152"/>
              </w:tabs>
              <w:suppressAutoHyphens/>
              <w:spacing w:before="30" w:after="81" w:line="210" w:lineRule="exact"/>
              <w:ind w:right="40"/>
              <w:rPr>
                <w:sz w:val="17"/>
                <w:lang w:val="fr-FR"/>
              </w:rPr>
            </w:pPr>
            <w:r w:rsidRPr="00A66C9F">
              <w:rPr>
                <w:sz w:val="17"/>
                <w:lang w:val="fr-FR"/>
              </w:rPr>
              <w:tab/>
              <w:t>Mobilier et matériel</w:t>
            </w:r>
          </w:p>
        </w:tc>
        <w:tc>
          <w:tcPr>
            <w:tcW w:w="900" w:type="dxa"/>
            <w:tcBorders>
              <w:bottom w:val="single" w:sz="4" w:space="0" w:color="auto"/>
            </w:tcBorders>
            <w:shd w:val="clear" w:color="000000" w:fill="FFFFFF"/>
            <w:noWrap/>
            <w:vAlign w:val="bottom"/>
            <w:hideMark/>
          </w:tcPr>
          <w:p w14:paraId="057EC632" w14:textId="77777777" w:rsidR="00744544" w:rsidRPr="00A66C9F" w:rsidRDefault="00744544" w:rsidP="00107D5D">
            <w:pPr>
              <w:tabs>
                <w:tab w:val="left" w:pos="288"/>
                <w:tab w:val="left" w:pos="576"/>
                <w:tab w:val="left" w:pos="864"/>
                <w:tab w:val="left" w:pos="1152"/>
              </w:tabs>
              <w:suppressAutoHyphens/>
              <w:spacing w:before="30" w:after="81" w:line="210" w:lineRule="exact"/>
              <w:ind w:right="43"/>
              <w:jc w:val="right"/>
              <w:rPr>
                <w:sz w:val="17"/>
                <w:lang w:val="fr-FR"/>
              </w:rPr>
            </w:pPr>
            <w:r w:rsidRPr="00A66C9F">
              <w:rPr>
                <w:sz w:val="17"/>
                <w:lang w:val="fr-FR"/>
              </w:rPr>
              <w:t xml:space="preserve"> 535,3 </w:t>
            </w:r>
          </w:p>
        </w:tc>
        <w:tc>
          <w:tcPr>
            <w:tcW w:w="900" w:type="dxa"/>
            <w:tcBorders>
              <w:bottom w:val="single" w:sz="4" w:space="0" w:color="auto"/>
            </w:tcBorders>
            <w:shd w:val="clear" w:color="000000" w:fill="FFFFFF"/>
            <w:noWrap/>
            <w:vAlign w:val="bottom"/>
            <w:hideMark/>
          </w:tcPr>
          <w:p w14:paraId="6B8627F4" w14:textId="77777777" w:rsidR="00744544" w:rsidRPr="00A66C9F" w:rsidRDefault="00744544" w:rsidP="00107D5D">
            <w:pPr>
              <w:tabs>
                <w:tab w:val="left" w:pos="288"/>
                <w:tab w:val="left" w:pos="576"/>
                <w:tab w:val="left" w:pos="864"/>
                <w:tab w:val="left" w:pos="1152"/>
              </w:tabs>
              <w:suppressAutoHyphens/>
              <w:spacing w:before="30" w:after="81" w:line="210" w:lineRule="exact"/>
              <w:ind w:right="43"/>
              <w:jc w:val="right"/>
              <w:rPr>
                <w:sz w:val="17"/>
                <w:lang w:val="fr-FR"/>
              </w:rPr>
            </w:pPr>
            <w:r w:rsidRPr="00A66C9F">
              <w:rPr>
                <w:sz w:val="17"/>
                <w:lang w:val="fr-FR"/>
              </w:rPr>
              <w:t xml:space="preserve"> –</w:t>
            </w:r>
          </w:p>
        </w:tc>
        <w:tc>
          <w:tcPr>
            <w:tcW w:w="900" w:type="dxa"/>
            <w:tcBorders>
              <w:bottom w:val="single" w:sz="4" w:space="0" w:color="auto"/>
            </w:tcBorders>
            <w:shd w:val="clear" w:color="000000" w:fill="FFFFFF"/>
            <w:noWrap/>
            <w:vAlign w:val="bottom"/>
            <w:hideMark/>
          </w:tcPr>
          <w:p w14:paraId="14B7B9E6" w14:textId="77777777" w:rsidR="00744544" w:rsidRPr="00A66C9F" w:rsidRDefault="00744544" w:rsidP="00107D5D">
            <w:pPr>
              <w:tabs>
                <w:tab w:val="left" w:pos="288"/>
                <w:tab w:val="left" w:pos="576"/>
                <w:tab w:val="left" w:pos="864"/>
                <w:tab w:val="left" w:pos="1152"/>
              </w:tabs>
              <w:suppressAutoHyphens/>
              <w:spacing w:before="30" w:after="81" w:line="210" w:lineRule="exact"/>
              <w:ind w:right="43"/>
              <w:jc w:val="right"/>
              <w:rPr>
                <w:sz w:val="17"/>
                <w:lang w:val="fr-FR"/>
              </w:rPr>
            </w:pPr>
            <w:r w:rsidRPr="00A66C9F">
              <w:rPr>
                <w:sz w:val="17"/>
                <w:lang w:val="fr-FR"/>
              </w:rPr>
              <w:t xml:space="preserve"> 535,3 </w:t>
            </w:r>
          </w:p>
        </w:tc>
        <w:tc>
          <w:tcPr>
            <w:tcW w:w="990" w:type="dxa"/>
            <w:gridSpan w:val="2"/>
            <w:tcBorders>
              <w:bottom w:val="single" w:sz="4" w:space="0" w:color="auto"/>
            </w:tcBorders>
            <w:shd w:val="clear" w:color="000000" w:fill="FFFFFF"/>
            <w:noWrap/>
            <w:vAlign w:val="bottom"/>
            <w:hideMark/>
          </w:tcPr>
          <w:p w14:paraId="67636293" w14:textId="77777777" w:rsidR="00744544" w:rsidRPr="00A66C9F" w:rsidRDefault="00744544" w:rsidP="00107D5D">
            <w:pPr>
              <w:tabs>
                <w:tab w:val="left" w:pos="288"/>
                <w:tab w:val="left" w:pos="576"/>
                <w:tab w:val="left" w:pos="864"/>
                <w:tab w:val="left" w:pos="1152"/>
              </w:tabs>
              <w:suppressAutoHyphens/>
              <w:spacing w:before="30" w:after="81" w:line="210" w:lineRule="exact"/>
              <w:ind w:right="43"/>
              <w:jc w:val="right"/>
              <w:rPr>
                <w:sz w:val="17"/>
                <w:lang w:val="fr-FR"/>
              </w:rPr>
            </w:pPr>
            <w:r w:rsidRPr="00A66C9F">
              <w:rPr>
                <w:sz w:val="17"/>
                <w:lang w:val="fr-FR"/>
              </w:rPr>
              <w:t>359,7</w:t>
            </w:r>
          </w:p>
        </w:tc>
        <w:tc>
          <w:tcPr>
            <w:tcW w:w="810" w:type="dxa"/>
            <w:tcBorders>
              <w:bottom w:val="single" w:sz="4" w:space="0" w:color="auto"/>
            </w:tcBorders>
            <w:shd w:val="clear" w:color="000000" w:fill="FFFFFF"/>
            <w:noWrap/>
            <w:vAlign w:val="bottom"/>
            <w:hideMark/>
          </w:tcPr>
          <w:p w14:paraId="6AC9A02E" w14:textId="77777777" w:rsidR="00744544" w:rsidRPr="00A66C9F" w:rsidRDefault="00744544" w:rsidP="00107D5D">
            <w:pPr>
              <w:tabs>
                <w:tab w:val="left" w:pos="288"/>
                <w:tab w:val="left" w:pos="576"/>
                <w:tab w:val="left" w:pos="864"/>
                <w:tab w:val="left" w:pos="1152"/>
              </w:tabs>
              <w:suppressAutoHyphens/>
              <w:spacing w:before="30" w:after="81" w:line="210" w:lineRule="exact"/>
              <w:ind w:right="43"/>
              <w:jc w:val="right"/>
              <w:rPr>
                <w:sz w:val="17"/>
                <w:lang w:val="fr-FR"/>
              </w:rPr>
            </w:pPr>
            <w:r w:rsidRPr="00A66C9F">
              <w:rPr>
                <w:sz w:val="17"/>
                <w:lang w:val="fr-FR"/>
              </w:rPr>
              <w:t xml:space="preserve"> –</w:t>
            </w:r>
          </w:p>
        </w:tc>
        <w:tc>
          <w:tcPr>
            <w:tcW w:w="900" w:type="dxa"/>
            <w:tcBorders>
              <w:bottom w:val="single" w:sz="4" w:space="0" w:color="auto"/>
            </w:tcBorders>
            <w:shd w:val="clear" w:color="000000" w:fill="FFFFFF"/>
            <w:noWrap/>
            <w:vAlign w:val="bottom"/>
            <w:hideMark/>
          </w:tcPr>
          <w:p w14:paraId="5412EB70" w14:textId="77777777" w:rsidR="00744544" w:rsidRPr="00A66C9F" w:rsidRDefault="00744544" w:rsidP="00107D5D">
            <w:pPr>
              <w:tabs>
                <w:tab w:val="left" w:pos="288"/>
                <w:tab w:val="left" w:pos="576"/>
                <w:tab w:val="left" w:pos="864"/>
                <w:tab w:val="left" w:pos="1152"/>
              </w:tabs>
              <w:suppressAutoHyphens/>
              <w:spacing w:before="30" w:after="81" w:line="210" w:lineRule="exact"/>
              <w:ind w:right="43"/>
              <w:jc w:val="right"/>
              <w:rPr>
                <w:sz w:val="17"/>
                <w:lang w:val="fr-FR"/>
              </w:rPr>
            </w:pPr>
            <w:r w:rsidRPr="00A66C9F">
              <w:rPr>
                <w:sz w:val="17"/>
                <w:lang w:val="fr-FR"/>
              </w:rPr>
              <w:t>359,7</w:t>
            </w:r>
          </w:p>
        </w:tc>
        <w:tc>
          <w:tcPr>
            <w:tcW w:w="900" w:type="dxa"/>
            <w:gridSpan w:val="2"/>
            <w:tcBorders>
              <w:bottom w:val="single" w:sz="4" w:space="0" w:color="auto"/>
            </w:tcBorders>
            <w:shd w:val="clear" w:color="000000" w:fill="FFFFFF"/>
            <w:noWrap/>
            <w:vAlign w:val="bottom"/>
            <w:hideMark/>
          </w:tcPr>
          <w:p w14:paraId="74DF02B9" w14:textId="77777777" w:rsidR="00744544" w:rsidRPr="00A66C9F" w:rsidRDefault="00744544" w:rsidP="00107D5D">
            <w:pPr>
              <w:tabs>
                <w:tab w:val="left" w:pos="288"/>
                <w:tab w:val="left" w:pos="576"/>
                <w:tab w:val="left" w:pos="864"/>
                <w:tab w:val="left" w:pos="1152"/>
              </w:tabs>
              <w:suppressAutoHyphens/>
              <w:spacing w:before="30" w:after="81" w:line="210" w:lineRule="exact"/>
              <w:ind w:right="43"/>
              <w:jc w:val="right"/>
              <w:rPr>
                <w:sz w:val="17"/>
                <w:lang w:val="fr-FR"/>
              </w:rPr>
            </w:pPr>
            <w:r w:rsidRPr="00A66C9F">
              <w:rPr>
                <w:sz w:val="17"/>
                <w:lang w:val="fr-FR"/>
              </w:rPr>
              <w:t xml:space="preserve"> (175,6)</w:t>
            </w:r>
          </w:p>
        </w:tc>
        <w:tc>
          <w:tcPr>
            <w:tcW w:w="900" w:type="dxa"/>
            <w:tcBorders>
              <w:bottom w:val="single" w:sz="4" w:space="0" w:color="auto"/>
            </w:tcBorders>
            <w:shd w:val="clear" w:color="000000" w:fill="FFFFFF"/>
            <w:noWrap/>
            <w:vAlign w:val="bottom"/>
            <w:hideMark/>
          </w:tcPr>
          <w:p w14:paraId="2A7867A6" w14:textId="77777777" w:rsidR="00744544" w:rsidRPr="00A66C9F" w:rsidRDefault="00744544" w:rsidP="00107D5D">
            <w:pPr>
              <w:tabs>
                <w:tab w:val="left" w:pos="288"/>
                <w:tab w:val="left" w:pos="576"/>
                <w:tab w:val="left" w:pos="864"/>
                <w:tab w:val="left" w:pos="1152"/>
              </w:tabs>
              <w:suppressAutoHyphens/>
              <w:spacing w:before="30" w:after="81" w:line="210" w:lineRule="exact"/>
              <w:ind w:right="43"/>
              <w:jc w:val="right"/>
              <w:rPr>
                <w:sz w:val="17"/>
                <w:lang w:val="fr-FR"/>
              </w:rPr>
            </w:pPr>
            <w:r w:rsidRPr="00A66C9F">
              <w:rPr>
                <w:sz w:val="17"/>
                <w:lang w:val="fr-FR"/>
              </w:rPr>
              <w:t xml:space="preserve"> –</w:t>
            </w:r>
          </w:p>
        </w:tc>
        <w:tc>
          <w:tcPr>
            <w:tcW w:w="900" w:type="dxa"/>
            <w:tcBorders>
              <w:bottom w:val="single" w:sz="4" w:space="0" w:color="auto"/>
            </w:tcBorders>
            <w:shd w:val="clear" w:color="000000" w:fill="FFFFFF"/>
            <w:noWrap/>
            <w:vAlign w:val="bottom"/>
            <w:hideMark/>
          </w:tcPr>
          <w:p w14:paraId="682D0945" w14:textId="77777777" w:rsidR="00744544" w:rsidRPr="00A66C9F" w:rsidRDefault="00744544" w:rsidP="00107D5D">
            <w:pPr>
              <w:tabs>
                <w:tab w:val="left" w:pos="288"/>
                <w:tab w:val="left" w:pos="576"/>
                <w:tab w:val="left" w:pos="864"/>
                <w:tab w:val="left" w:pos="1152"/>
              </w:tabs>
              <w:suppressAutoHyphens/>
              <w:spacing w:before="30" w:after="81" w:line="210" w:lineRule="exact"/>
              <w:ind w:right="43"/>
              <w:jc w:val="right"/>
              <w:rPr>
                <w:sz w:val="17"/>
                <w:lang w:val="fr-FR"/>
              </w:rPr>
            </w:pPr>
            <w:r w:rsidRPr="00A66C9F">
              <w:rPr>
                <w:sz w:val="17"/>
                <w:lang w:val="fr-FR"/>
              </w:rPr>
              <w:t xml:space="preserve"> (175,6)</w:t>
            </w:r>
          </w:p>
        </w:tc>
        <w:tc>
          <w:tcPr>
            <w:tcW w:w="900" w:type="dxa"/>
            <w:tcBorders>
              <w:bottom w:val="single" w:sz="4" w:space="0" w:color="auto"/>
            </w:tcBorders>
            <w:shd w:val="clear" w:color="000000" w:fill="FFFFFF"/>
            <w:noWrap/>
            <w:vAlign w:val="bottom"/>
          </w:tcPr>
          <w:p w14:paraId="22C97E39" w14:textId="77777777" w:rsidR="00744544" w:rsidRPr="00A66C9F" w:rsidRDefault="00744544" w:rsidP="00107D5D">
            <w:pPr>
              <w:tabs>
                <w:tab w:val="left" w:pos="288"/>
                <w:tab w:val="left" w:pos="576"/>
                <w:tab w:val="left" w:pos="864"/>
                <w:tab w:val="left" w:pos="1152"/>
              </w:tabs>
              <w:suppressAutoHyphens/>
              <w:spacing w:before="30" w:after="81" w:line="210" w:lineRule="exact"/>
              <w:ind w:right="43"/>
              <w:jc w:val="right"/>
              <w:rPr>
                <w:sz w:val="17"/>
                <w:lang w:val="fr-FR"/>
              </w:rPr>
            </w:pPr>
            <w:r w:rsidRPr="00A66C9F">
              <w:rPr>
                <w:sz w:val="17"/>
                <w:lang w:val="fr-FR"/>
              </w:rPr>
              <w:t xml:space="preserve"> (33)</w:t>
            </w:r>
          </w:p>
        </w:tc>
      </w:tr>
      <w:tr w:rsidR="00744544" w:rsidRPr="00A66C9F" w14:paraId="08D50787" w14:textId="77777777" w:rsidTr="00480329">
        <w:trPr>
          <w:cantSplit/>
        </w:trPr>
        <w:tc>
          <w:tcPr>
            <w:tcW w:w="4140" w:type="dxa"/>
            <w:gridSpan w:val="2"/>
            <w:tcBorders>
              <w:top w:val="single" w:sz="4" w:space="0" w:color="auto"/>
              <w:bottom w:val="single" w:sz="12" w:space="0" w:color="auto"/>
            </w:tcBorders>
            <w:shd w:val="clear" w:color="000000" w:fill="FFFFFF"/>
            <w:noWrap/>
            <w:vAlign w:val="bottom"/>
            <w:hideMark/>
          </w:tcPr>
          <w:p w14:paraId="32AE51E5" w14:textId="77777777" w:rsidR="00744544" w:rsidRPr="00A66C9F" w:rsidRDefault="00744544" w:rsidP="00107D5D">
            <w:pPr>
              <w:tabs>
                <w:tab w:val="left" w:pos="288"/>
                <w:tab w:val="left" w:pos="576"/>
                <w:tab w:val="left" w:pos="864"/>
                <w:tab w:val="left" w:pos="1152"/>
              </w:tabs>
              <w:suppressAutoHyphens/>
              <w:spacing w:before="81" w:after="81" w:line="210" w:lineRule="exact"/>
              <w:ind w:right="40"/>
              <w:rPr>
                <w:b/>
                <w:sz w:val="17"/>
                <w:lang w:val="fr-FR"/>
              </w:rPr>
            </w:pPr>
            <w:r w:rsidRPr="00A66C9F">
              <w:rPr>
                <w:b/>
                <w:sz w:val="17"/>
                <w:lang w:val="fr-FR"/>
              </w:rPr>
              <w:tab/>
              <w:t>Total partiel</w:t>
            </w:r>
          </w:p>
        </w:tc>
        <w:tc>
          <w:tcPr>
            <w:tcW w:w="900" w:type="dxa"/>
            <w:tcBorders>
              <w:top w:val="single" w:sz="4" w:space="0" w:color="auto"/>
              <w:bottom w:val="single" w:sz="12" w:space="0" w:color="auto"/>
            </w:tcBorders>
            <w:shd w:val="clear" w:color="000000" w:fill="FFFFFF"/>
            <w:noWrap/>
            <w:vAlign w:val="bottom"/>
            <w:hideMark/>
          </w:tcPr>
          <w:p w14:paraId="64888FA3"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43 156,6 </w:t>
            </w:r>
          </w:p>
        </w:tc>
        <w:tc>
          <w:tcPr>
            <w:tcW w:w="900" w:type="dxa"/>
            <w:tcBorders>
              <w:top w:val="single" w:sz="4" w:space="0" w:color="auto"/>
              <w:bottom w:val="single" w:sz="12" w:space="0" w:color="auto"/>
            </w:tcBorders>
            <w:shd w:val="clear" w:color="000000" w:fill="FFFFFF"/>
            <w:noWrap/>
            <w:vAlign w:val="bottom"/>
            <w:hideMark/>
          </w:tcPr>
          <w:p w14:paraId="65FB4B10"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w:t>
            </w:r>
          </w:p>
        </w:tc>
        <w:tc>
          <w:tcPr>
            <w:tcW w:w="900" w:type="dxa"/>
            <w:tcBorders>
              <w:top w:val="single" w:sz="4" w:space="0" w:color="auto"/>
              <w:bottom w:val="single" w:sz="12" w:space="0" w:color="auto"/>
            </w:tcBorders>
            <w:shd w:val="clear" w:color="000000" w:fill="FFFFFF"/>
            <w:noWrap/>
            <w:vAlign w:val="bottom"/>
            <w:hideMark/>
          </w:tcPr>
          <w:p w14:paraId="747B7F66"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43 156,6 </w:t>
            </w:r>
          </w:p>
        </w:tc>
        <w:tc>
          <w:tcPr>
            <w:tcW w:w="990" w:type="dxa"/>
            <w:gridSpan w:val="2"/>
            <w:tcBorders>
              <w:top w:val="single" w:sz="4" w:space="0" w:color="auto"/>
              <w:bottom w:val="single" w:sz="12" w:space="0" w:color="auto"/>
            </w:tcBorders>
            <w:shd w:val="clear" w:color="000000" w:fill="FFFFFF"/>
            <w:noWrap/>
            <w:vAlign w:val="bottom"/>
            <w:hideMark/>
          </w:tcPr>
          <w:p w14:paraId="40D35D0C"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32 909,4 </w:t>
            </w:r>
          </w:p>
        </w:tc>
        <w:tc>
          <w:tcPr>
            <w:tcW w:w="810" w:type="dxa"/>
            <w:tcBorders>
              <w:top w:val="single" w:sz="4" w:space="0" w:color="auto"/>
              <w:bottom w:val="single" w:sz="12" w:space="0" w:color="auto"/>
            </w:tcBorders>
            <w:shd w:val="clear" w:color="000000" w:fill="FFFFFF"/>
            <w:noWrap/>
            <w:vAlign w:val="bottom"/>
            <w:hideMark/>
          </w:tcPr>
          <w:p w14:paraId="07A56BE8"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w:t>
            </w:r>
          </w:p>
        </w:tc>
        <w:tc>
          <w:tcPr>
            <w:tcW w:w="900" w:type="dxa"/>
            <w:tcBorders>
              <w:top w:val="single" w:sz="4" w:space="0" w:color="auto"/>
              <w:bottom w:val="single" w:sz="12" w:space="0" w:color="auto"/>
            </w:tcBorders>
            <w:shd w:val="clear" w:color="000000" w:fill="FFFFFF"/>
            <w:noWrap/>
            <w:vAlign w:val="bottom"/>
            <w:hideMark/>
          </w:tcPr>
          <w:p w14:paraId="70294EE3"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32 909,4 </w:t>
            </w:r>
          </w:p>
        </w:tc>
        <w:tc>
          <w:tcPr>
            <w:tcW w:w="900" w:type="dxa"/>
            <w:gridSpan w:val="2"/>
            <w:tcBorders>
              <w:top w:val="single" w:sz="4" w:space="0" w:color="auto"/>
              <w:bottom w:val="single" w:sz="12" w:space="0" w:color="auto"/>
            </w:tcBorders>
            <w:shd w:val="clear" w:color="000000" w:fill="FFFFFF"/>
            <w:noWrap/>
            <w:vAlign w:val="bottom"/>
            <w:hideMark/>
          </w:tcPr>
          <w:p w14:paraId="7BC44FB9"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(10 247,2)</w:t>
            </w:r>
          </w:p>
        </w:tc>
        <w:tc>
          <w:tcPr>
            <w:tcW w:w="900" w:type="dxa"/>
            <w:tcBorders>
              <w:top w:val="single" w:sz="4" w:space="0" w:color="auto"/>
              <w:bottom w:val="single" w:sz="12" w:space="0" w:color="auto"/>
            </w:tcBorders>
            <w:shd w:val="clear" w:color="000000" w:fill="FFFFFF"/>
            <w:noWrap/>
            <w:vAlign w:val="bottom"/>
            <w:hideMark/>
          </w:tcPr>
          <w:p w14:paraId="353376C0"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w:t>
            </w:r>
          </w:p>
        </w:tc>
        <w:tc>
          <w:tcPr>
            <w:tcW w:w="900" w:type="dxa"/>
            <w:tcBorders>
              <w:top w:val="single" w:sz="4" w:space="0" w:color="auto"/>
              <w:bottom w:val="single" w:sz="12" w:space="0" w:color="auto"/>
            </w:tcBorders>
            <w:shd w:val="clear" w:color="000000" w:fill="FFFFFF"/>
            <w:noWrap/>
            <w:vAlign w:val="bottom"/>
            <w:hideMark/>
          </w:tcPr>
          <w:p w14:paraId="125F780C"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(10 247,2)</w:t>
            </w:r>
          </w:p>
        </w:tc>
        <w:tc>
          <w:tcPr>
            <w:tcW w:w="900" w:type="dxa"/>
            <w:tcBorders>
              <w:top w:val="single" w:sz="4" w:space="0" w:color="auto"/>
              <w:bottom w:val="single" w:sz="12" w:space="0" w:color="auto"/>
            </w:tcBorders>
            <w:shd w:val="clear" w:color="000000" w:fill="FFFFFF"/>
            <w:noWrap/>
            <w:vAlign w:val="bottom"/>
          </w:tcPr>
          <w:p w14:paraId="738D2518"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(24)</w:t>
            </w:r>
          </w:p>
        </w:tc>
      </w:tr>
    </w:tbl>
    <w:p w14:paraId="6F8E789E" w14:textId="77777777" w:rsidR="00744544" w:rsidRPr="00A66C9F" w:rsidRDefault="00744544" w:rsidP="00744544">
      <w:pPr>
        <w:spacing w:after="200" w:line="276" w:lineRule="auto"/>
        <w:rPr>
          <w:lang w:val="fr-FR"/>
        </w:rPr>
      </w:pPr>
      <w:r w:rsidRPr="00A66C9F">
        <w:rPr>
          <w:lang w:val="fr-FR"/>
        </w:rPr>
        <w:br w:type="page"/>
      </w:r>
    </w:p>
    <w:p w14:paraId="47B6368A"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lastRenderedPageBreak/>
        <w:t>Caisse commune des pensions du personnel des Nations Unies</w:t>
      </w:r>
    </w:p>
    <w:p w14:paraId="345730C3"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bCs/>
          <w:lang w:val="fr-FR"/>
        </w:rPr>
        <w:t>Tableau B</w:t>
      </w:r>
      <w:r w:rsidRPr="00A66C9F">
        <w:rPr>
          <w:lang w:val="fr-FR"/>
        </w:rPr>
        <w:t xml:space="preserve"> </w:t>
      </w:r>
      <w:r w:rsidRPr="00A66C9F">
        <w:rPr>
          <w:b w:val="0"/>
          <w:bCs/>
          <w:lang w:val="fr-FR"/>
        </w:rPr>
        <w:t>(</w:t>
      </w:r>
      <w:r w:rsidRPr="00A66C9F">
        <w:rPr>
          <w:b w:val="0"/>
          <w:bCs/>
          <w:i/>
          <w:iCs/>
          <w:lang w:val="fr-FR"/>
        </w:rPr>
        <w:t>suite et fin</w:t>
      </w:r>
      <w:r w:rsidRPr="00A66C9F">
        <w:rPr>
          <w:b w:val="0"/>
          <w:bCs/>
          <w:lang w:val="fr-FR"/>
        </w:rPr>
        <w:t>)</w:t>
      </w:r>
    </w:p>
    <w:p w14:paraId="0FF68082" w14:textId="77777777" w:rsidR="00744544" w:rsidRPr="00A66C9F" w:rsidRDefault="00744544" w:rsidP="00744544">
      <w:pPr>
        <w:pStyle w:val="SingleTxt"/>
        <w:spacing w:after="0" w:line="120" w:lineRule="exact"/>
        <w:rPr>
          <w:b/>
          <w:sz w:val="10"/>
          <w:lang w:val="fr-FR"/>
        </w:rPr>
      </w:pPr>
    </w:p>
    <w:p w14:paraId="7EACC2A1"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FR"/>
        </w:rPr>
      </w:pPr>
      <w:r w:rsidRPr="00A66C9F">
        <w:rPr>
          <w:lang w:val="fr-FR"/>
        </w:rPr>
        <w:t xml:space="preserve">V. État comparatif des montants inscrits au budget et des montants effectifs sur une base comparable ; </w:t>
      </w:r>
      <w:r w:rsidRPr="00A66C9F">
        <w:rPr>
          <w:lang w:val="fr-FR"/>
        </w:rPr>
        <w:br/>
        <w:t xml:space="preserve">dépenses d’administration pour l’année terminée le 31 décembre 2019 </w:t>
      </w:r>
      <w:r w:rsidRPr="00A66C9F">
        <w:rPr>
          <w:bCs/>
          <w:lang w:val="fr-FR"/>
        </w:rPr>
        <w:t>(</w:t>
      </w:r>
      <w:r w:rsidRPr="00A66C9F">
        <w:rPr>
          <w:b w:val="0"/>
          <w:i/>
          <w:iCs/>
          <w:lang w:val="fr-FR"/>
        </w:rPr>
        <w:t>suite et fin</w:t>
      </w:r>
      <w:r w:rsidRPr="00A66C9F">
        <w:rPr>
          <w:bCs/>
          <w:lang w:val="fr-FR"/>
        </w:rPr>
        <w:t>)</w:t>
      </w:r>
    </w:p>
    <w:p w14:paraId="44B39EA9" w14:textId="77777777" w:rsidR="00744544" w:rsidRPr="00A66C9F" w:rsidRDefault="00744544" w:rsidP="0074454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sz w:val="14"/>
          <w:szCs w:val="14"/>
          <w:lang w:val="fr-FR"/>
        </w:rPr>
        <w:t>(En milliers de dollars des États-Unis)</w:t>
      </w:r>
    </w:p>
    <w:p w14:paraId="39DAA31E" w14:textId="77777777" w:rsidR="00744544" w:rsidRPr="00A66C9F" w:rsidRDefault="00744544" w:rsidP="00744544">
      <w:pPr>
        <w:pStyle w:val="SingleTxt"/>
        <w:spacing w:after="0" w:line="120" w:lineRule="exact"/>
        <w:rPr>
          <w:sz w:val="10"/>
          <w:lang w:val="fr-FR"/>
        </w:rPr>
      </w:pPr>
    </w:p>
    <w:p w14:paraId="13B09B0E" w14:textId="77777777" w:rsidR="00744544" w:rsidRPr="00A66C9F" w:rsidRDefault="00744544" w:rsidP="00744544">
      <w:pPr>
        <w:pStyle w:val="SingleTxt"/>
        <w:spacing w:after="0" w:line="120" w:lineRule="exact"/>
        <w:rPr>
          <w:sz w:val="10"/>
          <w:lang w:val="fr-FR"/>
        </w:rPr>
      </w:pPr>
    </w:p>
    <w:tbl>
      <w:tblPr>
        <w:tblW w:w="0" w:type="auto"/>
        <w:shd w:val="clear" w:color="000000" w:fill="FFFFFF"/>
        <w:tblLayout w:type="fixed"/>
        <w:tblCellMar>
          <w:left w:w="0" w:type="dxa"/>
          <w:right w:w="0" w:type="dxa"/>
        </w:tblCellMar>
        <w:tblLook w:val="04A0" w:firstRow="1" w:lastRow="0" w:firstColumn="1" w:lastColumn="0" w:noHBand="0" w:noVBand="1"/>
      </w:tblPr>
      <w:tblGrid>
        <w:gridCol w:w="180"/>
        <w:gridCol w:w="3960"/>
        <w:gridCol w:w="900"/>
        <w:gridCol w:w="900"/>
        <w:gridCol w:w="810"/>
        <w:gridCol w:w="180"/>
        <w:gridCol w:w="900"/>
        <w:gridCol w:w="810"/>
        <w:gridCol w:w="900"/>
        <w:gridCol w:w="180"/>
        <w:gridCol w:w="720"/>
        <w:gridCol w:w="900"/>
        <w:gridCol w:w="900"/>
        <w:gridCol w:w="860"/>
      </w:tblGrid>
      <w:tr w:rsidR="00744544" w:rsidRPr="00A66C9F" w14:paraId="0A75CE3E" w14:textId="77777777" w:rsidTr="00107D5D">
        <w:trPr>
          <w:cantSplit/>
          <w:tblHeader/>
        </w:trPr>
        <w:tc>
          <w:tcPr>
            <w:tcW w:w="4140" w:type="dxa"/>
            <w:gridSpan w:val="2"/>
            <w:tcBorders>
              <w:top w:val="single" w:sz="4" w:space="0" w:color="auto"/>
            </w:tcBorders>
            <w:shd w:val="clear" w:color="000000" w:fill="FFFFFF"/>
            <w:noWrap/>
            <w:vAlign w:val="bottom"/>
            <w:hideMark/>
          </w:tcPr>
          <w:p w14:paraId="793923CD" w14:textId="77777777" w:rsidR="00744544" w:rsidRPr="00A66C9F" w:rsidRDefault="00744544" w:rsidP="00107D5D">
            <w:pPr>
              <w:suppressAutoHyphens/>
              <w:spacing w:before="81" w:after="81" w:line="160" w:lineRule="exact"/>
              <w:ind w:right="40"/>
              <w:rPr>
                <w:i/>
                <w:sz w:val="14"/>
                <w:lang w:val="fr-FR"/>
              </w:rPr>
            </w:pPr>
          </w:p>
        </w:tc>
        <w:tc>
          <w:tcPr>
            <w:tcW w:w="2610" w:type="dxa"/>
            <w:gridSpan w:val="3"/>
            <w:tcBorders>
              <w:top w:val="single" w:sz="4" w:space="0" w:color="auto"/>
              <w:bottom w:val="single" w:sz="4" w:space="0" w:color="auto"/>
            </w:tcBorders>
            <w:shd w:val="clear" w:color="000000" w:fill="FFFFFF"/>
            <w:noWrap/>
            <w:vAlign w:val="bottom"/>
            <w:hideMark/>
          </w:tcPr>
          <w:p w14:paraId="201F66C3" w14:textId="77777777" w:rsidR="00744544" w:rsidRPr="00A66C9F" w:rsidRDefault="00744544" w:rsidP="00107D5D">
            <w:pPr>
              <w:suppressAutoHyphens/>
              <w:spacing w:before="81" w:after="81" w:line="160" w:lineRule="exact"/>
              <w:ind w:right="43"/>
              <w:jc w:val="center"/>
              <w:rPr>
                <w:i/>
                <w:sz w:val="14"/>
                <w:lang w:val="fr-FR"/>
              </w:rPr>
            </w:pPr>
            <w:r w:rsidRPr="00A66C9F">
              <w:rPr>
                <w:i/>
                <w:sz w:val="14"/>
                <w:lang w:val="fr-FR"/>
              </w:rPr>
              <w:t>Budget définitif pour 2019</w:t>
            </w:r>
          </w:p>
        </w:tc>
        <w:tc>
          <w:tcPr>
            <w:tcW w:w="180" w:type="dxa"/>
            <w:tcBorders>
              <w:top w:val="single" w:sz="4" w:space="0" w:color="auto"/>
            </w:tcBorders>
            <w:shd w:val="clear" w:color="000000" w:fill="FFFFFF"/>
            <w:noWrap/>
            <w:vAlign w:val="bottom"/>
            <w:hideMark/>
          </w:tcPr>
          <w:p w14:paraId="6FB600E8" w14:textId="77777777" w:rsidR="00744544" w:rsidRPr="00A66C9F" w:rsidRDefault="00744544" w:rsidP="00107D5D">
            <w:pPr>
              <w:suppressAutoHyphens/>
              <w:spacing w:before="81" w:after="81" w:line="160" w:lineRule="exact"/>
              <w:ind w:right="43"/>
              <w:jc w:val="center"/>
              <w:rPr>
                <w:i/>
                <w:sz w:val="14"/>
                <w:lang w:val="fr-FR"/>
              </w:rPr>
            </w:pPr>
          </w:p>
        </w:tc>
        <w:tc>
          <w:tcPr>
            <w:tcW w:w="2610" w:type="dxa"/>
            <w:gridSpan w:val="3"/>
            <w:tcBorders>
              <w:top w:val="single" w:sz="4" w:space="0" w:color="auto"/>
              <w:bottom w:val="single" w:sz="4" w:space="0" w:color="auto"/>
            </w:tcBorders>
            <w:shd w:val="clear" w:color="000000" w:fill="FFFFFF"/>
            <w:vAlign w:val="bottom"/>
          </w:tcPr>
          <w:p w14:paraId="344DBBB8" w14:textId="77777777" w:rsidR="00744544" w:rsidRPr="00A66C9F" w:rsidRDefault="00744544" w:rsidP="00107D5D">
            <w:pPr>
              <w:suppressAutoHyphens/>
              <w:spacing w:before="81" w:after="81" w:line="160" w:lineRule="exact"/>
              <w:ind w:right="43"/>
              <w:jc w:val="center"/>
              <w:rPr>
                <w:i/>
                <w:sz w:val="14"/>
                <w:lang w:val="fr-FR"/>
              </w:rPr>
            </w:pPr>
            <w:r w:rsidRPr="00A66C9F">
              <w:rPr>
                <w:i/>
                <w:sz w:val="14"/>
                <w:lang w:val="fr-FR"/>
              </w:rPr>
              <w:t>Montants effectifs calculés sur une base comparable</w:t>
            </w:r>
          </w:p>
        </w:tc>
        <w:tc>
          <w:tcPr>
            <w:tcW w:w="180" w:type="dxa"/>
            <w:tcBorders>
              <w:top w:val="single" w:sz="4" w:space="0" w:color="auto"/>
            </w:tcBorders>
            <w:shd w:val="clear" w:color="000000" w:fill="FFFFFF"/>
            <w:noWrap/>
            <w:vAlign w:val="bottom"/>
            <w:hideMark/>
          </w:tcPr>
          <w:p w14:paraId="25274A00" w14:textId="77777777" w:rsidR="00744544" w:rsidRPr="00A66C9F" w:rsidRDefault="00744544" w:rsidP="00107D5D">
            <w:pPr>
              <w:suppressAutoHyphens/>
              <w:spacing w:before="81" w:after="81" w:line="160" w:lineRule="exact"/>
              <w:ind w:right="43"/>
              <w:jc w:val="center"/>
              <w:rPr>
                <w:i/>
                <w:sz w:val="14"/>
                <w:lang w:val="fr-FR"/>
              </w:rPr>
            </w:pPr>
          </w:p>
        </w:tc>
        <w:tc>
          <w:tcPr>
            <w:tcW w:w="2520" w:type="dxa"/>
            <w:gridSpan w:val="3"/>
            <w:tcBorders>
              <w:top w:val="single" w:sz="4" w:space="0" w:color="auto"/>
              <w:bottom w:val="single" w:sz="4" w:space="0" w:color="auto"/>
            </w:tcBorders>
            <w:shd w:val="clear" w:color="000000" w:fill="FFFFFF"/>
            <w:vAlign w:val="bottom"/>
          </w:tcPr>
          <w:p w14:paraId="6F4EB8C4" w14:textId="77777777" w:rsidR="00744544" w:rsidRPr="00A66C9F" w:rsidRDefault="00744544" w:rsidP="00107D5D">
            <w:pPr>
              <w:suppressAutoHyphens/>
              <w:spacing w:before="81" w:after="81" w:line="160" w:lineRule="exact"/>
              <w:ind w:right="43"/>
              <w:jc w:val="center"/>
              <w:rPr>
                <w:i/>
                <w:sz w:val="14"/>
                <w:lang w:val="fr-FR"/>
              </w:rPr>
            </w:pPr>
            <w:r w:rsidRPr="00A66C9F">
              <w:rPr>
                <w:i/>
                <w:sz w:val="14"/>
                <w:lang w:val="fr-FR"/>
              </w:rPr>
              <w:t>Différence</w:t>
            </w:r>
          </w:p>
        </w:tc>
        <w:tc>
          <w:tcPr>
            <w:tcW w:w="860" w:type="dxa"/>
            <w:tcBorders>
              <w:top w:val="single" w:sz="4" w:space="0" w:color="auto"/>
            </w:tcBorders>
            <w:shd w:val="clear" w:color="000000" w:fill="FFFFFF"/>
            <w:noWrap/>
            <w:vAlign w:val="bottom"/>
          </w:tcPr>
          <w:p w14:paraId="3A131E15" w14:textId="77777777" w:rsidR="00744544" w:rsidRPr="00A66C9F" w:rsidRDefault="00744544" w:rsidP="00107D5D">
            <w:pPr>
              <w:suppressAutoHyphens/>
              <w:spacing w:before="81" w:after="81" w:line="160" w:lineRule="exact"/>
              <w:ind w:right="43"/>
              <w:jc w:val="right"/>
              <w:rPr>
                <w:i/>
                <w:sz w:val="14"/>
                <w:lang w:val="fr-FR"/>
              </w:rPr>
            </w:pPr>
          </w:p>
        </w:tc>
      </w:tr>
      <w:tr w:rsidR="00744544" w:rsidRPr="00A66C9F" w14:paraId="2E0A8A15" w14:textId="77777777" w:rsidTr="00107D5D">
        <w:trPr>
          <w:cantSplit/>
          <w:tblHeader/>
        </w:trPr>
        <w:tc>
          <w:tcPr>
            <w:tcW w:w="4140" w:type="dxa"/>
            <w:gridSpan w:val="2"/>
            <w:tcBorders>
              <w:bottom w:val="single" w:sz="12" w:space="0" w:color="auto"/>
            </w:tcBorders>
            <w:shd w:val="clear" w:color="000000" w:fill="FFFFFF"/>
            <w:noWrap/>
            <w:vAlign w:val="bottom"/>
            <w:hideMark/>
          </w:tcPr>
          <w:p w14:paraId="6475E65B" w14:textId="77777777" w:rsidR="00744544" w:rsidRPr="00A66C9F" w:rsidRDefault="00744544" w:rsidP="00107D5D">
            <w:pPr>
              <w:suppressAutoHyphens/>
              <w:spacing w:before="81" w:after="81" w:line="160" w:lineRule="exact"/>
              <w:ind w:right="43"/>
              <w:rPr>
                <w:i/>
                <w:sz w:val="14"/>
                <w:lang w:val="fr-FR"/>
              </w:rPr>
            </w:pPr>
          </w:p>
        </w:tc>
        <w:tc>
          <w:tcPr>
            <w:tcW w:w="900" w:type="dxa"/>
            <w:tcBorders>
              <w:top w:val="single" w:sz="4" w:space="0" w:color="auto"/>
              <w:bottom w:val="single" w:sz="12" w:space="0" w:color="auto"/>
            </w:tcBorders>
            <w:shd w:val="clear" w:color="000000" w:fill="FFFFFF"/>
            <w:noWrap/>
            <w:vAlign w:val="bottom"/>
            <w:hideMark/>
          </w:tcPr>
          <w:p w14:paraId="1A1315FD"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 xml:space="preserve">Caisse </w:t>
            </w:r>
            <w:r w:rsidRPr="00A66C9F">
              <w:rPr>
                <w:i/>
                <w:sz w:val="14"/>
                <w:lang w:val="fr-FR"/>
              </w:rPr>
              <w:br/>
              <w:t>des pensions</w:t>
            </w:r>
          </w:p>
        </w:tc>
        <w:tc>
          <w:tcPr>
            <w:tcW w:w="900" w:type="dxa"/>
            <w:tcBorders>
              <w:top w:val="single" w:sz="4" w:space="0" w:color="auto"/>
              <w:bottom w:val="single" w:sz="12" w:space="0" w:color="auto"/>
            </w:tcBorders>
            <w:shd w:val="clear" w:color="000000" w:fill="FFFFFF"/>
            <w:noWrap/>
            <w:vAlign w:val="bottom"/>
            <w:hideMark/>
          </w:tcPr>
          <w:p w14:paraId="693F5816"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ONU</w:t>
            </w:r>
          </w:p>
        </w:tc>
        <w:tc>
          <w:tcPr>
            <w:tcW w:w="810" w:type="dxa"/>
            <w:tcBorders>
              <w:top w:val="single" w:sz="4" w:space="0" w:color="auto"/>
              <w:bottom w:val="single" w:sz="12" w:space="0" w:color="auto"/>
            </w:tcBorders>
            <w:shd w:val="clear" w:color="000000" w:fill="FFFFFF"/>
            <w:noWrap/>
            <w:vAlign w:val="bottom"/>
            <w:hideMark/>
          </w:tcPr>
          <w:p w14:paraId="3E232147"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Total</w:t>
            </w:r>
          </w:p>
        </w:tc>
        <w:tc>
          <w:tcPr>
            <w:tcW w:w="1080" w:type="dxa"/>
            <w:gridSpan w:val="2"/>
            <w:tcBorders>
              <w:bottom w:val="single" w:sz="12" w:space="0" w:color="auto"/>
            </w:tcBorders>
            <w:shd w:val="clear" w:color="000000" w:fill="FFFFFF"/>
            <w:noWrap/>
            <w:vAlign w:val="bottom"/>
            <w:hideMark/>
          </w:tcPr>
          <w:p w14:paraId="64C0801A"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 xml:space="preserve">Caisse </w:t>
            </w:r>
            <w:r w:rsidRPr="00A66C9F">
              <w:rPr>
                <w:i/>
                <w:sz w:val="14"/>
                <w:lang w:val="fr-FR"/>
              </w:rPr>
              <w:br/>
              <w:t>des pensions</w:t>
            </w:r>
          </w:p>
        </w:tc>
        <w:tc>
          <w:tcPr>
            <w:tcW w:w="810" w:type="dxa"/>
            <w:tcBorders>
              <w:bottom w:val="single" w:sz="12" w:space="0" w:color="auto"/>
            </w:tcBorders>
            <w:shd w:val="clear" w:color="000000" w:fill="FFFFFF"/>
            <w:noWrap/>
            <w:vAlign w:val="bottom"/>
            <w:hideMark/>
          </w:tcPr>
          <w:p w14:paraId="47FF4115"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ONU</w:t>
            </w:r>
          </w:p>
        </w:tc>
        <w:tc>
          <w:tcPr>
            <w:tcW w:w="900" w:type="dxa"/>
            <w:tcBorders>
              <w:bottom w:val="single" w:sz="12" w:space="0" w:color="auto"/>
            </w:tcBorders>
            <w:shd w:val="clear" w:color="000000" w:fill="FFFFFF"/>
            <w:noWrap/>
            <w:vAlign w:val="bottom"/>
            <w:hideMark/>
          </w:tcPr>
          <w:p w14:paraId="2670A217"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Total</w:t>
            </w:r>
          </w:p>
        </w:tc>
        <w:tc>
          <w:tcPr>
            <w:tcW w:w="900" w:type="dxa"/>
            <w:gridSpan w:val="2"/>
            <w:tcBorders>
              <w:bottom w:val="single" w:sz="12" w:space="0" w:color="auto"/>
            </w:tcBorders>
            <w:shd w:val="clear" w:color="000000" w:fill="FFFFFF"/>
            <w:noWrap/>
            <w:vAlign w:val="bottom"/>
            <w:hideMark/>
          </w:tcPr>
          <w:p w14:paraId="4A070F91"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 xml:space="preserve">Caisse </w:t>
            </w:r>
            <w:r w:rsidRPr="00A66C9F">
              <w:rPr>
                <w:i/>
                <w:sz w:val="14"/>
                <w:lang w:val="fr-FR"/>
              </w:rPr>
              <w:br/>
              <w:t>des pensions</w:t>
            </w:r>
          </w:p>
        </w:tc>
        <w:tc>
          <w:tcPr>
            <w:tcW w:w="900" w:type="dxa"/>
            <w:tcBorders>
              <w:bottom w:val="single" w:sz="12" w:space="0" w:color="auto"/>
            </w:tcBorders>
            <w:shd w:val="clear" w:color="000000" w:fill="FFFFFF"/>
            <w:noWrap/>
            <w:vAlign w:val="bottom"/>
            <w:hideMark/>
          </w:tcPr>
          <w:p w14:paraId="0BED04E5"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ONU</w:t>
            </w:r>
          </w:p>
        </w:tc>
        <w:tc>
          <w:tcPr>
            <w:tcW w:w="900" w:type="dxa"/>
            <w:tcBorders>
              <w:bottom w:val="single" w:sz="12" w:space="0" w:color="auto"/>
            </w:tcBorders>
            <w:shd w:val="clear" w:color="000000" w:fill="FFFFFF"/>
            <w:noWrap/>
            <w:vAlign w:val="bottom"/>
            <w:hideMark/>
          </w:tcPr>
          <w:p w14:paraId="1EE18927"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Total</w:t>
            </w:r>
          </w:p>
        </w:tc>
        <w:tc>
          <w:tcPr>
            <w:tcW w:w="860" w:type="dxa"/>
            <w:tcBorders>
              <w:bottom w:val="single" w:sz="12" w:space="0" w:color="auto"/>
            </w:tcBorders>
            <w:shd w:val="clear" w:color="000000" w:fill="FFFFFF"/>
            <w:noWrap/>
            <w:vAlign w:val="bottom"/>
          </w:tcPr>
          <w:p w14:paraId="4D576D57"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Pourcentage</w:t>
            </w:r>
          </w:p>
        </w:tc>
      </w:tr>
      <w:tr w:rsidR="00744544" w:rsidRPr="00A66C9F" w14:paraId="5DFD060D" w14:textId="77777777" w:rsidTr="00107D5D">
        <w:trPr>
          <w:cantSplit/>
          <w:trHeight w:hRule="exact" w:val="115"/>
          <w:tblHeader/>
        </w:trPr>
        <w:tc>
          <w:tcPr>
            <w:tcW w:w="180" w:type="dxa"/>
            <w:tcBorders>
              <w:top w:val="single" w:sz="12" w:space="0" w:color="auto"/>
            </w:tcBorders>
            <w:shd w:val="clear" w:color="000000" w:fill="FFFFFF"/>
            <w:noWrap/>
            <w:vAlign w:val="bottom"/>
          </w:tcPr>
          <w:p w14:paraId="65601B8C" w14:textId="77777777" w:rsidR="00744544" w:rsidRPr="00A66C9F" w:rsidRDefault="00744544" w:rsidP="00107D5D">
            <w:pPr>
              <w:suppressAutoHyphens/>
              <w:spacing w:before="40" w:after="40" w:line="210" w:lineRule="exact"/>
              <w:ind w:right="40"/>
              <w:rPr>
                <w:sz w:val="17"/>
                <w:lang w:val="fr-FR"/>
              </w:rPr>
            </w:pPr>
          </w:p>
        </w:tc>
        <w:tc>
          <w:tcPr>
            <w:tcW w:w="3960" w:type="dxa"/>
            <w:tcBorders>
              <w:top w:val="single" w:sz="12" w:space="0" w:color="auto"/>
            </w:tcBorders>
            <w:shd w:val="clear" w:color="000000" w:fill="FFFFFF"/>
            <w:noWrap/>
            <w:vAlign w:val="bottom"/>
          </w:tcPr>
          <w:p w14:paraId="330DB47C" w14:textId="77777777" w:rsidR="00744544" w:rsidRPr="00A66C9F" w:rsidRDefault="00744544" w:rsidP="00107D5D">
            <w:pPr>
              <w:suppressAutoHyphens/>
              <w:spacing w:before="40" w:after="40" w:line="210" w:lineRule="exact"/>
              <w:ind w:right="43"/>
              <w:rPr>
                <w:sz w:val="17"/>
                <w:lang w:val="fr-FR"/>
              </w:rPr>
            </w:pPr>
          </w:p>
        </w:tc>
        <w:tc>
          <w:tcPr>
            <w:tcW w:w="900" w:type="dxa"/>
            <w:tcBorders>
              <w:top w:val="single" w:sz="12" w:space="0" w:color="auto"/>
            </w:tcBorders>
            <w:shd w:val="clear" w:color="000000" w:fill="FFFFFF"/>
            <w:noWrap/>
            <w:vAlign w:val="bottom"/>
          </w:tcPr>
          <w:p w14:paraId="2FD1BEBB" w14:textId="77777777" w:rsidR="00744544" w:rsidRPr="00A66C9F" w:rsidRDefault="00744544" w:rsidP="00107D5D">
            <w:pPr>
              <w:suppressAutoHyphens/>
              <w:spacing w:before="40" w:after="40" w:line="210" w:lineRule="exact"/>
              <w:ind w:right="43"/>
              <w:jc w:val="right"/>
              <w:rPr>
                <w:sz w:val="17"/>
                <w:lang w:val="fr-FR"/>
              </w:rPr>
            </w:pPr>
          </w:p>
        </w:tc>
        <w:tc>
          <w:tcPr>
            <w:tcW w:w="900" w:type="dxa"/>
            <w:tcBorders>
              <w:top w:val="single" w:sz="12" w:space="0" w:color="auto"/>
            </w:tcBorders>
            <w:shd w:val="clear" w:color="000000" w:fill="FFFFFF"/>
            <w:noWrap/>
            <w:vAlign w:val="bottom"/>
          </w:tcPr>
          <w:p w14:paraId="1C8EE2EE" w14:textId="77777777" w:rsidR="00744544" w:rsidRPr="00A66C9F" w:rsidRDefault="00744544" w:rsidP="00107D5D">
            <w:pPr>
              <w:suppressAutoHyphens/>
              <w:spacing w:before="40" w:after="40" w:line="210" w:lineRule="exact"/>
              <w:ind w:right="43"/>
              <w:jc w:val="right"/>
              <w:rPr>
                <w:sz w:val="17"/>
                <w:lang w:val="fr-FR"/>
              </w:rPr>
            </w:pPr>
          </w:p>
        </w:tc>
        <w:tc>
          <w:tcPr>
            <w:tcW w:w="810" w:type="dxa"/>
            <w:tcBorders>
              <w:top w:val="single" w:sz="12" w:space="0" w:color="auto"/>
            </w:tcBorders>
            <w:shd w:val="clear" w:color="000000" w:fill="FFFFFF"/>
            <w:noWrap/>
            <w:vAlign w:val="bottom"/>
          </w:tcPr>
          <w:p w14:paraId="30A47384" w14:textId="77777777" w:rsidR="00744544" w:rsidRPr="00A66C9F" w:rsidRDefault="00744544" w:rsidP="00107D5D">
            <w:pPr>
              <w:suppressAutoHyphens/>
              <w:spacing w:before="40" w:after="40" w:line="210" w:lineRule="exact"/>
              <w:ind w:right="43"/>
              <w:jc w:val="right"/>
              <w:rPr>
                <w:sz w:val="17"/>
                <w:lang w:val="fr-FR"/>
              </w:rPr>
            </w:pPr>
          </w:p>
        </w:tc>
        <w:tc>
          <w:tcPr>
            <w:tcW w:w="1080" w:type="dxa"/>
            <w:gridSpan w:val="2"/>
            <w:tcBorders>
              <w:top w:val="single" w:sz="12" w:space="0" w:color="auto"/>
            </w:tcBorders>
            <w:shd w:val="clear" w:color="000000" w:fill="FFFFFF"/>
            <w:noWrap/>
            <w:vAlign w:val="bottom"/>
          </w:tcPr>
          <w:p w14:paraId="2FF06B7E" w14:textId="77777777" w:rsidR="00744544" w:rsidRPr="00A66C9F" w:rsidRDefault="00744544" w:rsidP="00107D5D">
            <w:pPr>
              <w:suppressAutoHyphens/>
              <w:spacing w:before="40" w:after="40" w:line="210" w:lineRule="exact"/>
              <w:ind w:right="43"/>
              <w:jc w:val="right"/>
              <w:rPr>
                <w:sz w:val="17"/>
                <w:lang w:val="fr-FR"/>
              </w:rPr>
            </w:pPr>
          </w:p>
        </w:tc>
        <w:tc>
          <w:tcPr>
            <w:tcW w:w="810" w:type="dxa"/>
            <w:tcBorders>
              <w:top w:val="single" w:sz="12" w:space="0" w:color="auto"/>
            </w:tcBorders>
            <w:shd w:val="clear" w:color="000000" w:fill="FFFFFF"/>
            <w:noWrap/>
            <w:vAlign w:val="bottom"/>
          </w:tcPr>
          <w:p w14:paraId="355880C3" w14:textId="77777777" w:rsidR="00744544" w:rsidRPr="00A66C9F" w:rsidRDefault="00744544" w:rsidP="00107D5D">
            <w:pPr>
              <w:suppressAutoHyphens/>
              <w:spacing w:before="40" w:after="40" w:line="210" w:lineRule="exact"/>
              <w:ind w:right="43"/>
              <w:jc w:val="right"/>
              <w:rPr>
                <w:sz w:val="17"/>
                <w:lang w:val="fr-FR"/>
              </w:rPr>
            </w:pPr>
          </w:p>
        </w:tc>
        <w:tc>
          <w:tcPr>
            <w:tcW w:w="900" w:type="dxa"/>
            <w:tcBorders>
              <w:top w:val="single" w:sz="12" w:space="0" w:color="auto"/>
            </w:tcBorders>
            <w:shd w:val="clear" w:color="000000" w:fill="FFFFFF"/>
            <w:noWrap/>
            <w:vAlign w:val="bottom"/>
          </w:tcPr>
          <w:p w14:paraId="1F509754" w14:textId="77777777" w:rsidR="00744544" w:rsidRPr="00A66C9F" w:rsidRDefault="00744544" w:rsidP="00107D5D">
            <w:pPr>
              <w:suppressAutoHyphens/>
              <w:spacing w:before="40" w:after="40" w:line="210" w:lineRule="exact"/>
              <w:ind w:right="43"/>
              <w:jc w:val="right"/>
              <w:rPr>
                <w:sz w:val="17"/>
                <w:lang w:val="fr-FR"/>
              </w:rPr>
            </w:pPr>
          </w:p>
        </w:tc>
        <w:tc>
          <w:tcPr>
            <w:tcW w:w="900" w:type="dxa"/>
            <w:gridSpan w:val="2"/>
            <w:tcBorders>
              <w:top w:val="single" w:sz="12" w:space="0" w:color="auto"/>
            </w:tcBorders>
            <w:shd w:val="clear" w:color="000000" w:fill="FFFFFF"/>
            <w:noWrap/>
            <w:vAlign w:val="bottom"/>
          </w:tcPr>
          <w:p w14:paraId="71CA26DD" w14:textId="77777777" w:rsidR="00744544" w:rsidRPr="00A66C9F" w:rsidRDefault="00744544" w:rsidP="00107D5D">
            <w:pPr>
              <w:suppressAutoHyphens/>
              <w:spacing w:before="40" w:after="40" w:line="210" w:lineRule="exact"/>
              <w:ind w:right="43"/>
              <w:jc w:val="right"/>
              <w:rPr>
                <w:sz w:val="17"/>
                <w:lang w:val="fr-FR"/>
              </w:rPr>
            </w:pPr>
          </w:p>
        </w:tc>
        <w:tc>
          <w:tcPr>
            <w:tcW w:w="900" w:type="dxa"/>
            <w:tcBorders>
              <w:top w:val="single" w:sz="12" w:space="0" w:color="auto"/>
            </w:tcBorders>
            <w:shd w:val="clear" w:color="000000" w:fill="FFFFFF"/>
            <w:noWrap/>
            <w:vAlign w:val="bottom"/>
          </w:tcPr>
          <w:p w14:paraId="7341D2B6" w14:textId="77777777" w:rsidR="00744544" w:rsidRPr="00A66C9F" w:rsidRDefault="00744544" w:rsidP="00107D5D">
            <w:pPr>
              <w:suppressAutoHyphens/>
              <w:spacing w:before="40" w:after="40" w:line="210" w:lineRule="exact"/>
              <w:ind w:right="43"/>
              <w:jc w:val="right"/>
              <w:rPr>
                <w:sz w:val="17"/>
                <w:lang w:val="fr-FR"/>
              </w:rPr>
            </w:pPr>
          </w:p>
        </w:tc>
        <w:tc>
          <w:tcPr>
            <w:tcW w:w="900" w:type="dxa"/>
            <w:tcBorders>
              <w:top w:val="single" w:sz="12" w:space="0" w:color="auto"/>
            </w:tcBorders>
            <w:shd w:val="clear" w:color="000000" w:fill="FFFFFF"/>
            <w:noWrap/>
            <w:vAlign w:val="bottom"/>
          </w:tcPr>
          <w:p w14:paraId="3F3D75A5" w14:textId="77777777" w:rsidR="00744544" w:rsidRPr="00A66C9F" w:rsidRDefault="00744544" w:rsidP="00107D5D">
            <w:pPr>
              <w:suppressAutoHyphens/>
              <w:spacing w:before="40" w:after="40" w:line="210" w:lineRule="exact"/>
              <w:ind w:right="43"/>
              <w:jc w:val="right"/>
              <w:rPr>
                <w:sz w:val="17"/>
                <w:lang w:val="fr-FR"/>
              </w:rPr>
            </w:pPr>
          </w:p>
        </w:tc>
        <w:tc>
          <w:tcPr>
            <w:tcW w:w="860" w:type="dxa"/>
            <w:tcBorders>
              <w:top w:val="single" w:sz="12" w:space="0" w:color="auto"/>
            </w:tcBorders>
            <w:shd w:val="clear" w:color="000000" w:fill="FFFFFF"/>
            <w:noWrap/>
            <w:vAlign w:val="bottom"/>
          </w:tcPr>
          <w:p w14:paraId="33D71994" w14:textId="77777777" w:rsidR="00744544" w:rsidRPr="00A66C9F" w:rsidRDefault="00744544" w:rsidP="00107D5D">
            <w:pPr>
              <w:suppressAutoHyphens/>
              <w:spacing w:before="40" w:after="40" w:line="210" w:lineRule="exact"/>
              <w:ind w:right="43"/>
              <w:jc w:val="right"/>
              <w:rPr>
                <w:sz w:val="17"/>
                <w:lang w:val="fr-FR"/>
              </w:rPr>
            </w:pPr>
          </w:p>
        </w:tc>
      </w:tr>
      <w:tr w:rsidR="00744544" w:rsidRPr="00A66C9F" w14:paraId="01A7EA42" w14:textId="77777777" w:rsidTr="00107D5D">
        <w:trPr>
          <w:cantSplit/>
        </w:trPr>
        <w:tc>
          <w:tcPr>
            <w:tcW w:w="5040" w:type="dxa"/>
            <w:gridSpan w:val="3"/>
            <w:shd w:val="clear" w:color="000000" w:fill="FFFFFF"/>
            <w:noWrap/>
            <w:vAlign w:val="bottom"/>
          </w:tcPr>
          <w:p w14:paraId="4EDDFEE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rPr>
                <w:sz w:val="17"/>
                <w:lang w:val="fr-FR"/>
              </w:rPr>
            </w:pPr>
            <w:r w:rsidRPr="00A66C9F">
              <w:rPr>
                <w:b/>
                <w:bCs/>
                <w:sz w:val="17"/>
                <w:lang w:val="fr-FR"/>
              </w:rPr>
              <w:t>C.</w:t>
            </w:r>
            <w:r w:rsidRPr="00A66C9F">
              <w:rPr>
                <w:b/>
                <w:bCs/>
                <w:sz w:val="17"/>
                <w:lang w:val="fr-FR"/>
              </w:rPr>
              <w:tab/>
              <w:t xml:space="preserve">Audit </w:t>
            </w:r>
          </w:p>
        </w:tc>
        <w:tc>
          <w:tcPr>
            <w:tcW w:w="900" w:type="dxa"/>
            <w:shd w:val="clear" w:color="000000" w:fill="FFFFFF"/>
            <w:noWrap/>
            <w:vAlign w:val="bottom"/>
            <w:hideMark/>
          </w:tcPr>
          <w:p w14:paraId="3588F07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w:t>
            </w:r>
          </w:p>
        </w:tc>
        <w:tc>
          <w:tcPr>
            <w:tcW w:w="810" w:type="dxa"/>
            <w:shd w:val="clear" w:color="000000" w:fill="FFFFFF"/>
            <w:noWrap/>
            <w:vAlign w:val="bottom"/>
            <w:hideMark/>
          </w:tcPr>
          <w:p w14:paraId="617E959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w:t>
            </w:r>
          </w:p>
        </w:tc>
        <w:tc>
          <w:tcPr>
            <w:tcW w:w="1080" w:type="dxa"/>
            <w:gridSpan w:val="2"/>
            <w:shd w:val="clear" w:color="000000" w:fill="FFFFFF"/>
            <w:noWrap/>
            <w:vAlign w:val="bottom"/>
            <w:hideMark/>
          </w:tcPr>
          <w:p w14:paraId="503DCC2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w:t>
            </w:r>
          </w:p>
        </w:tc>
        <w:tc>
          <w:tcPr>
            <w:tcW w:w="810" w:type="dxa"/>
            <w:shd w:val="clear" w:color="000000" w:fill="FFFFFF"/>
            <w:noWrap/>
            <w:vAlign w:val="bottom"/>
            <w:hideMark/>
          </w:tcPr>
          <w:p w14:paraId="6DCE99A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w:t>
            </w:r>
          </w:p>
        </w:tc>
        <w:tc>
          <w:tcPr>
            <w:tcW w:w="900" w:type="dxa"/>
            <w:shd w:val="clear" w:color="000000" w:fill="FFFFFF"/>
            <w:noWrap/>
            <w:vAlign w:val="bottom"/>
            <w:hideMark/>
          </w:tcPr>
          <w:p w14:paraId="29E9D4E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w:t>
            </w:r>
          </w:p>
        </w:tc>
        <w:tc>
          <w:tcPr>
            <w:tcW w:w="900" w:type="dxa"/>
            <w:gridSpan w:val="2"/>
            <w:shd w:val="clear" w:color="000000" w:fill="FFFFFF"/>
            <w:noWrap/>
            <w:vAlign w:val="bottom"/>
            <w:hideMark/>
          </w:tcPr>
          <w:p w14:paraId="0A99094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w:t>
            </w:r>
          </w:p>
        </w:tc>
        <w:tc>
          <w:tcPr>
            <w:tcW w:w="900" w:type="dxa"/>
            <w:shd w:val="clear" w:color="000000" w:fill="FFFFFF"/>
            <w:noWrap/>
            <w:vAlign w:val="bottom"/>
            <w:hideMark/>
          </w:tcPr>
          <w:p w14:paraId="2C0558C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w:t>
            </w:r>
          </w:p>
        </w:tc>
        <w:tc>
          <w:tcPr>
            <w:tcW w:w="900" w:type="dxa"/>
            <w:shd w:val="clear" w:color="000000" w:fill="FFFFFF"/>
            <w:noWrap/>
            <w:vAlign w:val="bottom"/>
            <w:hideMark/>
          </w:tcPr>
          <w:p w14:paraId="642AE94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w:t>
            </w:r>
          </w:p>
        </w:tc>
        <w:tc>
          <w:tcPr>
            <w:tcW w:w="860" w:type="dxa"/>
            <w:shd w:val="clear" w:color="000000" w:fill="FFFFFF"/>
            <w:noWrap/>
            <w:vAlign w:val="bottom"/>
          </w:tcPr>
          <w:p w14:paraId="5D43809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p>
        </w:tc>
      </w:tr>
      <w:tr w:rsidR="00744544" w:rsidRPr="00A66C9F" w14:paraId="76D2FC72" w14:textId="77777777" w:rsidTr="00107D5D">
        <w:trPr>
          <w:cantSplit/>
        </w:trPr>
        <w:tc>
          <w:tcPr>
            <w:tcW w:w="4140" w:type="dxa"/>
            <w:gridSpan w:val="2"/>
            <w:shd w:val="clear" w:color="000000" w:fill="FFFFFF"/>
            <w:noWrap/>
            <w:vAlign w:val="bottom"/>
            <w:hideMark/>
          </w:tcPr>
          <w:p w14:paraId="21D2A69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ab/>
              <w:t>Audit externe</w:t>
            </w:r>
          </w:p>
        </w:tc>
        <w:tc>
          <w:tcPr>
            <w:tcW w:w="900" w:type="dxa"/>
            <w:shd w:val="clear" w:color="000000" w:fill="FFFFFF"/>
            <w:noWrap/>
            <w:vAlign w:val="bottom"/>
            <w:hideMark/>
          </w:tcPr>
          <w:p w14:paraId="294CD22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327,7</w:t>
            </w:r>
          </w:p>
        </w:tc>
        <w:tc>
          <w:tcPr>
            <w:tcW w:w="900" w:type="dxa"/>
            <w:shd w:val="clear" w:color="000000" w:fill="FFFFFF"/>
            <w:noWrap/>
            <w:vAlign w:val="bottom"/>
            <w:hideMark/>
          </w:tcPr>
          <w:p w14:paraId="03281B5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65,6</w:t>
            </w:r>
          </w:p>
        </w:tc>
        <w:tc>
          <w:tcPr>
            <w:tcW w:w="810" w:type="dxa"/>
            <w:shd w:val="clear" w:color="000000" w:fill="FFFFFF"/>
            <w:noWrap/>
            <w:vAlign w:val="bottom"/>
            <w:hideMark/>
          </w:tcPr>
          <w:p w14:paraId="34ACEA8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393,3</w:t>
            </w:r>
          </w:p>
        </w:tc>
        <w:tc>
          <w:tcPr>
            <w:tcW w:w="1080" w:type="dxa"/>
            <w:gridSpan w:val="2"/>
            <w:shd w:val="clear" w:color="000000" w:fill="FFFFFF"/>
            <w:noWrap/>
            <w:vAlign w:val="bottom"/>
            <w:hideMark/>
          </w:tcPr>
          <w:p w14:paraId="68ACFA3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327,7</w:t>
            </w:r>
          </w:p>
        </w:tc>
        <w:tc>
          <w:tcPr>
            <w:tcW w:w="810" w:type="dxa"/>
            <w:shd w:val="clear" w:color="000000" w:fill="FFFFFF"/>
            <w:noWrap/>
            <w:vAlign w:val="bottom"/>
            <w:hideMark/>
          </w:tcPr>
          <w:p w14:paraId="4F07202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65,5</w:t>
            </w:r>
          </w:p>
        </w:tc>
        <w:tc>
          <w:tcPr>
            <w:tcW w:w="900" w:type="dxa"/>
            <w:shd w:val="clear" w:color="000000" w:fill="FFFFFF"/>
            <w:noWrap/>
            <w:vAlign w:val="bottom"/>
            <w:hideMark/>
          </w:tcPr>
          <w:p w14:paraId="5F693B0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393,2</w:t>
            </w:r>
          </w:p>
        </w:tc>
        <w:tc>
          <w:tcPr>
            <w:tcW w:w="900" w:type="dxa"/>
            <w:gridSpan w:val="2"/>
            <w:shd w:val="clear" w:color="000000" w:fill="FFFFFF"/>
            <w:noWrap/>
            <w:vAlign w:val="bottom"/>
            <w:hideMark/>
          </w:tcPr>
          <w:p w14:paraId="6309701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w:t>
            </w:r>
          </w:p>
        </w:tc>
        <w:tc>
          <w:tcPr>
            <w:tcW w:w="900" w:type="dxa"/>
            <w:shd w:val="clear" w:color="000000" w:fill="FFFFFF"/>
            <w:noWrap/>
            <w:vAlign w:val="bottom"/>
            <w:hideMark/>
          </w:tcPr>
          <w:p w14:paraId="7C1E6E0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(0,1)</w:t>
            </w:r>
          </w:p>
        </w:tc>
        <w:tc>
          <w:tcPr>
            <w:tcW w:w="900" w:type="dxa"/>
            <w:shd w:val="clear" w:color="000000" w:fill="FFFFFF"/>
            <w:noWrap/>
            <w:vAlign w:val="bottom"/>
            <w:hideMark/>
          </w:tcPr>
          <w:p w14:paraId="366F376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(0,1)</w:t>
            </w:r>
          </w:p>
        </w:tc>
        <w:tc>
          <w:tcPr>
            <w:tcW w:w="860" w:type="dxa"/>
            <w:shd w:val="clear" w:color="000000" w:fill="FFFFFF"/>
            <w:noWrap/>
            <w:vAlign w:val="bottom"/>
          </w:tcPr>
          <w:p w14:paraId="63ACCA1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(0)</w:t>
            </w:r>
          </w:p>
        </w:tc>
      </w:tr>
      <w:tr w:rsidR="00744544" w:rsidRPr="00A66C9F" w14:paraId="18940D64" w14:textId="77777777" w:rsidTr="00107D5D">
        <w:trPr>
          <w:cantSplit/>
        </w:trPr>
        <w:tc>
          <w:tcPr>
            <w:tcW w:w="4140" w:type="dxa"/>
            <w:gridSpan w:val="2"/>
            <w:tcBorders>
              <w:bottom w:val="single" w:sz="4" w:space="0" w:color="auto"/>
            </w:tcBorders>
            <w:shd w:val="clear" w:color="000000" w:fill="FFFFFF"/>
            <w:noWrap/>
            <w:vAlign w:val="bottom"/>
            <w:hideMark/>
          </w:tcPr>
          <w:p w14:paraId="172BA4EB" w14:textId="77777777" w:rsidR="00744544" w:rsidRPr="00A66C9F" w:rsidRDefault="00744544" w:rsidP="00107D5D">
            <w:pPr>
              <w:tabs>
                <w:tab w:val="left" w:pos="288"/>
                <w:tab w:val="left" w:pos="576"/>
                <w:tab w:val="left" w:pos="864"/>
                <w:tab w:val="left" w:pos="1152"/>
              </w:tabs>
              <w:suppressAutoHyphens/>
              <w:spacing w:before="40" w:after="81" w:line="210" w:lineRule="exact"/>
              <w:ind w:right="40"/>
              <w:rPr>
                <w:sz w:val="17"/>
                <w:lang w:val="fr-FR"/>
              </w:rPr>
            </w:pPr>
            <w:r w:rsidRPr="00A66C9F">
              <w:rPr>
                <w:sz w:val="17"/>
                <w:lang w:val="fr-FR"/>
              </w:rPr>
              <w:tab/>
              <w:t>Audit interne</w:t>
            </w:r>
          </w:p>
        </w:tc>
        <w:tc>
          <w:tcPr>
            <w:tcW w:w="900" w:type="dxa"/>
            <w:tcBorders>
              <w:bottom w:val="single" w:sz="4" w:space="0" w:color="auto"/>
            </w:tcBorders>
            <w:shd w:val="clear" w:color="000000" w:fill="FFFFFF"/>
            <w:noWrap/>
            <w:vAlign w:val="bottom"/>
            <w:hideMark/>
          </w:tcPr>
          <w:p w14:paraId="00627676"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1 125,3 </w:t>
            </w:r>
          </w:p>
        </w:tc>
        <w:tc>
          <w:tcPr>
            <w:tcW w:w="900" w:type="dxa"/>
            <w:tcBorders>
              <w:bottom w:val="single" w:sz="4" w:space="0" w:color="auto"/>
            </w:tcBorders>
            <w:shd w:val="clear" w:color="000000" w:fill="FFFFFF"/>
            <w:noWrap/>
            <w:vAlign w:val="bottom"/>
            <w:hideMark/>
          </w:tcPr>
          <w:p w14:paraId="5C672AFD"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225,1</w:t>
            </w:r>
          </w:p>
        </w:tc>
        <w:tc>
          <w:tcPr>
            <w:tcW w:w="810" w:type="dxa"/>
            <w:tcBorders>
              <w:bottom w:val="single" w:sz="4" w:space="0" w:color="auto"/>
            </w:tcBorders>
            <w:shd w:val="clear" w:color="000000" w:fill="FFFFFF"/>
            <w:noWrap/>
            <w:vAlign w:val="bottom"/>
            <w:hideMark/>
          </w:tcPr>
          <w:p w14:paraId="7CE9067F"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1 350,4 </w:t>
            </w:r>
          </w:p>
        </w:tc>
        <w:tc>
          <w:tcPr>
            <w:tcW w:w="1080" w:type="dxa"/>
            <w:gridSpan w:val="2"/>
            <w:tcBorders>
              <w:bottom w:val="single" w:sz="4" w:space="0" w:color="auto"/>
            </w:tcBorders>
            <w:shd w:val="clear" w:color="000000" w:fill="FFFFFF"/>
            <w:noWrap/>
            <w:vAlign w:val="bottom"/>
            <w:hideMark/>
          </w:tcPr>
          <w:p w14:paraId="12AB3585"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1 030,9 </w:t>
            </w:r>
          </w:p>
        </w:tc>
        <w:tc>
          <w:tcPr>
            <w:tcW w:w="810" w:type="dxa"/>
            <w:tcBorders>
              <w:bottom w:val="single" w:sz="4" w:space="0" w:color="auto"/>
            </w:tcBorders>
            <w:shd w:val="clear" w:color="000000" w:fill="FFFFFF"/>
            <w:noWrap/>
            <w:vAlign w:val="bottom"/>
            <w:hideMark/>
          </w:tcPr>
          <w:p w14:paraId="4D30DAB3"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206,1</w:t>
            </w:r>
          </w:p>
        </w:tc>
        <w:tc>
          <w:tcPr>
            <w:tcW w:w="900" w:type="dxa"/>
            <w:tcBorders>
              <w:bottom w:val="single" w:sz="4" w:space="0" w:color="auto"/>
            </w:tcBorders>
            <w:shd w:val="clear" w:color="000000" w:fill="FFFFFF"/>
            <w:noWrap/>
            <w:vAlign w:val="bottom"/>
            <w:hideMark/>
          </w:tcPr>
          <w:p w14:paraId="6642E562"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1 237,0 </w:t>
            </w:r>
          </w:p>
        </w:tc>
        <w:tc>
          <w:tcPr>
            <w:tcW w:w="900" w:type="dxa"/>
            <w:gridSpan w:val="2"/>
            <w:tcBorders>
              <w:bottom w:val="single" w:sz="4" w:space="0" w:color="auto"/>
            </w:tcBorders>
            <w:shd w:val="clear" w:color="000000" w:fill="FFFFFF"/>
            <w:noWrap/>
            <w:vAlign w:val="bottom"/>
            <w:hideMark/>
          </w:tcPr>
          <w:p w14:paraId="2F66D112"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(94,4)</w:t>
            </w:r>
          </w:p>
        </w:tc>
        <w:tc>
          <w:tcPr>
            <w:tcW w:w="900" w:type="dxa"/>
            <w:tcBorders>
              <w:bottom w:val="single" w:sz="4" w:space="0" w:color="auto"/>
            </w:tcBorders>
            <w:shd w:val="clear" w:color="000000" w:fill="FFFFFF"/>
            <w:noWrap/>
            <w:vAlign w:val="bottom"/>
            <w:hideMark/>
          </w:tcPr>
          <w:p w14:paraId="166F6BAB"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(19,0)</w:t>
            </w:r>
          </w:p>
        </w:tc>
        <w:tc>
          <w:tcPr>
            <w:tcW w:w="900" w:type="dxa"/>
            <w:tcBorders>
              <w:bottom w:val="single" w:sz="4" w:space="0" w:color="auto"/>
            </w:tcBorders>
            <w:shd w:val="clear" w:color="000000" w:fill="FFFFFF"/>
            <w:noWrap/>
            <w:vAlign w:val="bottom"/>
            <w:hideMark/>
          </w:tcPr>
          <w:p w14:paraId="4B824794"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(113,4)</w:t>
            </w:r>
          </w:p>
        </w:tc>
        <w:tc>
          <w:tcPr>
            <w:tcW w:w="860" w:type="dxa"/>
            <w:tcBorders>
              <w:bottom w:val="single" w:sz="4" w:space="0" w:color="auto"/>
            </w:tcBorders>
            <w:shd w:val="clear" w:color="000000" w:fill="FFFFFF"/>
            <w:noWrap/>
            <w:vAlign w:val="bottom"/>
          </w:tcPr>
          <w:p w14:paraId="6000C50A"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(8)</w:t>
            </w:r>
          </w:p>
        </w:tc>
      </w:tr>
      <w:tr w:rsidR="00744544" w:rsidRPr="00A66C9F" w14:paraId="350E29EB" w14:textId="77777777" w:rsidTr="00107D5D">
        <w:trPr>
          <w:cantSplit/>
        </w:trPr>
        <w:tc>
          <w:tcPr>
            <w:tcW w:w="4140" w:type="dxa"/>
            <w:gridSpan w:val="2"/>
            <w:tcBorders>
              <w:top w:val="single" w:sz="4" w:space="0" w:color="auto"/>
              <w:bottom w:val="single" w:sz="4" w:space="0" w:color="auto"/>
            </w:tcBorders>
            <w:shd w:val="clear" w:color="000000" w:fill="FFFFFF"/>
            <w:noWrap/>
            <w:vAlign w:val="bottom"/>
            <w:hideMark/>
          </w:tcPr>
          <w:p w14:paraId="02D2795E" w14:textId="77777777" w:rsidR="00744544" w:rsidRPr="00A66C9F" w:rsidRDefault="00744544" w:rsidP="00107D5D">
            <w:pPr>
              <w:tabs>
                <w:tab w:val="left" w:pos="288"/>
                <w:tab w:val="left" w:pos="576"/>
                <w:tab w:val="left" w:pos="864"/>
                <w:tab w:val="left" w:pos="1152"/>
              </w:tabs>
              <w:suppressAutoHyphens/>
              <w:spacing w:before="81" w:after="81" w:line="210" w:lineRule="exact"/>
              <w:ind w:right="40"/>
              <w:rPr>
                <w:b/>
                <w:sz w:val="17"/>
                <w:lang w:val="fr-FR"/>
              </w:rPr>
            </w:pPr>
            <w:r w:rsidRPr="00A66C9F">
              <w:rPr>
                <w:b/>
                <w:sz w:val="17"/>
                <w:lang w:val="fr-FR"/>
              </w:rPr>
              <w:tab/>
              <w:t>Total partiel</w:t>
            </w:r>
          </w:p>
        </w:tc>
        <w:tc>
          <w:tcPr>
            <w:tcW w:w="900" w:type="dxa"/>
            <w:tcBorders>
              <w:top w:val="single" w:sz="4" w:space="0" w:color="auto"/>
              <w:bottom w:val="single" w:sz="4" w:space="0" w:color="auto"/>
            </w:tcBorders>
            <w:shd w:val="clear" w:color="000000" w:fill="FFFFFF"/>
            <w:noWrap/>
            <w:vAlign w:val="bottom"/>
            <w:hideMark/>
          </w:tcPr>
          <w:p w14:paraId="5F86BBED"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1 453,0 </w:t>
            </w:r>
          </w:p>
        </w:tc>
        <w:tc>
          <w:tcPr>
            <w:tcW w:w="900" w:type="dxa"/>
            <w:tcBorders>
              <w:top w:val="single" w:sz="4" w:space="0" w:color="auto"/>
              <w:bottom w:val="single" w:sz="4" w:space="0" w:color="auto"/>
            </w:tcBorders>
            <w:shd w:val="clear" w:color="000000" w:fill="FFFFFF"/>
            <w:noWrap/>
            <w:vAlign w:val="bottom"/>
            <w:hideMark/>
          </w:tcPr>
          <w:p w14:paraId="4EE45674"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290,7</w:t>
            </w:r>
          </w:p>
        </w:tc>
        <w:tc>
          <w:tcPr>
            <w:tcW w:w="810" w:type="dxa"/>
            <w:tcBorders>
              <w:top w:val="single" w:sz="4" w:space="0" w:color="auto"/>
              <w:bottom w:val="single" w:sz="4" w:space="0" w:color="auto"/>
            </w:tcBorders>
            <w:shd w:val="clear" w:color="000000" w:fill="FFFFFF"/>
            <w:noWrap/>
            <w:vAlign w:val="bottom"/>
            <w:hideMark/>
          </w:tcPr>
          <w:p w14:paraId="28D58B71"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1 743,7 </w:t>
            </w:r>
          </w:p>
        </w:tc>
        <w:tc>
          <w:tcPr>
            <w:tcW w:w="1080" w:type="dxa"/>
            <w:gridSpan w:val="2"/>
            <w:tcBorders>
              <w:top w:val="single" w:sz="4" w:space="0" w:color="auto"/>
              <w:bottom w:val="single" w:sz="4" w:space="0" w:color="auto"/>
            </w:tcBorders>
            <w:shd w:val="clear" w:color="000000" w:fill="FFFFFF"/>
            <w:noWrap/>
            <w:vAlign w:val="bottom"/>
            <w:hideMark/>
          </w:tcPr>
          <w:p w14:paraId="235325B9"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1 358,6 </w:t>
            </w:r>
          </w:p>
        </w:tc>
        <w:tc>
          <w:tcPr>
            <w:tcW w:w="810" w:type="dxa"/>
            <w:tcBorders>
              <w:top w:val="single" w:sz="4" w:space="0" w:color="auto"/>
              <w:bottom w:val="single" w:sz="4" w:space="0" w:color="auto"/>
            </w:tcBorders>
            <w:shd w:val="clear" w:color="000000" w:fill="FFFFFF"/>
            <w:noWrap/>
            <w:vAlign w:val="bottom"/>
            <w:hideMark/>
          </w:tcPr>
          <w:p w14:paraId="47DB0279"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271,6</w:t>
            </w:r>
          </w:p>
        </w:tc>
        <w:tc>
          <w:tcPr>
            <w:tcW w:w="900" w:type="dxa"/>
            <w:tcBorders>
              <w:top w:val="single" w:sz="4" w:space="0" w:color="auto"/>
              <w:bottom w:val="single" w:sz="4" w:space="0" w:color="auto"/>
            </w:tcBorders>
            <w:shd w:val="clear" w:color="000000" w:fill="FFFFFF"/>
            <w:noWrap/>
            <w:vAlign w:val="bottom"/>
            <w:hideMark/>
          </w:tcPr>
          <w:p w14:paraId="37FAB4BF"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1 630,2 </w:t>
            </w:r>
          </w:p>
        </w:tc>
        <w:tc>
          <w:tcPr>
            <w:tcW w:w="900" w:type="dxa"/>
            <w:gridSpan w:val="2"/>
            <w:tcBorders>
              <w:top w:val="single" w:sz="4" w:space="0" w:color="auto"/>
              <w:bottom w:val="single" w:sz="4" w:space="0" w:color="auto"/>
            </w:tcBorders>
            <w:shd w:val="clear" w:color="000000" w:fill="FFFFFF"/>
            <w:noWrap/>
            <w:vAlign w:val="bottom"/>
            <w:hideMark/>
          </w:tcPr>
          <w:p w14:paraId="27F4E698"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(94,4)</w:t>
            </w:r>
          </w:p>
        </w:tc>
        <w:tc>
          <w:tcPr>
            <w:tcW w:w="900" w:type="dxa"/>
            <w:tcBorders>
              <w:top w:val="single" w:sz="4" w:space="0" w:color="auto"/>
              <w:bottom w:val="single" w:sz="4" w:space="0" w:color="auto"/>
            </w:tcBorders>
            <w:shd w:val="clear" w:color="000000" w:fill="FFFFFF"/>
            <w:noWrap/>
            <w:vAlign w:val="bottom"/>
            <w:hideMark/>
          </w:tcPr>
          <w:p w14:paraId="793F1B93"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(19,1)</w:t>
            </w:r>
          </w:p>
        </w:tc>
        <w:tc>
          <w:tcPr>
            <w:tcW w:w="900" w:type="dxa"/>
            <w:tcBorders>
              <w:top w:val="single" w:sz="4" w:space="0" w:color="auto"/>
              <w:bottom w:val="single" w:sz="4" w:space="0" w:color="auto"/>
            </w:tcBorders>
            <w:shd w:val="clear" w:color="000000" w:fill="FFFFFF"/>
            <w:noWrap/>
            <w:vAlign w:val="bottom"/>
            <w:hideMark/>
          </w:tcPr>
          <w:p w14:paraId="0511C5C0"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(113,5)</w:t>
            </w:r>
          </w:p>
        </w:tc>
        <w:tc>
          <w:tcPr>
            <w:tcW w:w="860" w:type="dxa"/>
            <w:tcBorders>
              <w:top w:val="single" w:sz="4" w:space="0" w:color="auto"/>
              <w:bottom w:val="single" w:sz="4" w:space="0" w:color="auto"/>
            </w:tcBorders>
            <w:shd w:val="clear" w:color="000000" w:fill="FFFFFF"/>
            <w:noWrap/>
            <w:vAlign w:val="bottom"/>
          </w:tcPr>
          <w:p w14:paraId="15DC073B"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(7)</w:t>
            </w:r>
          </w:p>
        </w:tc>
      </w:tr>
      <w:tr w:rsidR="00744544" w:rsidRPr="00A66C9F" w14:paraId="75DFB2EC" w14:textId="77777777" w:rsidTr="00107D5D">
        <w:trPr>
          <w:cantSplit/>
        </w:trPr>
        <w:tc>
          <w:tcPr>
            <w:tcW w:w="4140" w:type="dxa"/>
            <w:gridSpan w:val="2"/>
            <w:tcBorders>
              <w:top w:val="single" w:sz="4" w:space="0" w:color="auto"/>
              <w:bottom w:val="single" w:sz="4" w:space="0" w:color="auto"/>
            </w:tcBorders>
            <w:shd w:val="clear" w:color="000000" w:fill="FFFFFF"/>
            <w:noWrap/>
            <w:vAlign w:val="bottom"/>
          </w:tcPr>
          <w:p w14:paraId="7B6ADAC8"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rPr>
                <w:b/>
                <w:bCs/>
                <w:sz w:val="17"/>
                <w:lang w:val="fr-FR"/>
              </w:rPr>
            </w:pPr>
            <w:r w:rsidRPr="00A66C9F">
              <w:rPr>
                <w:b/>
                <w:bCs/>
                <w:sz w:val="17"/>
                <w:lang w:val="fr-FR"/>
              </w:rPr>
              <w:t>D.</w:t>
            </w:r>
            <w:r w:rsidRPr="00A66C9F">
              <w:rPr>
                <w:b/>
                <w:bCs/>
                <w:sz w:val="17"/>
                <w:lang w:val="fr-FR"/>
              </w:rPr>
              <w:tab/>
              <w:t>Comité mixte</w:t>
            </w:r>
          </w:p>
        </w:tc>
        <w:tc>
          <w:tcPr>
            <w:tcW w:w="900" w:type="dxa"/>
            <w:tcBorders>
              <w:top w:val="single" w:sz="4" w:space="0" w:color="auto"/>
              <w:bottom w:val="single" w:sz="4" w:space="0" w:color="auto"/>
            </w:tcBorders>
            <w:shd w:val="clear" w:color="000000" w:fill="FFFFFF"/>
            <w:noWrap/>
            <w:vAlign w:val="bottom"/>
          </w:tcPr>
          <w:p w14:paraId="4D58369F"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sz w:val="17"/>
                <w:lang w:val="fr-FR"/>
              </w:rPr>
            </w:pPr>
            <w:r w:rsidRPr="00A66C9F">
              <w:rPr>
                <w:sz w:val="17"/>
                <w:lang w:val="fr-FR"/>
              </w:rPr>
              <w:t xml:space="preserve"> 882,1 </w:t>
            </w:r>
          </w:p>
        </w:tc>
        <w:tc>
          <w:tcPr>
            <w:tcW w:w="900" w:type="dxa"/>
            <w:tcBorders>
              <w:top w:val="single" w:sz="4" w:space="0" w:color="auto"/>
              <w:bottom w:val="single" w:sz="4" w:space="0" w:color="auto"/>
            </w:tcBorders>
            <w:shd w:val="clear" w:color="000000" w:fill="FFFFFF"/>
            <w:noWrap/>
            <w:vAlign w:val="bottom"/>
          </w:tcPr>
          <w:p w14:paraId="4C34574A"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sz w:val="17"/>
                <w:lang w:val="fr-FR"/>
              </w:rPr>
            </w:pPr>
            <w:r w:rsidRPr="00A66C9F">
              <w:rPr>
                <w:sz w:val="17"/>
                <w:lang w:val="fr-FR"/>
              </w:rPr>
              <w:t xml:space="preserve"> –</w:t>
            </w:r>
          </w:p>
        </w:tc>
        <w:tc>
          <w:tcPr>
            <w:tcW w:w="810" w:type="dxa"/>
            <w:tcBorders>
              <w:top w:val="single" w:sz="4" w:space="0" w:color="auto"/>
              <w:bottom w:val="single" w:sz="4" w:space="0" w:color="auto"/>
            </w:tcBorders>
            <w:shd w:val="clear" w:color="000000" w:fill="FFFFFF"/>
            <w:noWrap/>
            <w:vAlign w:val="bottom"/>
          </w:tcPr>
          <w:p w14:paraId="0F059072"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sz w:val="17"/>
                <w:lang w:val="fr-FR"/>
              </w:rPr>
            </w:pPr>
            <w:r w:rsidRPr="00A66C9F">
              <w:rPr>
                <w:sz w:val="17"/>
                <w:lang w:val="fr-FR"/>
              </w:rPr>
              <w:t xml:space="preserve"> 882,1 </w:t>
            </w:r>
          </w:p>
        </w:tc>
        <w:tc>
          <w:tcPr>
            <w:tcW w:w="1080" w:type="dxa"/>
            <w:gridSpan w:val="2"/>
            <w:tcBorders>
              <w:top w:val="single" w:sz="4" w:space="0" w:color="auto"/>
              <w:bottom w:val="single" w:sz="4" w:space="0" w:color="auto"/>
            </w:tcBorders>
            <w:shd w:val="clear" w:color="000000" w:fill="FFFFFF"/>
            <w:noWrap/>
            <w:vAlign w:val="bottom"/>
          </w:tcPr>
          <w:p w14:paraId="638321BB"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sz w:val="17"/>
                <w:lang w:val="fr-FR"/>
              </w:rPr>
            </w:pPr>
            <w:r w:rsidRPr="00A66C9F">
              <w:rPr>
                <w:sz w:val="17"/>
                <w:lang w:val="fr-FR"/>
              </w:rPr>
              <w:t xml:space="preserve"> 676,1 </w:t>
            </w:r>
          </w:p>
        </w:tc>
        <w:tc>
          <w:tcPr>
            <w:tcW w:w="810" w:type="dxa"/>
            <w:tcBorders>
              <w:top w:val="single" w:sz="4" w:space="0" w:color="auto"/>
              <w:bottom w:val="single" w:sz="4" w:space="0" w:color="auto"/>
            </w:tcBorders>
            <w:shd w:val="clear" w:color="000000" w:fill="FFFFFF"/>
            <w:noWrap/>
            <w:vAlign w:val="bottom"/>
          </w:tcPr>
          <w:p w14:paraId="38B1E53E"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sz w:val="17"/>
                <w:lang w:val="fr-FR"/>
              </w:rPr>
            </w:pPr>
            <w:r w:rsidRPr="00A66C9F">
              <w:rPr>
                <w:sz w:val="17"/>
                <w:lang w:val="fr-FR"/>
              </w:rPr>
              <w:t xml:space="preserve"> –</w:t>
            </w:r>
          </w:p>
        </w:tc>
        <w:tc>
          <w:tcPr>
            <w:tcW w:w="900" w:type="dxa"/>
            <w:tcBorders>
              <w:top w:val="single" w:sz="4" w:space="0" w:color="auto"/>
              <w:bottom w:val="single" w:sz="4" w:space="0" w:color="auto"/>
            </w:tcBorders>
            <w:shd w:val="clear" w:color="000000" w:fill="FFFFFF"/>
            <w:noWrap/>
            <w:vAlign w:val="bottom"/>
          </w:tcPr>
          <w:p w14:paraId="1BB43AFE"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sz w:val="17"/>
                <w:lang w:val="fr-FR"/>
              </w:rPr>
            </w:pPr>
            <w:r w:rsidRPr="00A66C9F">
              <w:rPr>
                <w:sz w:val="17"/>
                <w:lang w:val="fr-FR"/>
              </w:rPr>
              <w:t xml:space="preserve"> 676,1 </w:t>
            </w:r>
          </w:p>
        </w:tc>
        <w:tc>
          <w:tcPr>
            <w:tcW w:w="900" w:type="dxa"/>
            <w:gridSpan w:val="2"/>
            <w:tcBorders>
              <w:top w:val="single" w:sz="4" w:space="0" w:color="auto"/>
              <w:bottom w:val="single" w:sz="4" w:space="0" w:color="auto"/>
            </w:tcBorders>
            <w:shd w:val="clear" w:color="000000" w:fill="FFFFFF"/>
            <w:noWrap/>
            <w:vAlign w:val="bottom"/>
          </w:tcPr>
          <w:p w14:paraId="6C47CFFA"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sz w:val="17"/>
                <w:lang w:val="fr-FR"/>
              </w:rPr>
            </w:pPr>
            <w:r w:rsidRPr="00A66C9F">
              <w:rPr>
                <w:sz w:val="17"/>
                <w:lang w:val="fr-FR"/>
              </w:rPr>
              <w:t xml:space="preserve"> (206,0)</w:t>
            </w:r>
          </w:p>
        </w:tc>
        <w:tc>
          <w:tcPr>
            <w:tcW w:w="900" w:type="dxa"/>
            <w:tcBorders>
              <w:top w:val="single" w:sz="4" w:space="0" w:color="auto"/>
              <w:bottom w:val="single" w:sz="4" w:space="0" w:color="auto"/>
            </w:tcBorders>
            <w:shd w:val="clear" w:color="000000" w:fill="FFFFFF"/>
            <w:noWrap/>
            <w:vAlign w:val="bottom"/>
          </w:tcPr>
          <w:p w14:paraId="1A02A262"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sz w:val="17"/>
                <w:lang w:val="fr-FR"/>
              </w:rPr>
            </w:pPr>
            <w:r w:rsidRPr="00A66C9F">
              <w:rPr>
                <w:sz w:val="17"/>
                <w:lang w:val="fr-FR"/>
              </w:rPr>
              <w:t xml:space="preserve"> –</w:t>
            </w:r>
          </w:p>
        </w:tc>
        <w:tc>
          <w:tcPr>
            <w:tcW w:w="900" w:type="dxa"/>
            <w:tcBorders>
              <w:top w:val="single" w:sz="4" w:space="0" w:color="auto"/>
              <w:bottom w:val="single" w:sz="4" w:space="0" w:color="auto"/>
            </w:tcBorders>
            <w:shd w:val="clear" w:color="000000" w:fill="FFFFFF"/>
            <w:noWrap/>
            <w:vAlign w:val="bottom"/>
          </w:tcPr>
          <w:p w14:paraId="721C471D"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sz w:val="17"/>
                <w:lang w:val="fr-FR"/>
              </w:rPr>
            </w:pPr>
            <w:r w:rsidRPr="00A66C9F">
              <w:rPr>
                <w:sz w:val="17"/>
                <w:lang w:val="fr-FR"/>
              </w:rPr>
              <w:t xml:space="preserve"> (206,0)</w:t>
            </w:r>
          </w:p>
        </w:tc>
        <w:tc>
          <w:tcPr>
            <w:tcW w:w="860" w:type="dxa"/>
            <w:tcBorders>
              <w:top w:val="single" w:sz="4" w:space="0" w:color="auto"/>
              <w:bottom w:val="single" w:sz="4" w:space="0" w:color="auto"/>
            </w:tcBorders>
            <w:shd w:val="clear" w:color="000000" w:fill="FFFFFF"/>
            <w:noWrap/>
            <w:vAlign w:val="bottom"/>
          </w:tcPr>
          <w:p w14:paraId="41E1289C"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sz w:val="17"/>
                <w:lang w:val="fr-FR"/>
              </w:rPr>
            </w:pPr>
            <w:r w:rsidRPr="00A66C9F">
              <w:rPr>
                <w:sz w:val="17"/>
                <w:lang w:val="fr-FR"/>
              </w:rPr>
              <w:t xml:space="preserve"> (23)</w:t>
            </w:r>
          </w:p>
        </w:tc>
      </w:tr>
      <w:tr w:rsidR="00744544" w:rsidRPr="00A66C9F" w14:paraId="614CC193" w14:textId="77777777" w:rsidTr="00107D5D">
        <w:trPr>
          <w:cantSplit/>
        </w:trPr>
        <w:tc>
          <w:tcPr>
            <w:tcW w:w="4140" w:type="dxa"/>
            <w:gridSpan w:val="2"/>
            <w:tcBorders>
              <w:top w:val="single" w:sz="4" w:space="0" w:color="auto"/>
              <w:bottom w:val="single" w:sz="12" w:space="0" w:color="auto"/>
            </w:tcBorders>
            <w:shd w:val="clear" w:color="000000" w:fill="FFFFFF"/>
            <w:noWrap/>
            <w:vAlign w:val="bottom"/>
            <w:hideMark/>
          </w:tcPr>
          <w:p w14:paraId="21E0082A" w14:textId="77777777" w:rsidR="00744544" w:rsidRPr="00A66C9F" w:rsidRDefault="00744544" w:rsidP="00107D5D">
            <w:pPr>
              <w:tabs>
                <w:tab w:val="left" w:pos="288"/>
                <w:tab w:val="left" w:pos="576"/>
                <w:tab w:val="left" w:pos="864"/>
                <w:tab w:val="left" w:pos="1152"/>
              </w:tabs>
              <w:suppressAutoHyphens/>
              <w:spacing w:before="81" w:after="81" w:line="210" w:lineRule="exact"/>
              <w:ind w:left="288" w:right="43" w:hanging="288"/>
              <w:rPr>
                <w:b/>
                <w:sz w:val="17"/>
                <w:lang w:val="fr-FR"/>
              </w:rPr>
            </w:pPr>
            <w:r w:rsidRPr="00A66C9F">
              <w:rPr>
                <w:b/>
                <w:sz w:val="17"/>
                <w:lang w:val="fr-FR"/>
              </w:rPr>
              <w:tab/>
              <w:t>Total des dépenses d’administration</w:t>
            </w:r>
          </w:p>
        </w:tc>
        <w:tc>
          <w:tcPr>
            <w:tcW w:w="900" w:type="dxa"/>
            <w:tcBorders>
              <w:top w:val="single" w:sz="4" w:space="0" w:color="auto"/>
              <w:bottom w:val="single" w:sz="12" w:space="0" w:color="auto"/>
            </w:tcBorders>
            <w:shd w:val="clear" w:color="000000" w:fill="FFFFFF"/>
            <w:noWrap/>
            <w:vAlign w:val="bottom"/>
            <w:hideMark/>
          </w:tcPr>
          <w:p w14:paraId="2AA5F39F"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83 063,4 </w:t>
            </w:r>
          </w:p>
        </w:tc>
        <w:tc>
          <w:tcPr>
            <w:tcW w:w="900" w:type="dxa"/>
            <w:tcBorders>
              <w:top w:val="single" w:sz="4" w:space="0" w:color="auto"/>
              <w:bottom w:val="single" w:sz="12" w:space="0" w:color="auto"/>
            </w:tcBorders>
            <w:shd w:val="clear" w:color="000000" w:fill="FFFFFF"/>
            <w:noWrap/>
            <w:vAlign w:val="bottom"/>
            <w:hideMark/>
          </w:tcPr>
          <w:p w14:paraId="3B7FF5BA"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9 959,9 </w:t>
            </w:r>
          </w:p>
        </w:tc>
        <w:tc>
          <w:tcPr>
            <w:tcW w:w="810" w:type="dxa"/>
            <w:tcBorders>
              <w:top w:val="single" w:sz="4" w:space="0" w:color="auto"/>
              <w:bottom w:val="single" w:sz="12" w:space="0" w:color="auto"/>
            </w:tcBorders>
            <w:shd w:val="clear" w:color="000000" w:fill="FFFFFF"/>
            <w:noWrap/>
            <w:vAlign w:val="bottom"/>
            <w:hideMark/>
          </w:tcPr>
          <w:p w14:paraId="3702A7AE"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93 023,3 </w:t>
            </w:r>
          </w:p>
        </w:tc>
        <w:tc>
          <w:tcPr>
            <w:tcW w:w="1080" w:type="dxa"/>
            <w:gridSpan w:val="2"/>
            <w:tcBorders>
              <w:top w:val="single" w:sz="4" w:space="0" w:color="auto"/>
              <w:bottom w:val="single" w:sz="12" w:space="0" w:color="auto"/>
            </w:tcBorders>
            <w:shd w:val="clear" w:color="000000" w:fill="FFFFFF"/>
            <w:noWrap/>
            <w:vAlign w:val="bottom"/>
            <w:hideMark/>
          </w:tcPr>
          <w:p w14:paraId="7BE78025"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71 763,4 </w:t>
            </w:r>
          </w:p>
        </w:tc>
        <w:tc>
          <w:tcPr>
            <w:tcW w:w="810" w:type="dxa"/>
            <w:tcBorders>
              <w:top w:val="single" w:sz="4" w:space="0" w:color="auto"/>
              <w:bottom w:val="single" w:sz="12" w:space="0" w:color="auto"/>
            </w:tcBorders>
            <w:shd w:val="clear" w:color="000000" w:fill="FFFFFF"/>
            <w:noWrap/>
            <w:vAlign w:val="bottom"/>
            <w:hideMark/>
          </w:tcPr>
          <w:p w14:paraId="7B2C05A5"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9 850,9 </w:t>
            </w:r>
          </w:p>
        </w:tc>
        <w:tc>
          <w:tcPr>
            <w:tcW w:w="900" w:type="dxa"/>
            <w:tcBorders>
              <w:top w:val="single" w:sz="4" w:space="0" w:color="auto"/>
              <w:bottom w:val="single" w:sz="12" w:space="0" w:color="auto"/>
            </w:tcBorders>
            <w:shd w:val="clear" w:color="000000" w:fill="FFFFFF"/>
            <w:noWrap/>
            <w:vAlign w:val="bottom"/>
            <w:hideMark/>
          </w:tcPr>
          <w:p w14:paraId="62E19508"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81 614,3 </w:t>
            </w:r>
          </w:p>
        </w:tc>
        <w:tc>
          <w:tcPr>
            <w:tcW w:w="900" w:type="dxa"/>
            <w:gridSpan w:val="2"/>
            <w:tcBorders>
              <w:top w:val="single" w:sz="4" w:space="0" w:color="auto"/>
              <w:bottom w:val="single" w:sz="12" w:space="0" w:color="auto"/>
            </w:tcBorders>
            <w:shd w:val="clear" w:color="000000" w:fill="FFFFFF"/>
            <w:noWrap/>
            <w:vAlign w:val="bottom"/>
            <w:hideMark/>
          </w:tcPr>
          <w:p w14:paraId="031F4B1F"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(11 300,0)</w:t>
            </w:r>
          </w:p>
        </w:tc>
        <w:tc>
          <w:tcPr>
            <w:tcW w:w="900" w:type="dxa"/>
            <w:tcBorders>
              <w:top w:val="single" w:sz="4" w:space="0" w:color="auto"/>
              <w:bottom w:val="single" w:sz="12" w:space="0" w:color="auto"/>
            </w:tcBorders>
            <w:shd w:val="clear" w:color="000000" w:fill="FFFFFF"/>
            <w:noWrap/>
            <w:vAlign w:val="bottom"/>
            <w:hideMark/>
          </w:tcPr>
          <w:p w14:paraId="6291975C"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(109,0)</w:t>
            </w:r>
          </w:p>
        </w:tc>
        <w:tc>
          <w:tcPr>
            <w:tcW w:w="900" w:type="dxa"/>
            <w:tcBorders>
              <w:top w:val="single" w:sz="4" w:space="0" w:color="auto"/>
              <w:bottom w:val="single" w:sz="12" w:space="0" w:color="auto"/>
            </w:tcBorders>
            <w:shd w:val="clear" w:color="000000" w:fill="FFFFFF"/>
            <w:noWrap/>
            <w:vAlign w:val="bottom"/>
            <w:hideMark/>
          </w:tcPr>
          <w:p w14:paraId="06689FFC"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(11 409,0)</w:t>
            </w:r>
          </w:p>
        </w:tc>
        <w:tc>
          <w:tcPr>
            <w:tcW w:w="860" w:type="dxa"/>
            <w:tcBorders>
              <w:top w:val="single" w:sz="4" w:space="0" w:color="auto"/>
              <w:bottom w:val="single" w:sz="12" w:space="0" w:color="auto"/>
            </w:tcBorders>
            <w:shd w:val="clear" w:color="000000" w:fill="FFFFFF"/>
            <w:noWrap/>
            <w:vAlign w:val="bottom"/>
          </w:tcPr>
          <w:p w14:paraId="76CE3ED1"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 (12)</w:t>
            </w:r>
          </w:p>
        </w:tc>
      </w:tr>
    </w:tbl>
    <w:p w14:paraId="58AB02BC" w14:textId="77777777" w:rsidR="00744544" w:rsidRPr="00A66C9F" w:rsidRDefault="00744544" w:rsidP="00744544">
      <w:pPr>
        <w:pStyle w:val="SingleTxt"/>
        <w:spacing w:after="0" w:line="120" w:lineRule="exact"/>
        <w:rPr>
          <w:sz w:val="10"/>
          <w:lang w:val="fr-FR"/>
        </w:rPr>
      </w:pPr>
    </w:p>
    <w:p w14:paraId="3394DA70" w14:textId="77777777" w:rsidR="00744544" w:rsidRPr="00A66C9F" w:rsidRDefault="00744544" w:rsidP="00744544">
      <w:pPr>
        <w:pStyle w:val="FootnoteText"/>
        <w:tabs>
          <w:tab w:val="right" w:pos="216"/>
          <w:tab w:val="left" w:pos="288"/>
          <w:tab w:val="right" w:pos="576"/>
          <w:tab w:val="left" w:pos="648"/>
        </w:tabs>
        <w:suppressAutoHyphens/>
        <w:rPr>
          <w:lang w:val="fr-FR"/>
        </w:rPr>
      </w:pPr>
      <w:r w:rsidRPr="00A66C9F">
        <w:rPr>
          <w:lang w:val="fr-FR"/>
        </w:rPr>
        <w:tab/>
        <w:t>Le tableau B présente les montants inscrits au budget et les montants effectifs sur une base comparable, la méthode comptable retenue étant celle qui est appliquée au budget. Le budget de la Caisse est établi selon la méthode de la comptabilité de caisse modifiée et les montants effectifs ont été calculés de la même façon pour les rendre comparables. Le total des montants effectifs établis sur une base comparable ne correspond pas aux dépenses d’administration indiquées dans l’état des variations de l’actif net, car celui-ci est établi selon la méthode de la comptabilité d’exercice. Les pourcentages sont arrondis au chiffre entier le plus proche ; 0 indique une valeur comprise entre zéro et 1, mais qui n’est pas égale à zéro, tandis que (0) indique une valeur comprise entre -1 et zéro, mais qui n’est pas égale à zéro. On trouvera une explication des différences dans la note 21.2.</w:t>
      </w:r>
    </w:p>
    <w:p w14:paraId="708CC2FE" w14:textId="77777777" w:rsidR="00744544" w:rsidRPr="00A66C9F" w:rsidRDefault="00744544" w:rsidP="00744544">
      <w:pPr>
        <w:pStyle w:val="FootnoteText"/>
        <w:tabs>
          <w:tab w:val="right" w:pos="216"/>
          <w:tab w:val="left" w:pos="288"/>
          <w:tab w:val="right" w:pos="576"/>
          <w:tab w:val="left" w:pos="648"/>
        </w:tabs>
        <w:spacing w:line="120" w:lineRule="exact"/>
        <w:ind w:left="288" w:hanging="288"/>
        <w:rPr>
          <w:sz w:val="10"/>
          <w:lang w:val="fr-FR"/>
        </w:rPr>
      </w:pPr>
    </w:p>
    <w:p w14:paraId="63216EFA" w14:textId="77777777" w:rsidR="00744544" w:rsidRPr="00A66C9F" w:rsidRDefault="00744544" w:rsidP="00744544">
      <w:pPr>
        <w:pStyle w:val="FootnoteText"/>
        <w:tabs>
          <w:tab w:val="right" w:pos="216"/>
          <w:tab w:val="left" w:pos="288"/>
          <w:tab w:val="right" w:pos="576"/>
          <w:tab w:val="left" w:pos="648"/>
        </w:tabs>
        <w:ind w:left="288" w:hanging="288"/>
        <w:rPr>
          <w:lang w:val="fr-FR"/>
        </w:rPr>
      </w:pPr>
      <w:r w:rsidRPr="00A66C9F">
        <w:rPr>
          <w:lang w:val="fr-FR"/>
        </w:rPr>
        <w:tab/>
      </w:r>
      <w:r w:rsidRPr="00A66C9F">
        <w:rPr>
          <w:i/>
          <w:iCs/>
          <w:vertAlign w:val="superscript"/>
          <w:lang w:val="fr-FR"/>
        </w:rPr>
        <w:t>a</w:t>
      </w:r>
      <w:r w:rsidRPr="00A66C9F">
        <w:rPr>
          <w:lang w:val="fr-FR"/>
        </w:rPr>
        <w:tab/>
        <w:t>N’inclut que les voyages des membres du Comité des placements.</w:t>
      </w:r>
    </w:p>
    <w:p w14:paraId="14AB4B75" w14:textId="77777777" w:rsidR="00744544" w:rsidRPr="00A66C9F" w:rsidRDefault="00744544" w:rsidP="00744544">
      <w:pPr>
        <w:pStyle w:val="FootnoteText"/>
        <w:tabs>
          <w:tab w:val="right" w:pos="216"/>
          <w:tab w:val="left" w:pos="288"/>
          <w:tab w:val="right" w:pos="576"/>
          <w:tab w:val="left" w:pos="648"/>
        </w:tabs>
        <w:ind w:left="288" w:hanging="288"/>
        <w:rPr>
          <w:lang w:val="fr-FR"/>
        </w:rPr>
      </w:pPr>
      <w:r w:rsidRPr="00A66C9F">
        <w:rPr>
          <w:lang w:val="fr-FR"/>
        </w:rPr>
        <w:tab/>
      </w:r>
      <w:r w:rsidRPr="00A66C9F">
        <w:rPr>
          <w:i/>
          <w:iCs/>
          <w:vertAlign w:val="superscript"/>
          <w:lang w:val="fr-FR"/>
        </w:rPr>
        <w:t>b</w:t>
      </w:r>
      <w:r w:rsidRPr="00A66C9F">
        <w:rPr>
          <w:lang w:val="fr-FR"/>
        </w:rPr>
        <w:tab/>
        <w:t>Les montants effectifs englobent les dépenses afférentes au Centre international de calcul des Nations Unies (6,5 millions de dollars).</w:t>
      </w:r>
      <w:bookmarkStart w:id="29" w:name="_Hlk45889254"/>
      <w:bookmarkEnd w:id="29"/>
    </w:p>
    <w:p w14:paraId="269E0D6F" w14:textId="60142F90" w:rsidR="00381108" w:rsidRPr="00A66C9F" w:rsidRDefault="00381108" w:rsidP="00DB7521">
      <w:pPr>
        <w:pStyle w:val="SingleTxt"/>
        <w:tabs>
          <w:tab w:val="right" w:pos="1685"/>
        </w:tabs>
        <w:ind w:left="1742" w:hanging="475"/>
        <w:rPr>
          <w:lang w:val="fr-FR"/>
        </w:rPr>
      </w:pPr>
    </w:p>
    <w:p w14:paraId="562554D2" w14:textId="77777777" w:rsidR="00744544" w:rsidRPr="00A66C9F" w:rsidRDefault="00744544" w:rsidP="00DB7521">
      <w:pPr>
        <w:pStyle w:val="SingleTxt"/>
        <w:tabs>
          <w:tab w:val="right" w:pos="1685"/>
        </w:tabs>
        <w:ind w:left="1742" w:hanging="475"/>
        <w:rPr>
          <w:lang w:val="fr-FR"/>
        </w:rPr>
      </w:pPr>
    </w:p>
    <w:p w14:paraId="38FDC16A" w14:textId="77777777" w:rsidR="00744544" w:rsidRPr="00A66C9F" w:rsidRDefault="00744544" w:rsidP="00DB7521">
      <w:pPr>
        <w:pStyle w:val="SingleTxt"/>
        <w:tabs>
          <w:tab w:val="right" w:pos="1685"/>
        </w:tabs>
        <w:ind w:left="1742" w:hanging="475"/>
        <w:rPr>
          <w:lang w:val="fr-FR"/>
        </w:rPr>
        <w:sectPr w:rsidR="00744544" w:rsidRPr="00A66C9F" w:rsidSect="00744544">
          <w:headerReference w:type="even" r:id="rId25"/>
          <w:headerReference w:type="default" r:id="rId26"/>
          <w:footerReference w:type="even" r:id="rId27"/>
          <w:footerReference w:type="default" r:id="rId28"/>
          <w:pgSz w:w="15840" w:h="12240" w:orient="landscape"/>
          <w:pgMar w:top="1195" w:right="1440" w:bottom="1195" w:left="1152" w:header="576" w:footer="1037" w:gutter="0"/>
          <w:cols w:space="720"/>
          <w:noEndnote/>
          <w:bidi/>
          <w:rtlGutter/>
          <w:docGrid w:linePitch="360"/>
        </w:sectPr>
      </w:pPr>
    </w:p>
    <w:p w14:paraId="52B03587"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lastRenderedPageBreak/>
        <w:tab/>
      </w:r>
      <w:r w:rsidRPr="00A66C9F">
        <w:rPr>
          <w:lang w:val="fr-FR"/>
        </w:rPr>
        <w:tab/>
        <w:t>Caisse commune des pensions du personnel des Nations Unies</w:t>
      </w:r>
    </w:p>
    <w:p w14:paraId="4D024B2B"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Notes relatives aux états financiers</w:t>
      </w:r>
    </w:p>
    <w:p w14:paraId="6C0A8344" w14:textId="77777777" w:rsidR="00744544" w:rsidRPr="00A66C9F" w:rsidRDefault="00744544" w:rsidP="00744544">
      <w:pPr>
        <w:pStyle w:val="SingleTxt"/>
        <w:spacing w:after="0" w:line="120" w:lineRule="exact"/>
        <w:rPr>
          <w:sz w:val="10"/>
          <w:lang w:val="fr-FR"/>
        </w:rPr>
      </w:pPr>
    </w:p>
    <w:p w14:paraId="6A5AAEF4"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Note 1</w:t>
      </w:r>
    </w:p>
    <w:p w14:paraId="4ADA06B1" w14:textId="77777777" w:rsidR="00F423A2"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sectPr w:rsidR="00F423A2" w:rsidSect="00D62B67">
          <w:headerReference w:type="even" r:id="rId29"/>
          <w:headerReference w:type="default" r:id="rId30"/>
          <w:footerReference w:type="even" r:id="rId31"/>
          <w:footerReference w:type="default" r:id="rId32"/>
          <w:pgSz w:w="12240" w:h="15840"/>
          <w:pgMar w:top="1440" w:right="1200" w:bottom="1152" w:left="1200" w:header="432" w:footer="504" w:gutter="0"/>
          <w:cols w:space="720"/>
          <w:noEndnote/>
          <w:docGrid w:linePitch="360"/>
        </w:sectPr>
      </w:pPr>
      <w:r w:rsidRPr="00A66C9F">
        <w:rPr>
          <w:lang w:val="fr-FR"/>
        </w:rPr>
        <w:tab/>
      </w:r>
      <w:r w:rsidRPr="00A66C9F">
        <w:rPr>
          <w:lang w:val="fr-FR"/>
        </w:rPr>
        <w:tab/>
        <w:t>Description du régime des pensions</w:t>
      </w:r>
    </w:p>
    <w:p w14:paraId="1937CC2F" w14:textId="77777777" w:rsidR="00744544" w:rsidRPr="00A66C9F" w:rsidRDefault="00744544" w:rsidP="00744544">
      <w:pPr>
        <w:pStyle w:val="SingleTxt"/>
        <w:spacing w:after="0" w:line="120" w:lineRule="exact"/>
        <w:rPr>
          <w:sz w:val="10"/>
          <w:lang w:val="fr-FR"/>
        </w:rPr>
      </w:pPr>
    </w:p>
    <w:p w14:paraId="0CA0E365" w14:textId="6BD53FF0"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On trouvera ci-après une brève description de la Caisse commune des pensions du personnel des Nations Unies, dont les Statuts et le Règlement administratif peuvent être consultés sur son site Web (</w:t>
      </w:r>
      <w:hyperlink r:id="rId33" w:history="1">
        <w:r w:rsidRPr="00A66C9F">
          <w:rPr>
            <w:rStyle w:val="Hyperlink"/>
            <w:lang w:val="fr-FR"/>
          </w:rPr>
          <w:t>www.unjspf.org/fr/</w:t>
        </w:r>
      </w:hyperlink>
      <w:r w:rsidRPr="00A66C9F">
        <w:rPr>
          <w:lang w:val="fr-FR"/>
        </w:rPr>
        <w:t>).</w:t>
      </w:r>
    </w:p>
    <w:p w14:paraId="134055A3" w14:textId="77777777" w:rsidR="00744544" w:rsidRPr="00A66C9F" w:rsidRDefault="00744544" w:rsidP="00744544">
      <w:pPr>
        <w:pStyle w:val="SingleTxt"/>
        <w:spacing w:after="0" w:line="120" w:lineRule="exact"/>
        <w:rPr>
          <w:sz w:val="10"/>
          <w:lang w:val="fr-FR"/>
        </w:rPr>
      </w:pPr>
    </w:p>
    <w:p w14:paraId="26220DAE"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30" w:name="_Toc339633489"/>
      <w:bookmarkStart w:id="31" w:name="_Toc339633824"/>
      <w:r w:rsidRPr="00A66C9F">
        <w:rPr>
          <w:lang w:val="fr-FR"/>
        </w:rPr>
        <w:tab/>
        <w:t>1.1</w:t>
      </w:r>
      <w:r w:rsidRPr="00A66C9F">
        <w:rPr>
          <w:lang w:val="fr-FR"/>
        </w:rPr>
        <w:tab/>
        <w:t>Généralités</w:t>
      </w:r>
      <w:bookmarkEnd w:id="30"/>
      <w:bookmarkEnd w:id="31"/>
    </w:p>
    <w:p w14:paraId="0373A049" w14:textId="77777777" w:rsidR="00744544" w:rsidRPr="00A66C9F" w:rsidRDefault="00744544" w:rsidP="00744544">
      <w:pPr>
        <w:pStyle w:val="SingleTxt"/>
        <w:spacing w:after="0" w:line="120" w:lineRule="exact"/>
        <w:rPr>
          <w:sz w:val="10"/>
          <w:lang w:val="fr-FR"/>
        </w:rPr>
      </w:pPr>
    </w:p>
    <w:p w14:paraId="05D8BC5B"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La Caisse a été créée par l’Assemblée générale en 1949 pour assurer des prestations de retraite, de décès et d’invalidité et des prestations connexes au personnel de l’Organisation des Nations Unies et des autres organisations internationales qui y sont affiliées. Il s’agit d’un fonds de pension multiemployeur à prestations définies. Au 31 décembre 2019, 24 organisations y étaient affiliées, Toutes les organisations affiliées ainsi que leurs employés versent à la Caisse des cotisations dont le montant est déterminé en fonction de la rémunération considérée aux fins de la pension. Le taux de cotisation est fixé à 7,9 % pour les participants et à 15,8 % pour les employeurs (voir la note 3.5).</w:t>
      </w:r>
    </w:p>
    <w:p w14:paraId="66BEAC7F"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L’organe directeur de la Caisse est le Comité mixte, qui se compose : a) de 12 membres désignés par le Comité des pensions du personnel de l’Organisation des Nations Unies – 4 sont élus par l’Assemblée générale, 4 sont nommés par le Secrétaire général et 4 sont élus par les participants fonctionnaires de l’ONU ; b) de 21 membres désignés par les comités des pensions du personnel des autres organisations affiliées, conformément au Règlement intérieur de la Caisse – 7 sont choisis par les organes qui, dans les organisations affiliées, correspondent à l’Assemblée générale ; 7 sont désignés par le plus haut fonctionnaire de chacune des organisations affiliées ; 7 sont choisis par les participants fonctionnaires de ces organisations.</w:t>
      </w:r>
    </w:p>
    <w:p w14:paraId="3BEC823E" w14:textId="77777777" w:rsidR="00744544" w:rsidRPr="00A66C9F" w:rsidRDefault="00744544" w:rsidP="00744544">
      <w:pPr>
        <w:pStyle w:val="SingleTxt"/>
        <w:spacing w:after="0" w:line="120" w:lineRule="exact"/>
        <w:rPr>
          <w:sz w:val="10"/>
          <w:lang w:val="fr-FR"/>
        </w:rPr>
      </w:pPr>
    </w:p>
    <w:p w14:paraId="7B4D52E5"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32" w:name="_Toc339633490"/>
      <w:bookmarkStart w:id="33" w:name="_Toc339633825"/>
      <w:r w:rsidRPr="00A66C9F">
        <w:rPr>
          <w:lang w:val="fr-FR"/>
        </w:rPr>
        <w:tab/>
        <w:t>1.2</w:t>
      </w:r>
      <w:r w:rsidRPr="00A66C9F">
        <w:rPr>
          <w:lang w:val="fr-FR"/>
        </w:rPr>
        <w:tab/>
        <w:t>Administration de la Caisse</w:t>
      </w:r>
      <w:bookmarkEnd w:id="32"/>
      <w:bookmarkEnd w:id="33"/>
    </w:p>
    <w:p w14:paraId="60721B3E" w14:textId="77777777" w:rsidR="00744544" w:rsidRPr="00A66C9F" w:rsidRDefault="00744544" w:rsidP="00744544">
      <w:pPr>
        <w:pStyle w:val="SingleTxt"/>
        <w:spacing w:after="0" w:line="120" w:lineRule="exact"/>
        <w:rPr>
          <w:sz w:val="10"/>
          <w:lang w:val="fr-FR"/>
        </w:rPr>
      </w:pPr>
    </w:p>
    <w:p w14:paraId="148C03B3"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Le Comité mixte de la Caisse commune des pensions du personnel des Nations Unies, organe subsidiaire de l’Assemblée générale, est chargé de la supervision générale de l’administration de la Caisse et du respect de ses statuts et de son règlement. Le Comité mixte nomme un(e) secrétaire indépendant(e), qui est responsable d’une gamme complète de services de secrétariat et de gestion de conférences. Le (la) Secrétaire du Comité mixte n’a pas de responsabilités dans les domaines de la gestion, de l’administration et des investissements de la Caisse. Le (la) Secrétaire rend compte directement au Comité mixte.</w:t>
      </w:r>
    </w:p>
    <w:p w14:paraId="5A76AC43"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L’Administrateur(trice) des pensions est nommé(e) par le Secrétaire général sur recommandation du Comité mixte.</w:t>
      </w:r>
    </w:p>
    <w:p w14:paraId="15BB7610"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 xml:space="preserve">L’Administrateur(trice), agissant sous l’autorité du Comité mixte, assure au nom de celui-ci la supervision de l’ensemble de la Caisse sur le plan administratif. À ce titre, il (elle) est responsable de la planification stratégique et de la direction opérationnelle, de la fixation de la politique, de l’administration des opérations de la Caisse et de la certification des paiements des prestations, de la gestion des risques, du respect de la réglementation, de l’encadrement général du personnel et de la communication avec les parties prenantes. Le personnel du secrétariat de la Caisse, sous l’autorité de l’Administrateur(trice), fournit des services de soutien technique, prépare la documentation de base et offre des orientations et des conseils au Comité mixte et à ses organes subsidiaires, y compris le Comité permanent et le Comité d’actuaires. L’Administrateur(trice) assure les fonctions de Secrétaire du Comité des pensions du personnel de l’Organisation des Nations Unies. L’Administrateur(trice) </w:t>
      </w:r>
      <w:r w:rsidRPr="00A66C9F">
        <w:rPr>
          <w:lang w:val="fr-FR"/>
        </w:rPr>
        <w:lastRenderedPageBreak/>
        <w:t>participe aux réunions de la Cinquième Commission de l’Assemblée générale, du Comité consultatif pour les questions administratives et budgétaires, de la Commission de la fonction publique internationale et de tout autre organe pertinent. Conformément à l’alinéa b) de l’article 7 des Statuts de la Caisse commune des pensions du personnel des Nations Unies, en l’absence de l’Administrateur(trice), c’est l’Administrateur(trice) adjoint(e) qui assume ces fonctions.</w:t>
      </w:r>
    </w:p>
    <w:p w14:paraId="53ACF09E"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Jusqu’au 31 décembre 2019, l’Administrateur(trice)/Secrétaire du Comité mixte exerçait l’ensemble des fonctions qui sont désormais attribuées séparément au (à la) Secrétaire du Comité mixte des pensions et à l’Administrateur(trice) des pensions.</w:t>
      </w:r>
    </w:p>
    <w:p w14:paraId="2C97CF11"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Le Secrétaire général de l’ONU prend les décisions relatives au placement des avoirs de la Caisse, après avoir consulté le Comité des placements et à la lumière des éventuelles observations et propositions du Comité mixte concernant la politique d’investissement. Il délègue la responsabilité fiduciaire à son (sa) représentant(e) pour les investissements de la Caisse. Le (la) Représentant(e) prend les dispositions voulues pour assurer la tenue de comptes détaillés de tous les placements et autres opérations concernant la Caisse ; ces comptes et opérations peuvent être examinés par le Comité mixte.</w:t>
      </w:r>
    </w:p>
    <w:p w14:paraId="56EF87B5"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Un ensemble de fonctions administratives destinées à appuyer le secrétariat de la Caisse et le Bureau de la gestion des investissements est assuré par le Service administratif, qui relève directement de l’Administrateur(trice). En 2019, le Directeur financier a supervisé à titre temporaire les activités du Service administratif.</w:t>
      </w:r>
    </w:p>
    <w:p w14:paraId="3E35FE00"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Le Directeur financier ou la Directrice financière rend compte à l’Administrateur(trice) et au (à la) Représentant(e) du Secrétaire général de ce qui relève de leurs compétences respectives. Il ou elle est chargé(e) de formuler les politiques financières de la Caisse, d’examiner ses opérations budgétaires, financières et comptables et de veiller à ce que les dispositifs de contrôle financier voulus soient en place pour protéger les avoirs de la Caisse et garantir la qualité et la fiabilité de l’information financière. Il ou elle est également chargé(e) de définir les modalités de la collecte des données financières et comptables qui sont présentes dans les différents systèmes d’information et dans les différents services de la Caisse et sont nécessaires à l’établissement des états financiers, et peut librement consulter ces systèmes et données. Il ou elle veille à ce que les états financiers soient conformes aux Statuts et aux Règlements de la Caisse, aux normes comptables adoptées par celle-ci, ainsi qu’aux décisions du Comité mixte et de l’Assemblée générale, et certifie les états financiers.</w:t>
      </w:r>
    </w:p>
    <w:p w14:paraId="385E1846" w14:textId="77777777" w:rsidR="00744544" w:rsidRPr="00A66C9F" w:rsidRDefault="00744544" w:rsidP="00744544">
      <w:pPr>
        <w:pStyle w:val="SingleTxt"/>
        <w:spacing w:after="0" w:line="120" w:lineRule="exact"/>
        <w:rPr>
          <w:sz w:val="10"/>
          <w:lang w:val="fr-FR"/>
        </w:rPr>
      </w:pPr>
    </w:p>
    <w:p w14:paraId="0CD5F9D8"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34" w:name="_Toc339633491"/>
      <w:bookmarkStart w:id="35" w:name="_Toc339633826"/>
      <w:r w:rsidRPr="00A66C9F">
        <w:rPr>
          <w:lang w:val="fr-FR"/>
        </w:rPr>
        <w:tab/>
        <w:t>1.3</w:t>
      </w:r>
      <w:r w:rsidRPr="00A66C9F">
        <w:rPr>
          <w:lang w:val="fr-FR"/>
        </w:rPr>
        <w:tab/>
        <w:t>Participation à la Caisse</w:t>
      </w:r>
      <w:bookmarkEnd w:id="34"/>
      <w:bookmarkEnd w:id="35"/>
    </w:p>
    <w:p w14:paraId="07DE80BB" w14:textId="77777777" w:rsidR="00744544" w:rsidRPr="00A66C9F" w:rsidRDefault="00744544" w:rsidP="00744544">
      <w:pPr>
        <w:pStyle w:val="SingleTxt"/>
        <w:spacing w:after="0" w:line="120" w:lineRule="exact"/>
        <w:rPr>
          <w:sz w:val="10"/>
          <w:lang w:val="fr-FR"/>
        </w:rPr>
      </w:pPr>
    </w:p>
    <w:p w14:paraId="7DFD2E51"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 xml:space="preserve">Tout(e) fonctionnaire employé(e) par une des 24 organisations affiliées acquiert la qualité de participant(e) à la Caisse à compter de la date de son entrée en fonctions s’il ou elle est nommé(e) pour six mois ou plus, ou à compter de la date à laquelle il ou elle a accompli une période de service de six mois qui n’a pas été interrompue pendant plus de 30 jours. Au 31 décembre 2019, la Caisse comptait des cotisants actifs (participants) des organisations et organismes affiliés, notamment le Secrétariat de l’ONU, le Fonds des Nations Unies pour l’enfance, le Programme des Nations Unies pour le développement et le Haut-Commissariat des Nations Unies pour les réfugiés, ainsi que de diverses institutions spécialisées comme l’Organisation mondiale de la Santé, l’Organisation internationale du Travail, l’Agence internationale de l’énergie atomique, l’Organisation de l’aviation civile internationale et l’Organisation des Nations Unies pour l’éducation, la science et la culture (on trouvera la liste complète des organisations affiliées dans l’annexe des présentes notes). Actuellement, elle sert des prestations périodiques à des bénéficiaires répartis dans quelque 190 pays (on trouvera de plus amples informations dans l’annexe des présentes notes). Elle verse </w:t>
      </w:r>
      <w:r w:rsidRPr="00A66C9F">
        <w:rPr>
          <w:lang w:val="fr-FR"/>
        </w:rPr>
        <w:lastRenderedPageBreak/>
        <w:t>chaque année, dans 15 monnaies différentes, des pensions qui se montent au total à environ 2,7 milliards de dollars.</w:t>
      </w:r>
    </w:p>
    <w:p w14:paraId="74E6D5F4" w14:textId="77777777" w:rsidR="00744544" w:rsidRPr="00A66C9F" w:rsidRDefault="00744544" w:rsidP="00744544">
      <w:pPr>
        <w:pStyle w:val="SingleTxt"/>
        <w:spacing w:after="0" w:line="120" w:lineRule="exact"/>
        <w:rPr>
          <w:sz w:val="10"/>
          <w:lang w:val="fr-FR"/>
        </w:rPr>
      </w:pPr>
    </w:p>
    <w:p w14:paraId="56AAEDA5"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36" w:name="_Toc339633492"/>
      <w:bookmarkStart w:id="37" w:name="_Toc339633827"/>
      <w:r w:rsidRPr="00A66C9F">
        <w:rPr>
          <w:lang w:val="fr-FR"/>
        </w:rPr>
        <w:tab/>
        <w:t>1.4</w:t>
      </w:r>
      <w:r w:rsidRPr="00A66C9F">
        <w:rPr>
          <w:lang w:val="fr-FR"/>
        </w:rPr>
        <w:tab/>
        <w:t>Fonctionnement de la Caisse</w:t>
      </w:r>
      <w:bookmarkEnd w:id="36"/>
      <w:bookmarkEnd w:id="37"/>
    </w:p>
    <w:p w14:paraId="766BC474" w14:textId="77777777" w:rsidR="00744544" w:rsidRPr="00A66C9F" w:rsidRDefault="00744544" w:rsidP="00744544">
      <w:pPr>
        <w:pStyle w:val="SingleTxt"/>
        <w:spacing w:after="0" w:line="120" w:lineRule="exact"/>
        <w:rPr>
          <w:sz w:val="10"/>
          <w:lang w:val="fr-FR"/>
        </w:rPr>
      </w:pPr>
    </w:p>
    <w:p w14:paraId="1F5C9D77"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Les dossiers des participants et des bénéficiaires sont gérés par les Opérations du secrétariat de la Caisse, à New York et à Genève. Toute la comptabilité des opérations est assurée à New York, de façon centralisée, par les services financiers du secrétariat de la Caisse. Ceux-ci gèrent également la réception des cotisations mensuelles des organisations affiliées et le financement des prestations mensuelles.</w:t>
      </w:r>
    </w:p>
    <w:p w14:paraId="3F119381"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Le (la) Représentant(e) du Secrétaire général est assisté(e) par le personnel du Bureau de la gestion des investissements, qui s’emploie activement à effectuer des investissements et à rapprocher et comptabiliser les opérations correspondantes.</w:t>
      </w:r>
    </w:p>
    <w:p w14:paraId="20549B53" w14:textId="77777777" w:rsidR="00744544" w:rsidRPr="00A66C9F" w:rsidRDefault="00744544" w:rsidP="00744544">
      <w:pPr>
        <w:pStyle w:val="SingleTxt"/>
        <w:spacing w:after="0" w:line="120" w:lineRule="exact"/>
        <w:rPr>
          <w:sz w:val="10"/>
          <w:lang w:val="fr-FR"/>
        </w:rPr>
      </w:pPr>
    </w:p>
    <w:p w14:paraId="68D7825C"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38" w:name="_Toc339633493"/>
      <w:bookmarkStart w:id="39" w:name="_Toc339633828"/>
      <w:r w:rsidRPr="00A66C9F">
        <w:rPr>
          <w:lang w:val="fr-FR"/>
        </w:rPr>
        <w:tab/>
        <w:t>1.5</w:t>
      </w:r>
      <w:r w:rsidRPr="00A66C9F">
        <w:rPr>
          <w:lang w:val="fr-FR"/>
        </w:rPr>
        <w:tab/>
        <w:t>Évaluation actuarielle de la Caisse</w:t>
      </w:r>
      <w:bookmarkEnd w:id="38"/>
      <w:bookmarkEnd w:id="39"/>
    </w:p>
    <w:p w14:paraId="2EB10101" w14:textId="77777777" w:rsidR="00744544" w:rsidRPr="00A66C9F" w:rsidRDefault="00744544" w:rsidP="00744544">
      <w:pPr>
        <w:pStyle w:val="SingleTxt"/>
        <w:spacing w:after="0" w:line="120" w:lineRule="exact"/>
        <w:rPr>
          <w:sz w:val="10"/>
          <w:lang w:val="fr-FR"/>
        </w:rPr>
      </w:pPr>
    </w:p>
    <w:p w14:paraId="57804752"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L’article 12 des Statuts de la Caisse dispose que le Comité mixte fait procéder à une évaluation actuarielle de la Caisse au moins une fois tous les trois ans. La Caisse procède à une évaluation actuarielle tous les deux ans et compte maintenir cette pratique. L’article 12 dispose également que le rapport de l’actuaire doit indiquer les hypothèses sur lesquelles les calculs sont fondés, décrire la méthode d’évaluation employée, exposer les résultats et recommander, s’il y a lieu, les mesures qu’il convient de prendre. On trouvera à la note 18 le récapitulatif de la situation actuarielle de la Caisse au 31 décembre 2019.</w:t>
      </w:r>
    </w:p>
    <w:p w14:paraId="6F3D0B53" w14:textId="77777777" w:rsidR="00744544" w:rsidRPr="00A66C9F" w:rsidRDefault="00744544" w:rsidP="00744544">
      <w:pPr>
        <w:pStyle w:val="SingleTxt"/>
        <w:spacing w:after="0" w:line="120" w:lineRule="exact"/>
        <w:rPr>
          <w:sz w:val="10"/>
          <w:lang w:val="fr-FR"/>
        </w:rPr>
      </w:pPr>
    </w:p>
    <w:p w14:paraId="13E856A2"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40" w:name="_Toc339633494"/>
      <w:bookmarkStart w:id="41" w:name="_Toc339633829"/>
      <w:r w:rsidRPr="00A66C9F">
        <w:rPr>
          <w:lang w:val="fr-FR"/>
        </w:rPr>
        <w:tab/>
        <w:t>1.6</w:t>
      </w:r>
      <w:r w:rsidRPr="00A66C9F">
        <w:rPr>
          <w:lang w:val="fr-FR"/>
        </w:rPr>
        <w:tab/>
        <w:t>Pension de retraite</w:t>
      </w:r>
      <w:bookmarkEnd w:id="40"/>
      <w:bookmarkEnd w:id="41"/>
    </w:p>
    <w:p w14:paraId="5350327B" w14:textId="77777777" w:rsidR="00744544" w:rsidRPr="00A66C9F" w:rsidRDefault="00744544" w:rsidP="00744544">
      <w:pPr>
        <w:pStyle w:val="SingleTxt"/>
        <w:spacing w:after="0" w:line="120" w:lineRule="exact"/>
        <w:rPr>
          <w:sz w:val="10"/>
          <w:lang w:val="fr-FR"/>
        </w:rPr>
      </w:pPr>
    </w:p>
    <w:p w14:paraId="46AD8A46"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Une pension de retraite est payable pour le restant de ses jours à tout(e) participant(e) justifiant d’une période d’affiliation de cinq ans à sa cessation de service ou après l’âge normal de la retraite. On entend par « âge normal de la retraite » l’âge de 60 ans pour un(e) participant(e) ayant commencé sa période de service avant le 1</w:t>
      </w:r>
      <w:r w:rsidRPr="00A66C9F">
        <w:rPr>
          <w:vertAlign w:val="superscript"/>
          <w:lang w:val="fr-FR"/>
        </w:rPr>
        <w:t>er</w:t>
      </w:r>
      <w:r w:rsidRPr="00A66C9F">
        <w:rPr>
          <w:lang w:val="fr-FR"/>
        </w:rPr>
        <w:t xml:space="preserve"> janvier 1990, l’âge de 62 ans pour un participant(e) admis(e) ou réadmis(e) à la Caisse le 1</w:t>
      </w:r>
      <w:r w:rsidRPr="00A66C9F">
        <w:rPr>
          <w:vertAlign w:val="superscript"/>
          <w:lang w:val="fr-FR"/>
        </w:rPr>
        <w:t>er</w:t>
      </w:r>
      <w:r w:rsidRPr="00A66C9F">
        <w:rPr>
          <w:lang w:val="fr-FR"/>
        </w:rPr>
        <w:t xml:space="preserve"> janvier 1990 ou après cette date et l’âge de 65 ans pour un(e) participant(e) admis(e) ou réadmis(e) depuis le 1</w:t>
      </w:r>
      <w:r w:rsidRPr="00A66C9F">
        <w:rPr>
          <w:vertAlign w:val="superscript"/>
          <w:lang w:val="fr-FR"/>
        </w:rPr>
        <w:t>er</w:t>
      </w:r>
      <w:r w:rsidRPr="00A66C9F">
        <w:rPr>
          <w:lang w:val="fr-FR"/>
        </w:rPr>
        <w:t xml:space="preserve"> janvier 2014.</w:t>
      </w:r>
    </w:p>
    <w:p w14:paraId="0A9E875C"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Le montant annuel normal de la pension de retraite d’un(e) participant(e) admis(e) à la Caisse le 1</w:t>
      </w:r>
      <w:r w:rsidRPr="00A66C9F">
        <w:rPr>
          <w:vertAlign w:val="superscript"/>
          <w:lang w:val="fr-FR"/>
        </w:rPr>
        <w:t>er</w:t>
      </w:r>
      <w:r w:rsidRPr="00A66C9F">
        <w:rPr>
          <w:lang w:val="fr-FR"/>
        </w:rPr>
        <w:t xml:space="preserve"> janvier 1983 ou après cette date est constitué par la somme des éléments suivants :</w:t>
      </w:r>
    </w:p>
    <w:p w14:paraId="7EBB856C" w14:textId="77777777" w:rsidR="00744544" w:rsidRPr="00A66C9F" w:rsidRDefault="00744544" w:rsidP="00744544">
      <w:pPr>
        <w:pStyle w:val="SingleTxt"/>
        <w:rPr>
          <w:lang w:val="fr-FR"/>
        </w:rPr>
      </w:pPr>
      <w:r w:rsidRPr="00A66C9F">
        <w:rPr>
          <w:lang w:val="fr-FR"/>
        </w:rPr>
        <w:tab/>
        <w:t>a)</w:t>
      </w:r>
      <w:r w:rsidRPr="00A66C9F">
        <w:rPr>
          <w:lang w:val="fr-FR"/>
        </w:rPr>
        <w:tab/>
        <w:t>1,5 % de la rémunération moyenne finale multiplié par les cinq premières années d’affiliation ;</w:t>
      </w:r>
    </w:p>
    <w:p w14:paraId="7AFA787E" w14:textId="77777777" w:rsidR="00744544" w:rsidRPr="00A66C9F" w:rsidRDefault="00744544" w:rsidP="00744544">
      <w:pPr>
        <w:pStyle w:val="SingleTxt"/>
        <w:rPr>
          <w:lang w:val="fr-FR"/>
        </w:rPr>
      </w:pPr>
      <w:r w:rsidRPr="00A66C9F">
        <w:rPr>
          <w:lang w:val="fr-FR"/>
        </w:rPr>
        <w:tab/>
        <w:t>b)</w:t>
      </w:r>
      <w:r w:rsidRPr="00A66C9F">
        <w:rPr>
          <w:lang w:val="fr-FR"/>
        </w:rPr>
        <w:tab/>
        <w:t>1,75 % de la rémunération moyenne finale multiplié par les cinq années d’affiliation suivantes ;</w:t>
      </w:r>
    </w:p>
    <w:p w14:paraId="75ED6824" w14:textId="77777777" w:rsidR="00744544" w:rsidRPr="00A66C9F" w:rsidRDefault="00744544" w:rsidP="00744544">
      <w:pPr>
        <w:pStyle w:val="SingleTxt"/>
        <w:rPr>
          <w:lang w:val="fr-FR"/>
        </w:rPr>
      </w:pPr>
      <w:r w:rsidRPr="00A66C9F">
        <w:rPr>
          <w:lang w:val="fr-FR"/>
        </w:rPr>
        <w:tab/>
        <w:t>c)</w:t>
      </w:r>
      <w:r w:rsidRPr="00A66C9F">
        <w:rPr>
          <w:lang w:val="fr-FR"/>
        </w:rPr>
        <w:tab/>
        <w:t>2 % de la rémunération moyenne finale multipliés par les 25 années d’affiliation suivantes</w:t>
      </w:r>
    </w:p>
    <w:p w14:paraId="2FC11C59" w14:textId="77777777" w:rsidR="00744544" w:rsidRPr="00A66C9F" w:rsidRDefault="00744544" w:rsidP="00744544">
      <w:pPr>
        <w:pStyle w:val="SingleTxt"/>
        <w:rPr>
          <w:lang w:val="fr-FR"/>
        </w:rPr>
      </w:pPr>
      <w:r w:rsidRPr="00A66C9F">
        <w:rPr>
          <w:lang w:val="fr-FR"/>
        </w:rPr>
        <w:tab/>
        <w:t>d)</w:t>
      </w:r>
      <w:r w:rsidRPr="00A66C9F">
        <w:rPr>
          <w:lang w:val="fr-FR"/>
        </w:rPr>
        <w:tab/>
        <w:t>1 % de la rémunération moyenne finale par année d’affiliation en sus de 35 ans accomplie à compter du 1</w:t>
      </w:r>
      <w:r w:rsidRPr="00A66C9F">
        <w:rPr>
          <w:vertAlign w:val="superscript"/>
          <w:lang w:val="fr-FR"/>
        </w:rPr>
        <w:t>er</w:t>
      </w:r>
      <w:r w:rsidRPr="00A66C9F">
        <w:rPr>
          <w:lang w:val="fr-FR"/>
        </w:rPr>
        <w:t xml:space="preserve"> juillet 1995, à concurrence d’un taux d’accumulation total de 70 %.</w:t>
      </w:r>
    </w:p>
    <w:p w14:paraId="1E695222"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Le montant annuel normal de la pension de retraite d’un(e) participant(e) admis(e) à la Caisse avant le 1</w:t>
      </w:r>
      <w:r w:rsidRPr="00A66C9F">
        <w:rPr>
          <w:vertAlign w:val="superscript"/>
          <w:lang w:val="fr-FR"/>
        </w:rPr>
        <w:t>er</w:t>
      </w:r>
      <w:r w:rsidRPr="00A66C9F">
        <w:rPr>
          <w:lang w:val="fr-FR"/>
        </w:rPr>
        <w:t xml:space="preserve"> janvier 1983 est égal à 2 % de la rémunération moyenne finale multipliés par le nombre d’années d’affiliation à concurrence de 30 ans, et à 1 % de la rémunération moyenne finale multiplié par le nombre des années d’affiliation en sus, à concurrence de 10 ans.</w:t>
      </w:r>
    </w:p>
    <w:p w14:paraId="4980A6FC"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lastRenderedPageBreak/>
        <w:t>Sous réserve des dispositions des Statuts et Règlements de la Caisse, le montant maximal de la pension ne peut dépasser 60 % du montant de la rémunération considérée aux fins de la pension à la date de la cessation de service, ou le montant maximal de la pension payable à un(e) participant(e) de la classe D-2 (se trouvant depuis cinq ans à l’échelon le plus élevé de cette classe) cessant ses fonctions à la même date, le plus élevé de ces deux montants étant retenu.</w:t>
      </w:r>
    </w:p>
    <w:p w14:paraId="6792FA12"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Le montant annuel minimal de la pension de retraite est obtenu en multipliant le nombre d’années d’affiliation à la Caisse, à concurrence de 10 ans, par 1 141,84 dollars (à compter du 1</w:t>
      </w:r>
      <w:r w:rsidRPr="00A66C9F">
        <w:rPr>
          <w:vertAlign w:val="superscript"/>
          <w:lang w:val="fr-FR"/>
        </w:rPr>
        <w:t>er</w:t>
      </w:r>
      <w:r w:rsidRPr="00A66C9F">
        <w:rPr>
          <w:lang w:val="fr-FR"/>
        </w:rPr>
        <w:t xml:space="preserve"> avril 2020, sous réserve d’ajustements ultérieurs opérés conformément au système d’ajustement des pensions pour tenir compte de l’évolution de l’indice des prix à la consommation (IPC) des États-Unis d’Amérique) ou par le trentième de la rémunération moyenne finale, le plus faible des deux montants étant retenu.</w:t>
      </w:r>
    </w:p>
    <w:p w14:paraId="0C906D4B"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Le montant annuel de la pension ne peut cependant être inférieur, lorsque le (la) participant(e) ne bénéficie d’aucune autre prestation, au plus faible des deux montants suivants : 1 816,32 dollars (à compter du 1</w:t>
      </w:r>
      <w:r w:rsidRPr="00A66C9F">
        <w:rPr>
          <w:vertAlign w:val="superscript"/>
          <w:lang w:val="fr-FR"/>
        </w:rPr>
        <w:t>er</w:t>
      </w:r>
      <w:r w:rsidRPr="00A66C9F">
        <w:rPr>
          <w:lang w:val="fr-FR"/>
        </w:rPr>
        <w:t xml:space="preserve"> avril 2020, sous réserve d’ajustements ultérieurs opérés conformément au système d’ajustement des pensions pour tenir compte de l’évolution de l’IPC des États-Unis) ou la rémunération moyenne finale du (de la) participant(e).</w:t>
      </w:r>
    </w:p>
    <w:p w14:paraId="1BBD872D"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La « rémunération moyenne finale » s’entend de la rémunération annuelle moyenne considérée aux fins de la pension pendant les 36 mois civils complets durant lesquels elle a été la plus élevée au cours des cinq dernières années de la période d’affiliation.</w:t>
      </w:r>
    </w:p>
    <w:p w14:paraId="50F79446"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À moins qu’il ou elle n’ait droit à une pension minimale et ne choisisse de se prévaloir de ce droit, un(e) participant(e) peut choisir de recevoir : a) si le montant annuel de la pension est égal ou supérieur à 300 dollars, une somme en capital n’excédant pas le plus grand des deux montants suivants : le tiers de l’équivalent actuariel de la pension (à concurrence du montant maximal de la pension payable à un(e) participant(e) qui partirait à la retraite à l’âge normal à la même date et dont la rémunération moyenne finale équivaudrait à la rémunération considérée aux fins de la pension à cette même date pour l’échelon le plus élevé de la classe P-5) ou le montant total des cotisations du (de la) participant(e) à la date de son départ à la retraite, sa pension de retraite étant alors réduite en conséquence ; b) si le montant de la pension est inférieur à 1 000 dollars par an, une somme en capital représentant l’équivalent actuariel de la totalité de la pension de retraite, y compris la pension qui serait payable au (à la) conjoint(e) à son décès, si le (la) participant(e) en décide ainsi.</w:t>
      </w:r>
    </w:p>
    <w:p w14:paraId="450033D8" w14:textId="77777777" w:rsidR="00744544" w:rsidRPr="00A66C9F" w:rsidRDefault="00744544" w:rsidP="00744544">
      <w:pPr>
        <w:pStyle w:val="SingleTxt"/>
        <w:spacing w:after="0" w:line="120" w:lineRule="exact"/>
        <w:rPr>
          <w:sz w:val="10"/>
          <w:lang w:val="fr-FR"/>
        </w:rPr>
      </w:pPr>
    </w:p>
    <w:p w14:paraId="33D1CD52" w14:textId="77777777" w:rsidR="00744544" w:rsidRPr="00A66C9F" w:rsidRDefault="00744544" w:rsidP="0074454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Départ à la retraite anticipé</w:t>
      </w:r>
    </w:p>
    <w:p w14:paraId="12BE9331" w14:textId="77777777" w:rsidR="00744544" w:rsidRPr="00A66C9F" w:rsidRDefault="00744544" w:rsidP="00744544">
      <w:pPr>
        <w:pStyle w:val="SingleTxt"/>
        <w:spacing w:after="0" w:line="120" w:lineRule="exact"/>
        <w:rPr>
          <w:sz w:val="10"/>
          <w:lang w:val="fr-FR"/>
        </w:rPr>
      </w:pPr>
    </w:p>
    <w:p w14:paraId="34216E75"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Une pension de retraite anticipée est payable à tout(e) participant(e) qui, à sa cessation de service, est âgé(e) de 55 ans au moins (58 ans pour les participants admis le 1</w:t>
      </w:r>
      <w:r w:rsidRPr="00A66C9F">
        <w:rPr>
          <w:vertAlign w:val="superscript"/>
          <w:lang w:val="fr-FR"/>
        </w:rPr>
        <w:t>er</w:t>
      </w:r>
      <w:r w:rsidRPr="00A66C9F">
        <w:rPr>
          <w:lang w:val="fr-FR"/>
        </w:rPr>
        <w:t xml:space="preserve"> janvier 2014 ou après cette date) mais n’est pas encore parvenu(e) à l’âge normal de la retraite, et qui compte au moins cinq années d’affiliation.</w:t>
      </w:r>
    </w:p>
    <w:p w14:paraId="01974611"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Le montant de la pension de retraite anticipée payable à un(e) participant(e) admis(e) avant le 1</w:t>
      </w:r>
      <w:r w:rsidRPr="00A66C9F">
        <w:rPr>
          <w:vertAlign w:val="superscript"/>
          <w:lang w:val="fr-FR"/>
        </w:rPr>
        <w:t>er</w:t>
      </w:r>
      <w:r w:rsidRPr="00A66C9F">
        <w:rPr>
          <w:lang w:val="fr-FR"/>
        </w:rPr>
        <w:t xml:space="preserve"> janvier 2014 équivaut à une pension de retraite du montant annuel normal, réduite de 6 % pour chaque année qui, à la cessation de service, manque au (à la) participant(e) pour atteindre l’âge normal de la retraite, sauf dans les cas suivants : a) si l’intéressé(e) compte au moins 25 années mais moins de 30 années d’affiliation, le taux de réduction est alors de 2 % par an pour la période d’affiliation antérieure au 1</w:t>
      </w:r>
      <w:r w:rsidRPr="00A66C9F">
        <w:rPr>
          <w:vertAlign w:val="superscript"/>
          <w:lang w:val="fr-FR"/>
        </w:rPr>
        <w:t>er</w:t>
      </w:r>
      <w:r w:rsidRPr="00A66C9F">
        <w:rPr>
          <w:lang w:val="fr-FR"/>
        </w:rPr>
        <w:t xml:space="preserve"> janvier 1985 et de 3 % par an pour la période d’affiliation commençant à cette date ; b) si l’intéressé(e) compte 30 années d’affiliation ou plus, le taux de réduction est dans ce cas de 1 % par an, étant entendu, toutefois, que les taux de réduction indiqués aux points a) et b) ne s’appliquent que </w:t>
      </w:r>
      <w:r w:rsidRPr="00A66C9F">
        <w:rPr>
          <w:lang w:val="fr-FR"/>
        </w:rPr>
        <w:lastRenderedPageBreak/>
        <w:t>durant cinq ans au plus. La méthode de calcul de la pension de retraite anticipée payable aux participants admis le 1</w:t>
      </w:r>
      <w:r w:rsidRPr="00A66C9F">
        <w:rPr>
          <w:vertAlign w:val="superscript"/>
          <w:lang w:val="fr-FR"/>
        </w:rPr>
        <w:t>er</w:t>
      </w:r>
      <w:r w:rsidRPr="00A66C9F">
        <w:rPr>
          <w:lang w:val="fr-FR"/>
        </w:rPr>
        <w:t xml:space="preserve"> janvier 2014 ou après cette date est précisée à l’article 29 des Statuts et du Règlement administratif de la Caisse.</w:t>
      </w:r>
    </w:p>
    <w:p w14:paraId="23679933"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Les participants peuvent choisir de recevoir une somme en capital aux mêmes conditions que pour une pension de retraite normale.</w:t>
      </w:r>
    </w:p>
    <w:p w14:paraId="586CF4A5" w14:textId="77777777" w:rsidR="00744544" w:rsidRPr="00A66C9F" w:rsidRDefault="00744544" w:rsidP="00744544">
      <w:pPr>
        <w:pStyle w:val="SingleTxt"/>
        <w:spacing w:after="0" w:line="120" w:lineRule="exact"/>
        <w:rPr>
          <w:sz w:val="10"/>
          <w:lang w:val="fr-FR"/>
        </w:rPr>
      </w:pPr>
    </w:p>
    <w:p w14:paraId="66F24F58" w14:textId="77777777" w:rsidR="00744544" w:rsidRPr="00A66C9F" w:rsidRDefault="00744544" w:rsidP="0074454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Participants cessant leurs fonctions avant de pouvoir prétendre à une retraite anticipée</w:t>
      </w:r>
    </w:p>
    <w:p w14:paraId="78DACC9D" w14:textId="77777777" w:rsidR="00744544" w:rsidRPr="00A66C9F" w:rsidRDefault="00744544" w:rsidP="00744544">
      <w:pPr>
        <w:pStyle w:val="SingleTxt"/>
        <w:spacing w:after="0" w:line="120" w:lineRule="exact"/>
        <w:rPr>
          <w:sz w:val="10"/>
          <w:lang w:val="fr-FR"/>
        </w:rPr>
      </w:pPr>
    </w:p>
    <w:p w14:paraId="7CE8A794"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Une pension de retraite différée est payable à tout(e) participant(e) qui, au moment de la cessation de service, n’est pas encore parvenu(e) à l’âge normal de la retraite et compte au moins cinq années d’affiliation. Son montant correspond au montant annuel normal d’une pension de retraite et commence à être versé lorsque l’intéressé(e) atteint l’âge normal de la retraite. Le (la) participant(e) peut à tout moment demander à recevoir la pension dès lors qu’il ou elle peut prétendre à une pension de retraite anticipée, les conditions y relatives s’appliquant de la même manière.</w:t>
      </w:r>
    </w:p>
    <w:p w14:paraId="0471E569"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Un versement de départ au titre de la liquidation des droits peut être accordé à tout(e) participant(e) n’ayant pas atteint l’âge normal de la retraite à la date de la cessation de service, ou qui, à cette date, a atteint ou dépassé l’âge normal de la retraite mais ne peut prétendre à une pension de retraite. Le montant de ce versement est égal au montant de ses cotisations, majoré de 10 % pour chaque année de service en sus de cinq ans, jusqu’à concurrence d’un maximum de 100 %.</w:t>
      </w:r>
    </w:p>
    <w:p w14:paraId="207A9E60" w14:textId="77777777" w:rsidR="00744544" w:rsidRPr="00A66C9F" w:rsidRDefault="00744544" w:rsidP="00744544">
      <w:pPr>
        <w:pStyle w:val="SingleTxt"/>
        <w:spacing w:after="0" w:line="120" w:lineRule="exact"/>
        <w:rPr>
          <w:sz w:val="10"/>
          <w:lang w:val="fr-FR"/>
        </w:rPr>
      </w:pPr>
    </w:p>
    <w:p w14:paraId="1B1A8951"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t>1.7</w:t>
      </w:r>
      <w:r w:rsidRPr="00A66C9F">
        <w:rPr>
          <w:lang w:val="fr-FR"/>
        </w:rPr>
        <w:tab/>
        <w:t>Pension d’invalidité</w:t>
      </w:r>
    </w:p>
    <w:p w14:paraId="6412A3FE" w14:textId="77777777" w:rsidR="00744544" w:rsidRPr="00A66C9F" w:rsidRDefault="00744544" w:rsidP="00744544">
      <w:pPr>
        <w:pStyle w:val="SingleTxt"/>
        <w:spacing w:after="0" w:line="120" w:lineRule="exact"/>
        <w:rPr>
          <w:sz w:val="10"/>
          <w:lang w:val="fr-FR"/>
        </w:rPr>
      </w:pPr>
    </w:p>
    <w:p w14:paraId="3A2A30A0"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Tout(e) participant(e) qui est dans l’incapacité de remplir ses fonctions pendant une période qui semble devoir durer, voire définitivement, a droit à une pension d’invalidité.</w:t>
      </w:r>
    </w:p>
    <w:p w14:paraId="7F982C6F"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Pour les participants qui ont atteint ou dépassé l’âge normal de la retraite, le montant de la pension correspond au montant annuel normal ou au montant annuel minimal d’une pension de retraite, selon le cas. Pour ceux qui n’ont pas atteint l’âge normal de la retraite, le montant de la pension est égal à celui auquel ils auraient eu droit s’ils étaient restés en service jusqu’à l’âge normal de la retraite et si leur rémunération moyenne finale était demeurée inchangée.</w:t>
      </w:r>
    </w:p>
    <w:p w14:paraId="0BED9504"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Le montant annuel de la pension ne peut cependant être inférieur, lorsque le (la) participant(e) ne bénéficie d’aucune autre prestation, au plus faible des deux montants suivants : 3 024,24 dollars (à compter du 1</w:t>
      </w:r>
      <w:r w:rsidRPr="00A66C9F">
        <w:rPr>
          <w:vertAlign w:val="superscript"/>
          <w:lang w:val="fr-FR"/>
        </w:rPr>
        <w:t>er</w:t>
      </w:r>
      <w:r w:rsidRPr="00A66C9F">
        <w:rPr>
          <w:lang w:val="fr-FR"/>
        </w:rPr>
        <w:t xml:space="preserve"> avril 2020, sous réserve d’ajustements ultérieurs opérés conformément au système d’ajustement des pensions pour tenir compte de l’évolution de l’IPC des États-Unis) ou la rémunération moyenne finale du (de la) participant(e).</w:t>
      </w:r>
    </w:p>
    <w:p w14:paraId="347A6324" w14:textId="77777777" w:rsidR="00744544" w:rsidRPr="00A66C9F" w:rsidRDefault="00744544" w:rsidP="00744544">
      <w:pPr>
        <w:pStyle w:val="SingleTxt"/>
        <w:spacing w:after="0" w:line="120" w:lineRule="exact"/>
        <w:rPr>
          <w:sz w:val="10"/>
          <w:lang w:val="fr-FR"/>
        </w:rPr>
      </w:pPr>
    </w:p>
    <w:p w14:paraId="563A27C1"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t>1.8</w:t>
      </w:r>
      <w:r w:rsidRPr="00A66C9F">
        <w:rPr>
          <w:lang w:val="fr-FR"/>
        </w:rPr>
        <w:tab/>
        <w:t>Pension de réversion</w:t>
      </w:r>
    </w:p>
    <w:p w14:paraId="1014027D" w14:textId="77777777" w:rsidR="00744544" w:rsidRPr="00A66C9F" w:rsidRDefault="00744544" w:rsidP="00744544">
      <w:pPr>
        <w:pStyle w:val="SingleTxt"/>
        <w:spacing w:after="0" w:line="120" w:lineRule="exact"/>
        <w:rPr>
          <w:sz w:val="10"/>
          <w:lang w:val="fr-FR"/>
        </w:rPr>
      </w:pPr>
    </w:p>
    <w:p w14:paraId="6AB0340C"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Une pension est payable au (à la) conjoint(e) survivant(e) d’un(e) participant(e) qui avait droit à une pension de retraite, à une pension de retraite anticipée, à une pension de retraite différée ou à une pension d’invalidité au moment de son décès, ou qui est décédé(e) en cours d’emploi, si les intéressé(e)s étaient marié(e)s au moment de la cessation de service et l’étaient encore au moment du décès. Le droit à la pension de réversion des conjoints divorcés survivants est soumis à certaines conditions. Le montant de la pension de réversion est généralement égal à la moitié de celui de la pension de retraite ou d’invalidité du (de la) participant(e) et ne peut être inférieur à certains seuils.</w:t>
      </w:r>
    </w:p>
    <w:p w14:paraId="04C9AADF"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lastRenderedPageBreak/>
        <w:tab/>
        <w:t>1.9</w:t>
      </w:r>
      <w:r w:rsidRPr="00A66C9F">
        <w:rPr>
          <w:lang w:val="fr-FR"/>
        </w:rPr>
        <w:tab/>
        <w:t>Pension d’enfant</w:t>
      </w:r>
    </w:p>
    <w:p w14:paraId="47ACDFD0" w14:textId="77777777" w:rsidR="00744544" w:rsidRPr="00A66C9F" w:rsidRDefault="00744544" w:rsidP="00744544">
      <w:pPr>
        <w:pStyle w:val="SingleTxt"/>
        <w:spacing w:after="0" w:line="120" w:lineRule="exact"/>
        <w:rPr>
          <w:sz w:val="10"/>
          <w:lang w:val="fr-FR"/>
        </w:rPr>
      </w:pPr>
    </w:p>
    <w:p w14:paraId="4E130E3F"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Une pension d’enfant est due à chaque enfant âgé de moins de 21 ans d’un(e) participant(e) ayant droit à une pension de retraite, à une pension de retraite anticipée ou à une pension d’invalidité, ou qui décède en cours d’emploi, tant que l’enfant a moins de 21 ans. La prestation peut aussi être payable dans certaines circonstances à un enfant de plus de 21 ans, par exemple lorsqu’il est établi que celui-ci est dans l’incapacité d’occuper un emploi rémunéré lui permettant de subvenir à ses besoins. Le montant de la pension d’enfant est généralement égal au tiers de celui de la pension de retraite ou d’invalidité à laquelle le ou la participant(e) a droit ou à laquelle il ou elle aurait eu droit dans le cas où il ou elle est décédé(e) en cours d’emploi, étant entendu toutefois que ce montant ne peut être inférieur à certains seuils ni supérieur à un plafond donné. De plus, la somme des pensions payables à plusieurs enfants d’un(e) même participant(e) ne peut dépasser un montant donné.</w:t>
      </w:r>
    </w:p>
    <w:p w14:paraId="4C165F01" w14:textId="77777777" w:rsidR="00744544" w:rsidRPr="00A66C9F" w:rsidRDefault="00744544" w:rsidP="00744544">
      <w:pPr>
        <w:pStyle w:val="SingleTxt"/>
        <w:spacing w:after="0" w:line="120" w:lineRule="exact"/>
        <w:rPr>
          <w:sz w:val="10"/>
          <w:lang w:val="fr-FR"/>
        </w:rPr>
      </w:pPr>
    </w:p>
    <w:p w14:paraId="11477438"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42" w:name="_Toc339633498"/>
      <w:bookmarkStart w:id="43" w:name="_Toc339633833"/>
      <w:r w:rsidRPr="00A66C9F">
        <w:rPr>
          <w:lang w:val="fr-FR"/>
        </w:rPr>
        <w:tab/>
        <w:t>1.10</w:t>
      </w:r>
      <w:r w:rsidRPr="00A66C9F">
        <w:rPr>
          <w:lang w:val="fr-FR"/>
        </w:rPr>
        <w:tab/>
        <w:t>Prestations diverses</w:t>
      </w:r>
    </w:p>
    <w:p w14:paraId="7D424D6D" w14:textId="77777777" w:rsidR="00744544" w:rsidRPr="00A66C9F" w:rsidRDefault="00744544" w:rsidP="00744544">
      <w:pPr>
        <w:pStyle w:val="SingleTxt"/>
        <w:spacing w:after="0" w:line="120" w:lineRule="exact"/>
        <w:rPr>
          <w:sz w:val="10"/>
          <w:lang w:val="fr-FR"/>
        </w:rPr>
      </w:pPr>
    </w:p>
    <w:p w14:paraId="73A13A91"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Il existe d’autres prestations, telles que la pension de personne indirectement à charge et le versement résiduel. On trouvera une description de ces prestations dans les Statuts et le Règlement administratif de la Caisse.</w:t>
      </w:r>
    </w:p>
    <w:p w14:paraId="0B50C324" w14:textId="77777777" w:rsidR="00744544" w:rsidRPr="00A66C9F" w:rsidRDefault="00744544" w:rsidP="00744544">
      <w:pPr>
        <w:pStyle w:val="SingleTxt"/>
        <w:spacing w:after="0" w:line="120" w:lineRule="exact"/>
        <w:rPr>
          <w:sz w:val="10"/>
          <w:lang w:val="fr-FR"/>
        </w:rPr>
      </w:pPr>
    </w:p>
    <w:p w14:paraId="345AF64C"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t>1.11</w:t>
      </w:r>
      <w:r w:rsidRPr="00A66C9F">
        <w:rPr>
          <w:lang w:val="fr-FR"/>
        </w:rPr>
        <w:tab/>
        <w:t>Système d’ajustement des pensions</w:t>
      </w:r>
      <w:bookmarkEnd w:id="42"/>
      <w:bookmarkEnd w:id="43"/>
    </w:p>
    <w:p w14:paraId="20A7A09F" w14:textId="77777777" w:rsidR="00744544" w:rsidRPr="00A66C9F" w:rsidRDefault="00744544" w:rsidP="00744544">
      <w:pPr>
        <w:pStyle w:val="SingleTxt"/>
        <w:spacing w:after="0" w:line="120" w:lineRule="exact"/>
        <w:rPr>
          <w:sz w:val="10"/>
          <w:lang w:val="fr-FR"/>
        </w:rPr>
      </w:pPr>
    </w:p>
    <w:p w14:paraId="59C9B386"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Les dispositions du système d’ajustement des pensions de la Caisse prévoient des ajustements périodiques des pensions destinés à tenir compte du coût de la vie. En outre, pour les participants qui prennent leur retraite dans un pays dont la monnaie n’est pas le dollar des États-Unis, le système actuel vise à garantir, sous réserve de dispositions fixant des seuils et plafonds, que le montant d’une prestation périodique payable par la Caisse ne soit jamais inférieur à sa valeur « réelle » en dollars des États-Unis, déterminée conformément aux Statuts, aux Règlements et au système d’ajustement des pensions de la Caisse, et confère aux bénéficiaires le même pouvoir d’achat que le montant de la pension initialement exprimé dans la monnaie de leur pays de résidence. Pour ce faire, il est établi un montant de base en dollars et un montant de base en monnaie locale (système de la double filière).</w:t>
      </w:r>
    </w:p>
    <w:p w14:paraId="29F90BA0"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La valeur « réelle » d’une somme exprimée en dollars des États-Unis est maintenue par l’application au montant de base d’ajustements destinés à tenir compte de l’évolution de l’IPC des États-Unis. Le pouvoir d’achat d’une prestation, une fois son montant établi en monnaie locale, est préservé par l’application d’ajustements en fonction de l’évolution de l’IPC du pays de résidence du (de la) bénéficiaire.</w:t>
      </w:r>
    </w:p>
    <w:p w14:paraId="523FBAD6" w14:textId="77777777" w:rsidR="00744544" w:rsidRPr="00A66C9F" w:rsidRDefault="00744544" w:rsidP="00744544">
      <w:pPr>
        <w:pStyle w:val="SingleTxt"/>
        <w:spacing w:after="0" w:line="120" w:lineRule="exact"/>
        <w:rPr>
          <w:sz w:val="10"/>
          <w:lang w:val="fr-FR"/>
        </w:rPr>
      </w:pPr>
    </w:p>
    <w:p w14:paraId="71EF890B"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44" w:name="_Toc339633499"/>
      <w:bookmarkStart w:id="45" w:name="_Toc339633834"/>
      <w:r w:rsidRPr="00A66C9F">
        <w:rPr>
          <w:lang w:val="fr-FR"/>
        </w:rPr>
        <w:tab/>
        <w:t>1.12</w:t>
      </w:r>
      <w:r w:rsidRPr="00A66C9F">
        <w:rPr>
          <w:lang w:val="fr-FR"/>
        </w:rPr>
        <w:tab/>
        <w:t>Modalités de financement</w:t>
      </w:r>
      <w:bookmarkEnd w:id="44"/>
      <w:bookmarkEnd w:id="45"/>
    </w:p>
    <w:p w14:paraId="0D695B04" w14:textId="77777777" w:rsidR="00744544" w:rsidRPr="00A66C9F" w:rsidRDefault="00744544" w:rsidP="00744544">
      <w:pPr>
        <w:pStyle w:val="SingleTxt"/>
        <w:spacing w:after="0" w:line="120" w:lineRule="exact"/>
        <w:rPr>
          <w:sz w:val="10"/>
          <w:lang w:val="fr-FR"/>
        </w:rPr>
      </w:pPr>
    </w:p>
    <w:p w14:paraId="1DD57136"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Pour pouvoir être affiliés à la Caisse commune des pensions du personnel des Nations Unies, les participants sont tenus de lui verser une cotisation représentant 7,9 % de leur rémunération considérée aux fins de la pension. Les sommes versées rapportent des intérêts à un taux de 3,25 % par an conformément à l’article 11 c) des Statuts de la Caisse. Les cotisations des participants se sont élevées à 890,4 millions de dollars pour l’année terminée le 31 décembre 2019 et à 820,2 millions pour l’année terminée le 31 décembre 2018, intérêts non compris.</w:t>
      </w:r>
    </w:p>
    <w:p w14:paraId="2064E668"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 xml:space="preserve">Les modalités de financement consistent pour les organisations affiliées à verser des cotisations mensuelles dont le montant repose sur des estimations, puis à rapprocher ces montants estimatifs des montants effectifs en fin d’année. Les cotisations des organisations affiliées sont également exprimées en pourcentage de la rémunération considérée aux fins de la pension des participants telle que définie à l’article 51 des Statuts de la Caisse. Conformément à l’article 25 du règlement, le taux de cotisation des organisations membres est actuellement de 15,8 % ; ces </w:t>
      </w:r>
      <w:r w:rsidRPr="00A66C9F">
        <w:rPr>
          <w:lang w:val="fr-FR"/>
        </w:rPr>
        <w:lastRenderedPageBreak/>
        <w:t>contributions versées à la Caisse se sont montées à 1 771,3 millions de dollars en 2019 et à 1 630,8 millions de dollars en 2018. Avec les cotisations des participants et le rendement escompté des investissements, on estime que la Caisse sera en mesure de servir toutes les prestations dues aux fonctionnaires à leur départ à la retraite.</w:t>
      </w:r>
    </w:p>
    <w:p w14:paraId="59E7E9B0"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Les avoirs de la Caisse proviennent :</w:t>
      </w:r>
    </w:p>
    <w:p w14:paraId="30FCF0D6" w14:textId="77777777" w:rsidR="00744544" w:rsidRPr="00A66C9F" w:rsidRDefault="00744544" w:rsidP="00744544">
      <w:pPr>
        <w:pStyle w:val="SingleTxt"/>
        <w:rPr>
          <w:lang w:val="fr-FR"/>
        </w:rPr>
      </w:pPr>
      <w:r w:rsidRPr="00A66C9F">
        <w:rPr>
          <w:lang w:val="fr-FR"/>
        </w:rPr>
        <w:tab/>
        <w:t>a)</w:t>
      </w:r>
      <w:r w:rsidRPr="00A66C9F">
        <w:rPr>
          <w:lang w:val="fr-FR"/>
        </w:rPr>
        <w:tab/>
        <w:t>Des cotisations des participants ;</w:t>
      </w:r>
    </w:p>
    <w:p w14:paraId="72B00ACB" w14:textId="77777777" w:rsidR="00744544" w:rsidRPr="00A66C9F" w:rsidRDefault="00744544" w:rsidP="00744544">
      <w:pPr>
        <w:pStyle w:val="SingleTxt"/>
        <w:rPr>
          <w:lang w:val="fr-FR"/>
        </w:rPr>
      </w:pPr>
      <w:r w:rsidRPr="00A66C9F">
        <w:rPr>
          <w:lang w:val="fr-FR"/>
        </w:rPr>
        <w:tab/>
        <w:t>b)</w:t>
      </w:r>
      <w:r w:rsidRPr="00A66C9F">
        <w:rPr>
          <w:lang w:val="fr-FR"/>
        </w:rPr>
        <w:tab/>
        <w:t>Des cotisations des organisations affiliées ;</w:t>
      </w:r>
    </w:p>
    <w:p w14:paraId="669B11C5" w14:textId="77777777" w:rsidR="00744544" w:rsidRPr="00A66C9F" w:rsidRDefault="00744544" w:rsidP="00744544">
      <w:pPr>
        <w:pStyle w:val="SingleTxt"/>
        <w:rPr>
          <w:lang w:val="fr-FR"/>
        </w:rPr>
      </w:pPr>
      <w:r w:rsidRPr="00A66C9F">
        <w:rPr>
          <w:lang w:val="fr-FR"/>
        </w:rPr>
        <w:tab/>
        <w:t>c)</w:t>
      </w:r>
      <w:r w:rsidRPr="00A66C9F">
        <w:rPr>
          <w:lang w:val="fr-FR"/>
        </w:rPr>
        <w:tab/>
        <w:t>Du produit des investissements de la Caisse ;</w:t>
      </w:r>
    </w:p>
    <w:p w14:paraId="66058E80" w14:textId="77777777" w:rsidR="00744544" w:rsidRPr="00A66C9F" w:rsidRDefault="00744544" w:rsidP="00744544">
      <w:pPr>
        <w:pStyle w:val="SingleTxt"/>
        <w:rPr>
          <w:lang w:val="fr-FR"/>
        </w:rPr>
      </w:pPr>
      <w:r w:rsidRPr="00A66C9F">
        <w:rPr>
          <w:lang w:val="fr-FR"/>
        </w:rPr>
        <w:tab/>
        <w:t>d)</w:t>
      </w:r>
      <w:r w:rsidRPr="00A66C9F">
        <w:rPr>
          <w:lang w:val="fr-FR"/>
        </w:rPr>
        <w:tab/>
        <w:t>Des versements effectués en vertu de l’article 26 des Statuts, s’il y a lieu, pour couvrir les déficits ;</w:t>
      </w:r>
    </w:p>
    <w:p w14:paraId="7E38BFD4" w14:textId="77777777" w:rsidR="00744544" w:rsidRPr="00A66C9F" w:rsidRDefault="00744544" w:rsidP="00744544">
      <w:pPr>
        <w:pStyle w:val="SingleTxt"/>
        <w:rPr>
          <w:lang w:val="fr-FR"/>
        </w:rPr>
      </w:pPr>
      <w:r w:rsidRPr="00A66C9F">
        <w:rPr>
          <w:lang w:val="fr-FR"/>
        </w:rPr>
        <w:tab/>
        <w:t>e)</w:t>
      </w:r>
      <w:r w:rsidRPr="00A66C9F">
        <w:rPr>
          <w:lang w:val="fr-FR"/>
        </w:rPr>
        <w:tab/>
        <w:t>Des recettes provenant de toute autre source.</w:t>
      </w:r>
    </w:p>
    <w:p w14:paraId="62242778" w14:textId="77777777" w:rsidR="00744544" w:rsidRPr="00A66C9F" w:rsidRDefault="00744544" w:rsidP="00744544">
      <w:pPr>
        <w:pStyle w:val="SingleTxt"/>
        <w:spacing w:after="0" w:line="120" w:lineRule="exact"/>
        <w:rPr>
          <w:sz w:val="10"/>
          <w:lang w:val="fr-FR"/>
        </w:rPr>
      </w:pPr>
    </w:p>
    <w:p w14:paraId="200AFF63"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t>1.13</w:t>
      </w:r>
      <w:r w:rsidRPr="00A66C9F">
        <w:rPr>
          <w:lang w:val="fr-FR"/>
        </w:rPr>
        <w:tab/>
        <w:t>Cessation de l’affiliation</w:t>
      </w:r>
    </w:p>
    <w:p w14:paraId="60F435CE" w14:textId="77777777" w:rsidR="00744544" w:rsidRPr="00A66C9F" w:rsidRDefault="00744544" w:rsidP="00744544">
      <w:pPr>
        <w:pStyle w:val="SingleTxt"/>
        <w:spacing w:after="0" w:line="120" w:lineRule="exact"/>
        <w:rPr>
          <w:sz w:val="10"/>
          <w:lang w:val="fr-FR"/>
        </w:rPr>
      </w:pPr>
    </w:p>
    <w:p w14:paraId="13C10C8F"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Il peut être mis fin à l’affiliation d’une organisation par décision de l’Assemblée générale, prise sur recommandation en ce sens du Comité mixte, soit à la suite d’une demande de cessation d’affiliation présentée par l’organisation elle-même, soit en raison d’un manquement persistant de la part de l’organisation considérée à s’acquitter des obligations qui lui incombent aux termes des Statuts.</w:t>
      </w:r>
    </w:p>
    <w:p w14:paraId="700B92ED"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Si une organisation cesse d’être affiliée à la Caisse, une part proportionnelle des avoirs de la Caisse à la date où l’affiliation prend fin lui est versée au bénéfice exclusif de ses fonctionnaires qui étaient participants à la Caisse à cette date, selon des modalités arrêtées d’un commun accord par l’organisation et le Comité mixte.</w:t>
      </w:r>
    </w:p>
    <w:p w14:paraId="07108B28"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Le montant de cette part proportionnelle est fixé par le Comité mixte après une évaluation actuarielle des avoirs et des engagements de la Caisse.</w:t>
      </w:r>
    </w:p>
    <w:p w14:paraId="20B73727"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Si l’on constate, à la suite d’une évaluation actuarielle, que les avoirs de la Caisse risquent d’être insuffisants pour lui permettre de faire face aux obligations découlant de ses Statuts, chaque organisation affiliée verse à la Caisse un certain montant pour combler le déficit.</w:t>
      </w:r>
    </w:p>
    <w:p w14:paraId="2FCBA0CC"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Le montant versé par chaque organisation est calculé au prorata des cotisations qu’elle a versées au titre de l’article 25 au cours des trois années précédant l’évaluation actuarielle.</w:t>
      </w:r>
    </w:p>
    <w:p w14:paraId="31E46C7B"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Le montant dû par une organisation admise à la Caisse moins de trois ans avant la date de l’évaluation est déterminé par le Comité mixte.</w:t>
      </w:r>
    </w:p>
    <w:p w14:paraId="23227145" w14:textId="77777777" w:rsidR="00744544" w:rsidRPr="00A66C9F" w:rsidRDefault="00744544" w:rsidP="00744544">
      <w:pPr>
        <w:pStyle w:val="SingleTxt"/>
        <w:spacing w:after="0" w:line="120" w:lineRule="exact"/>
        <w:rPr>
          <w:sz w:val="10"/>
          <w:lang w:val="fr-FR"/>
        </w:rPr>
      </w:pPr>
    </w:p>
    <w:p w14:paraId="7B601B96"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t>1.14</w:t>
      </w:r>
      <w:r w:rsidRPr="00A66C9F">
        <w:rPr>
          <w:lang w:val="fr-FR"/>
        </w:rPr>
        <w:tab/>
        <w:t>Changements intervenus dans les modalités de financement et d’affiliation durant la période considérée</w:t>
      </w:r>
    </w:p>
    <w:p w14:paraId="310F3A30" w14:textId="77777777" w:rsidR="00744544" w:rsidRPr="00A66C9F" w:rsidRDefault="00744544" w:rsidP="00744544">
      <w:pPr>
        <w:pStyle w:val="SingleTxt"/>
        <w:spacing w:after="0" w:line="120" w:lineRule="exact"/>
        <w:rPr>
          <w:sz w:val="10"/>
          <w:lang w:val="fr-FR"/>
        </w:rPr>
      </w:pPr>
    </w:p>
    <w:p w14:paraId="3037FE1C"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Aucun changement n’est intervenu dans les modalités de financement et d’affiliation durant la période considérée.</w:t>
      </w:r>
    </w:p>
    <w:p w14:paraId="6F1C3443" w14:textId="77777777" w:rsidR="00744544" w:rsidRPr="00A66C9F" w:rsidRDefault="00744544" w:rsidP="00744544">
      <w:pPr>
        <w:pStyle w:val="SingleTxt"/>
        <w:spacing w:after="0" w:line="120" w:lineRule="exact"/>
        <w:rPr>
          <w:sz w:val="10"/>
          <w:lang w:val="fr-FR"/>
        </w:rPr>
      </w:pPr>
    </w:p>
    <w:p w14:paraId="280DE21B"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Note 2</w:t>
      </w:r>
    </w:p>
    <w:p w14:paraId="37A7F1B6"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Généralités</w:t>
      </w:r>
    </w:p>
    <w:p w14:paraId="40F0AD08" w14:textId="77777777" w:rsidR="00744544" w:rsidRPr="00A66C9F" w:rsidRDefault="00744544" w:rsidP="00744544">
      <w:pPr>
        <w:pStyle w:val="SingleTxt"/>
        <w:spacing w:after="0" w:line="120" w:lineRule="exact"/>
        <w:rPr>
          <w:sz w:val="10"/>
          <w:lang w:val="fr-FR"/>
        </w:rPr>
      </w:pPr>
    </w:p>
    <w:p w14:paraId="6C2AE48B"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46" w:name="_Toc295380087"/>
      <w:bookmarkStart w:id="47" w:name="_Toc307817841"/>
      <w:bookmarkStart w:id="48" w:name="_Toc339633501"/>
      <w:bookmarkStart w:id="49" w:name="_Toc339633836"/>
      <w:r w:rsidRPr="00A66C9F">
        <w:rPr>
          <w:szCs w:val="20"/>
          <w:lang w:val="fr-FR"/>
        </w:rPr>
        <w:tab/>
        <w:t>2.1</w:t>
      </w:r>
      <w:r w:rsidRPr="00A66C9F">
        <w:rPr>
          <w:szCs w:val="20"/>
          <w:lang w:val="fr-FR"/>
        </w:rPr>
        <w:tab/>
        <w:t>Base</w:t>
      </w:r>
      <w:r w:rsidRPr="00A66C9F">
        <w:rPr>
          <w:lang w:val="fr-FR"/>
        </w:rPr>
        <w:t xml:space="preserve"> de présentation des états financiers</w:t>
      </w:r>
      <w:bookmarkEnd w:id="46"/>
      <w:bookmarkEnd w:id="47"/>
      <w:bookmarkEnd w:id="48"/>
      <w:bookmarkEnd w:id="49"/>
    </w:p>
    <w:p w14:paraId="448EA421" w14:textId="77777777" w:rsidR="00744544" w:rsidRPr="00A66C9F" w:rsidRDefault="00744544" w:rsidP="00744544">
      <w:pPr>
        <w:pStyle w:val="SingleTxt"/>
        <w:spacing w:after="0" w:line="120" w:lineRule="exact"/>
        <w:rPr>
          <w:sz w:val="10"/>
          <w:lang w:val="fr-FR"/>
        </w:rPr>
      </w:pPr>
    </w:p>
    <w:p w14:paraId="2F3B54BD" w14:textId="77777777" w:rsidR="00744544" w:rsidRPr="00A66C9F" w:rsidRDefault="00744544" w:rsidP="00753AB8">
      <w:pPr>
        <w:pStyle w:val="SingleTxt"/>
        <w:numPr>
          <w:ilvl w:val="0"/>
          <w:numId w:val="12"/>
        </w:numPr>
        <w:tabs>
          <w:tab w:val="num" w:pos="2804"/>
        </w:tabs>
        <w:spacing w:line="240" w:lineRule="exact"/>
        <w:ind w:left="1267"/>
        <w:rPr>
          <w:lang w:val="fr-FR"/>
        </w:rPr>
      </w:pPr>
      <w:bookmarkStart w:id="50" w:name="_Hlk38627587"/>
      <w:r w:rsidRPr="00A66C9F">
        <w:rPr>
          <w:lang w:val="fr-FR"/>
        </w:rPr>
        <w:t xml:space="preserve">Conformément aux Statuts de la Caisse adoptés par l’Assemblée générale et au Règlement administratif de la Caisse, y compris les règles de gestion financière, établi par le Comité mixte et communiqué à l’Assemblée et aux organisations affiliées, les états financiers ci-joints ont été dressés selon la méthode de la comptabilité d’exercice, conformément aux Normes comptables internationales pour le secteur </w:t>
      </w:r>
      <w:r w:rsidRPr="00A66C9F">
        <w:rPr>
          <w:lang w:val="fr-FR"/>
        </w:rPr>
        <w:lastRenderedPageBreak/>
        <w:t>public (IPSAS) et à la norme comptable internationale 26, (Comptabilité et rapports financiers des régimes de retraite), des Normes internationales d’information financière. Les états financiers de la Caisse comportent les éléments suivants :</w:t>
      </w:r>
    </w:p>
    <w:p w14:paraId="122EACD5" w14:textId="77777777" w:rsidR="00744544" w:rsidRPr="00A66C9F" w:rsidRDefault="00744544" w:rsidP="00744544">
      <w:pPr>
        <w:pStyle w:val="SingleTxt"/>
        <w:rPr>
          <w:lang w:val="fr-FR"/>
        </w:rPr>
      </w:pPr>
      <w:r w:rsidRPr="00A66C9F">
        <w:rPr>
          <w:lang w:val="fr-FR"/>
        </w:rPr>
        <w:tab/>
        <w:t>a)</w:t>
      </w:r>
      <w:r w:rsidRPr="00A66C9F">
        <w:rPr>
          <w:lang w:val="fr-FR"/>
        </w:rPr>
        <w:tab/>
        <w:t>un état de l’actif net disponible pour le versement des prestations ;</w:t>
      </w:r>
    </w:p>
    <w:p w14:paraId="23A91683" w14:textId="77777777" w:rsidR="00744544" w:rsidRPr="00A66C9F" w:rsidRDefault="00744544" w:rsidP="00744544">
      <w:pPr>
        <w:pStyle w:val="SingleTxt"/>
        <w:rPr>
          <w:lang w:val="fr-FR"/>
        </w:rPr>
      </w:pPr>
      <w:r w:rsidRPr="00A66C9F">
        <w:rPr>
          <w:lang w:val="fr-FR"/>
        </w:rPr>
        <w:tab/>
        <w:t>b)</w:t>
      </w:r>
      <w:r w:rsidRPr="00A66C9F">
        <w:rPr>
          <w:lang w:val="fr-FR"/>
        </w:rPr>
        <w:tab/>
        <w:t>un état des variations de l’actif net disponible pour le versement des prestations ;</w:t>
      </w:r>
    </w:p>
    <w:p w14:paraId="28D15CBC" w14:textId="77777777" w:rsidR="00744544" w:rsidRPr="00A66C9F" w:rsidRDefault="00744544" w:rsidP="00744544">
      <w:pPr>
        <w:pStyle w:val="SingleTxt"/>
        <w:rPr>
          <w:lang w:val="fr-FR"/>
        </w:rPr>
      </w:pPr>
      <w:r w:rsidRPr="00A66C9F">
        <w:rPr>
          <w:lang w:val="fr-FR"/>
        </w:rPr>
        <w:tab/>
        <w:t>c)</w:t>
      </w:r>
      <w:r w:rsidRPr="00A66C9F">
        <w:rPr>
          <w:lang w:val="fr-FR"/>
        </w:rPr>
        <w:tab/>
        <w:t>un état des flux de trésorerie ;</w:t>
      </w:r>
    </w:p>
    <w:p w14:paraId="02DF542B" w14:textId="77777777" w:rsidR="00744544" w:rsidRPr="00A66C9F" w:rsidRDefault="00744544" w:rsidP="00744544">
      <w:pPr>
        <w:pStyle w:val="SingleTxt"/>
        <w:rPr>
          <w:lang w:val="fr-FR"/>
        </w:rPr>
      </w:pPr>
      <w:r w:rsidRPr="00A66C9F">
        <w:rPr>
          <w:lang w:val="fr-FR"/>
        </w:rPr>
        <w:tab/>
        <w:t>d)</w:t>
      </w:r>
      <w:r w:rsidRPr="00A66C9F">
        <w:rPr>
          <w:lang w:val="fr-FR"/>
        </w:rPr>
        <w:tab/>
        <w:t>un état comparatif des montants inscrits au budget au titre des dépenses d’administration et des montants effectifs ;</w:t>
      </w:r>
    </w:p>
    <w:p w14:paraId="4CACAE1E" w14:textId="77777777" w:rsidR="00744544" w:rsidRPr="00A66C9F" w:rsidRDefault="00744544" w:rsidP="00744544">
      <w:pPr>
        <w:pStyle w:val="SingleTxt"/>
        <w:rPr>
          <w:lang w:val="fr-FR"/>
        </w:rPr>
      </w:pPr>
      <w:r w:rsidRPr="00A66C9F">
        <w:rPr>
          <w:lang w:val="fr-FR"/>
        </w:rPr>
        <w:tab/>
        <w:t>e)</w:t>
      </w:r>
      <w:r w:rsidRPr="00A66C9F">
        <w:rPr>
          <w:lang w:val="fr-FR"/>
        </w:rPr>
        <w:tab/>
        <w:t>une note présentant la valeur actuarielle des droits accumulés à prestations (prestations promises) et distinguant les prestations acquises des prestations non acquises ;</w:t>
      </w:r>
    </w:p>
    <w:p w14:paraId="17A08D18" w14:textId="77777777" w:rsidR="00744544" w:rsidRPr="00A66C9F" w:rsidRDefault="00744544" w:rsidP="00744544">
      <w:pPr>
        <w:pStyle w:val="SingleTxt"/>
        <w:rPr>
          <w:lang w:val="fr-FR"/>
        </w:rPr>
      </w:pPr>
      <w:r w:rsidRPr="00A66C9F">
        <w:rPr>
          <w:lang w:val="fr-FR"/>
        </w:rPr>
        <w:tab/>
        <w:t>f)</w:t>
      </w:r>
      <w:r w:rsidRPr="00A66C9F">
        <w:rPr>
          <w:lang w:val="fr-FR"/>
        </w:rPr>
        <w:tab/>
        <w:t>des notes relatives aux états financiers, comprenant un récapitulatif des principales conventions comptables et d’autres notes explicatives.</w:t>
      </w:r>
    </w:p>
    <w:p w14:paraId="0551942F"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La Caisse a adopté les normes IPSAS au 1</w:t>
      </w:r>
      <w:r w:rsidRPr="00A66C9F">
        <w:rPr>
          <w:vertAlign w:val="superscript"/>
          <w:lang w:val="fr-FR"/>
        </w:rPr>
        <w:t>er</w:t>
      </w:r>
      <w:r w:rsidRPr="00A66C9F">
        <w:rPr>
          <w:lang w:val="fr-FR"/>
        </w:rPr>
        <w:t xml:space="preserve"> janvier 2012. Elle a aussi, en même temps, adopté la norme IAS 26 qui, outre qu’elle définit des orientations comptables, comprend des directives pour la présentation des états financiers, indiquant que les régimes de retraite doivent présenter un état de l’actif net disponible pour le versement des prestations et un état des variations de l’actif net disponible pour le versement des prestations. La Caisse présente ses états financiers en se conformant à ces directives, qu’elle a intégrées dans ses propres politiques financières. Depuis 2016, la Caisse présente aussi, de sa propre initiative ou sur demande du Comité des commissaires aux comptes, des tableaux comparatifs des flux de trésorerie, conformément à la norme IPSAS 2 (Tableaux des flux de trésorerie). Des informations supplémentaires sont présentées lorsque les normes IPSAS l’exigent ; par exemple, comme l’impose la norme IPSAS 24 (Présentation de l’information budgétaire dans les états financiers), la Caisse présente dans ses états financiers un état comparatif des montants inscrits au budget et des montants effectifs calculés sur une base comparable, ainsi qu’un rapprochement des montants effectifs calculés sur une base comparable (voir la note 21). Par ailleurs, bien que la norme IPSAS 24 précise que les montants effectifs calculés sur une base comparable devraient être rapprochés des flux de trésorerie provenant du fonctionnement et des activités d’investissement et de financement, tels que présentés dans l’état correspondant, la direction a décidé de rapprocher ces montants des dépenses d’administration comptabilisées dans l’état des variations de l’actif net. En effet, le budget de la Caisse se limite aux dépenses d’administration engagées durant un exercice biennal.</w:t>
      </w:r>
    </w:p>
    <w:p w14:paraId="25AE86F9"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Les états financiers sont établis annuellement et toutes les valeurs sont arrondies au millier de dollars des États-Unis, sauf mention contraire.</w:t>
      </w:r>
    </w:p>
    <w:p w14:paraId="337CC544" w14:textId="77777777" w:rsidR="00744544" w:rsidRPr="00A66C9F" w:rsidRDefault="00744544" w:rsidP="00744544">
      <w:pPr>
        <w:pStyle w:val="SingleTxt"/>
        <w:spacing w:after="0" w:line="120" w:lineRule="exact"/>
        <w:rPr>
          <w:sz w:val="10"/>
          <w:lang w:val="fr-FR"/>
        </w:rPr>
      </w:pPr>
    </w:p>
    <w:p w14:paraId="54A88E21"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51" w:name="_Toc339633503"/>
      <w:bookmarkStart w:id="52" w:name="_Toc339633838"/>
      <w:bookmarkEnd w:id="50"/>
      <w:r w:rsidRPr="00A66C9F">
        <w:rPr>
          <w:lang w:val="fr-FR"/>
        </w:rPr>
        <w:tab/>
        <w:t>2.2</w:t>
      </w:r>
      <w:r w:rsidRPr="00A66C9F">
        <w:rPr>
          <w:lang w:val="fr-FR"/>
        </w:rPr>
        <w:tab/>
        <w:t>Principales normes, interprétations et modifications adoptées pendant l’année</w:t>
      </w:r>
      <w:bookmarkEnd w:id="51"/>
      <w:bookmarkEnd w:id="52"/>
    </w:p>
    <w:p w14:paraId="61616C51" w14:textId="77777777" w:rsidR="00744544" w:rsidRPr="00A66C9F" w:rsidRDefault="00744544" w:rsidP="00744544">
      <w:pPr>
        <w:pStyle w:val="SingleTxt"/>
        <w:spacing w:after="0" w:line="120" w:lineRule="exact"/>
        <w:rPr>
          <w:sz w:val="10"/>
          <w:lang w:val="fr-FR"/>
        </w:rPr>
      </w:pPr>
    </w:p>
    <w:p w14:paraId="71854194"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 xml:space="preserve">En janvier 2017, le Conseil des normes IPSAS a publié la norme IPSAS 40, qui porte sur la comptabilisation des regroupements d’entités et d’opérations et classe les regroupements d’entités du secteur public soit comme des fusions soit comme des acquisitions. Les fusions sont comptabilisées selon la méthode de la mise en commun d’intérêts modifiée, c’est-à-dire qu’elles sont constatées à la date à laquelle elles ont eu lieu à la valeur comptable de l’actif et du passif. Les acquisitions sont comptabilisées selon la méthode de l’acquisition, c’est-à-dire à la date à laquelle elles ont eu lieu. L’acquéreur comptabilise les actifs acquis et les passifs repris à leur juste valeur à cette date, de même que l’écart d’acquisition (ou goodwill). La norme IPSAS 40 est applicable à compter de la période annuelle de présentation de </w:t>
      </w:r>
      <w:r w:rsidRPr="00A66C9F">
        <w:rPr>
          <w:lang w:val="fr-FR"/>
        </w:rPr>
        <w:lastRenderedPageBreak/>
        <w:t>l’information commençant le 1</w:t>
      </w:r>
      <w:r w:rsidRPr="00A66C9F">
        <w:rPr>
          <w:vertAlign w:val="superscript"/>
          <w:lang w:val="fr-FR"/>
        </w:rPr>
        <w:t>er</w:t>
      </w:r>
      <w:r w:rsidRPr="00A66C9F">
        <w:rPr>
          <w:lang w:val="fr-FR"/>
        </w:rPr>
        <w:t xml:space="preserve"> janvier 2019. La Caisse n’a procédé à aucun regroupement d’entités ou d’opérations en 2019 ; en conséquence, l’adoption de cette norme comptable n’a pas eu d’incidence sur ses états financiers.</w:t>
      </w:r>
    </w:p>
    <w:p w14:paraId="2031C906"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En août 2018, le Conseil des normes IPSAS a publié la norme IPSAS 41 (Instruments financiers), qui définit de nouvelles règles pour le classement, la comptabilisation et l’évaluation des instruments financiers, en remplacement de celles qui figuraient dans la norme IPSAS 29 (Instruments financiers : comptabilisation et évaluation). Inspirée de la Norme internationale d’information financière 9 (Instruments financiers), formulée par le Conseil des normes comptables internationales, la norme IPSAS 41 apporte un certain nombre de modifications notables : application d’un modèle unique de classification et d’évaluation pour les actifs financiers, qui prend en compte les caractéristiques des flux de trésorerie associés à l’actif ainsi que l’objectif de sa détention ; application d’un modèle prévisionnel unique pour les pertes sur crédit attendues, applicable à tous les instruments financiers soumis à un test de dépréciation ; application d’un modèle de comptabilité de couverture amélioré, qui rend possible la diversification des opérations de couverture. Ce modèle établit un lien étroit entre la stratégie de gestion des risques d’une entité et le traitement comptable des instruments détenus au titre de cette stratégie. La norme IPSAS 41 s’appliquera à compter de la période annuelle de présentation de l’information commençant le 1</w:t>
      </w:r>
      <w:r w:rsidRPr="00A66C9F">
        <w:rPr>
          <w:vertAlign w:val="superscript"/>
          <w:lang w:val="fr-FR"/>
        </w:rPr>
        <w:t>er</w:t>
      </w:r>
      <w:r w:rsidRPr="00A66C9F">
        <w:rPr>
          <w:lang w:val="fr-FR"/>
        </w:rPr>
        <w:t xml:space="preserve"> janvier 2022, une application anticipée étant autorisée. Il ressort d’une analyse globale initiale que le changement ne devrait pas avoir d’incidence significative sur l’évaluation des instruments financiers, étant donné que les investissements de la Caisse ont été comptabilisés à la juste valeur et que celle-ci ne détenait aucun contrat sur produits dérivés au 31 décembre 2019. La Caisse prévoit d’achever dans le courant de l’année 2020 son évaluation détaillée des spécifications de la norme IPSAS 41 et de l’incidence sur ses états financiers des modifications des exigences en matière d’évaluation et d’information résultant de l’adoption de cette norme.</w:t>
      </w:r>
    </w:p>
    <w:p w14:paraId="30F9A134"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En janvier 2019, le Conseil des IPSAS a publié la norme IPSAS 42 (Prestations sociales), qui fournit des orientations sur la comptabilisation des dépenses liées aux prestations sociales. Les prestations sociales sont définies comme des transferts en espèces versés à certaines personnes ou à certains ménages qui répondent aux critères d’admissibilité, aux fins d’atténuer les risques sociaux et de répondre aux besoins de la société dans son ensemble. Conformément à la norme IPSAS 42, l’entité concernée doit comptabiliser une charge et un passif au titre du prochain versement d’avantages sociaux. Cette norme ne s’applique pas aux transferts en espèces aux particuliers et aux ménages qui ne visent pas à atténuer les risques sociaux, comme par exemple les secours d’urgence. La norme IPSAS 42 s’appliquera à compter de la période annuelle de présentation de l’information commençant le 1</w:t>
      </w:r>
      <w:r w:rsidRPr="00A66C9F">
        <w:rPr>
          <w:vertAlign w:val="superscript"/>
          <w:lang w:val="fr-FR"/>
        </w:rPr>
        <w:t>er</w:t>
      </w:r>
      <w:r w:rsidRPr="00A66C9F">
        <w:rPr>
          <w:lang w:val="fr-FR"/>
        </w:rPr>
        <w:t xml:space="preserve"> janvier 2022, une application anticipée étant autorisée. Sur la base d’une analyse initiale, la Caisse estime que la mise en application de cette norme comptable ne devrait pas avoir d’incidence sur ses états financiers.</w:t>
      </w:r>
    </w:p>
    <w:p w14:paraId="73AA204E"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Les autres normes comptables publiées par le Conseil des normes IPSAS ou les modifications qu’il a apportées aux normes en vigueur devraient n’avoir aucune incidence ou n’avoir qu’une incidence minimale sur les états financiers de la Caisse.</w:t>
      </w:r>
    </w:p>
    <w:p w14:paraId="60A63710" w14:textId="77777777" w:rsidR="00744544" w:rsidRPr="00A66C9F" w:rsidRDefault="00744544" w:rsidP="00744544">
      <w:pPr>
        <w:pStyle w:val="SingleTxt"/>
        <w:spacing w:after="0" w:line="120" w:lineRule="exact"/>
        <w:rPr>
          <w:sz w:val="10"/>
          <w:lang w:val="fr-FR"/>
        </w:rPr>
      </w:pPr>
    </w:p>
    <w:p w14:paraId="639B3BD9"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53" w:name="_Toc339633506"/>
      <w:bookmarkStart w:id="54" w:name="_Toc339633841"/>
      <w:r w:rsidRPr="00A66C9F">
        <w:rPr>
          <w:lang w:val="fr-FR"/>
        </w:rPr>
        <w:tab/>
        <w:t>2.3</w:t>
      </w:r>
      <w:r w:rsidRPr="00A66C9F">
        <w:rPr>
          <w:lang w:val="fr-FR"/>
        </w:rPr>
        <w:tab/>
        <w:t>Autres renseignements de caractère général</w:t>
      </w:r>
      <w:bookmarkEnd w:id="53"/>
      <w:bookmarkEnd w:id="54"/>
    </w:p>
    <w:p w14:paraId="5553E845" w14:textId="77777777" w:rsidR="00744544" w:rsidRPr="00A66C9F" w:rsidRDefault="00744544" w:rsidP="00744544">
      <w:pPr>
        <w:pStyle w:val="SingleTxt"/>
        <w:spacing w:after="0" w:line="120" w:lineRule="exact"/>
        <w:rPr>
          <w:sz w:val="10"/>
          <w:lang w:val="fr-FR"/>
        </w:rPr>
      </w:pPr>
    </w:p>
    <w:p w14:paraId="0F028340"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 xml:space="preserve">La Caisse établit ses propres états financiers à partir de données collectées dans trois grands domaines. Pour les activités opérationnelles (cotisations et paiement des prestations), elle tient ses propres registres dans le Système intégré d’administration des pensions. Pour les investissements, elle reçoit du comptable centralisateur des données mensuelles établies à partir des éléments fournis par le Bureau de la gestion des investissements, les dépositaires mondiaux et les gérants de portefeuille. Pour ses </w:t>
      </w:r>
      <w:r w:rsidRPr="00A66C9F">
        <w:rPr>
          <w:lang w:val="fr-FR"/>
        </w:rPr>
        <w:lastRenderedPageBreak/>
        <w:t>dépenses d’administration, la Caisse utilise les systèmes de l’ONU (Umoja) pour enregistrer et compiler l’information correspondante. Umoja fournit des informations établies selon la méthode de la comptabilité de caisse modifiée, qui sont ensuite retraitées par la Caisse pour obtenir des données de comptabilité d’exercice. En vertu d’un accord de partage des coûts, l’ONU rembourse certaines des dépenses d’administration, notamment les frais liés aux tâches administratives du Comité des pensions du personnel de l’ONU dont la Caisse s’acquitte pour le compte de l’Organisation. La Caisse a donc décidé de comptabiliser les sommes reçues à ce titre en déduction de ses dépenses d’administration, avant de les convertir en données de comptabilité d’exercice comme le prévoient les normes IPSAS.</w:t>
      </w:r>
    </w:p>
    <w:p w14:paraId="6E71DC1B" w14:textId="77777777" w:rsidR="00744544" w:rsidRPr="00A66C9F" w:rsidRDefault="00744544" w:rsidP="00744544">
      <w:pPr>
        <w:pStyle w:val="SingleTxt"/>
        <w:spacing w:after="0" w:line="120" w:lineRule="exact"/>
        <w:rPr>
          <w:sz w:val="10"/>
          <w:lang w:val="fr-FR"/>
        </w:rPr>
      </w:pPr>
    </w:p>
    <w:p w14:paraId="2115D7F2"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Note 3</w:t>
      </w:r>
      <w:bookmarkStart w:id="55" w:name="_Toc38529169"/>
    </w:p>
    <w:p w14:paraId="5E0A1430"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Principales méthodes comptables</w:t>
      </w:r>
      <w:bookmarkEnd w:id="55"/>
    </w:p>
    <w:p w14:paraId="43B554E5" w14:textId="77777777" w:rsidR="00744544" w:rsidRPr="00A66C9F" w:rsidRDefault="00744544" w:rsidP="00744544">
      <w:pPr>
        <w:pStyle w:val="SingleTxt"/>
        <w:spacing w:after="0" w:line="120" w:lineRule="exact"/>
        <w:rPr>
          <w:sz w:val="10"/>
          <w:lang w:val="fr-FR"/>
        </w:rPr>
      </w:pPr>
    </w:p>
    <w:p w14:paraId="1E86BEC5"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szCs w:val="20"/>
          <w:lang w:val="fr-FR"/>
        </w:rPr>
        <w:tab/>
        <w:t>3.1</w:t>
      </w:r>
      <w:r w:rsidRPr="00A66C9F">
        <w:rPr>
          <w:szCs w:val="20"/>
          <w:lang w:val="fr-FR"/>
        </w:rPr>
        <w:tab/>
        <w:t>Trésorerie</w:t>
      </w:r>
      <w:r w:rsidRPr="00A66C9F">
        <w:rPr>
          <w:lang w:val="fr-FR"/>
        </w:rPr>
        <w:t xml:space="preserve"> et équivalents de trésorerie</w:t>
      </w:r>
    </w:p>
    <w:p w14:paraId="32513C6C" w14:textId="77777777" w:rsidR="00744544" w:rsidRPr="00A66C9F" w:rsidRDefault="00744544" w:rsidP="00744544">
      <w:pPr>
        <w:pStyle w:val="SingleTxt"/>
        <w:spacing w:after="0" w:line="120" w:lineRule="exact"/>
        <w:rPr>
          <w:sz w:val="10"/>
          <w:lang w:val="fr-FR"/>
        </w:rPr>
      </w:pPr>
    </w:p>
    <w:p w14:paraId="7187BF31"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La trésorerie et les équivalents de trésorerie sont comptabilisés en valeur nominale et comprennent les fonds en caisse, les fonds détenus auprès de gérants externes et les titres de dépôts à court terme à forte liquidité détenus auprès d’institutions financières, dont l’échéance est inférieure ou égale à trois mois à compter de la date d’acquisition.</w:t>
      </w:r>
    </w:p>
    <w:p w14:paraId="7FBEB155" w14:textId="77777777" w:rsidR="00744544" w:rsidRPr="00A66C9F" w:rsidRDefault="00744544" w:rsidP="00744544">
      <w:pPr>
        <w:pStyle w:val="SingleTxt"/>
        <w:spacing w:after="0" w:line="120" w:lineRule="exact"/>
        <w:rPr>
          <w:sz w:val="10"/>
          <w:lang w:val="fr-FR"/>
        </w:rPr>
      </w:pPr>
    </w:p>
    <w:p w14:paraId="51A617DE"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t>3.2</w:t>
      </w:r>
      <w:r w:rsidRPr="00A66C9F">
        <w:rPr>
          <w:lang w:val="fr-FR"/>
        </w:rPr>
        <w:tab/>
        <w:t>Investissements</w:t>
      </w:r>
    </w:p>
    <w:p w14:paraId="6BEE8194" w14:textId="77777777" w:rsidR="00744544" w:rsidRPr="00A66C9F" w:rsidRDefault="00744544" w:rsidP="00744544">
      <w:pPr>
        <w:pStyle w:val="SingleTxt"/>
        <w:spacing w:after="0" w:line="120" w:lineRule="exact"/>
        <w:rPr>
          <w:sz w:val="10"/>
          <w:lang w:val="fr-FR"/>
        </w:rPr>
      </w:pPr>
    </w:p>
    <w:p w14:paraId="37EDF41E" w14:textId="77777777" w:rsidR="00744544" w:rsidRPr="00A66C9F" w:rsidRDefault="00744544" w:rsidP="0074454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Classification des investissements</w:t>
      </w:r>
    </w:p>
    <w:p w14:paraId="3EBAE55C" w14:textId="77777777" w:rsidR="00744544" w:rsidRPr="00A66C9F" w:rsidRDefault="00744544" w:rsidP="00744544">
      <w:pPr>
        <w:pStyle w:val="SingleTxt"/>
        <w:spacing w:after="0" w:line="120" w:lineRule="exact"/>
        <w:rPr>
          <w:sz w:val="10"/>
          <w:lang w:val="fr-FR"/>
        </w:rPr>
      </w:pPr>
    </w:p>
    <w:p w14:paraId="22FDD8AF"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Tous les investissements de la Caisse sont comptabilisés à la juste valeur avec contrepartie en résultat. Ils sont donc inscrits à leur juste valeur dans l’état de l’actif net disponible pour le versement des prestations, les variations de la juste valeur étant constatées dans l’état des variations de l’actif net disponible pour les prestations. Les achats et ventes de titres sont comptabilisés à la date de l’opération. La désignation et la classification des investissements ont lieu lors de la comptabilisation initiale et sont réévaluées à chaque date de clôture.</w:t>
      </w:r>
    </w:p>
    <w:p w14:paraId="7F6E7861"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Tous les coûts de transaction résultant d’un investissement désigné à la juste valeur sont portés en charges et comptabilisés dans l’état des variations de l’actif net.</w:t>
      </w:r>
    </w:p>
    <w:p w14:paraId="4C0D1407"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La Caisse classe ses investissements selon les catégories suivantes :</w:t>
      </w:r>
    </w:p>
    <w:p w14:paraId="2CC634E0" w14:textId="77777777" w:rsidR="00744544" w:rsidRPr="00A66C9F" w:rsidRDefault="00744544" w:rsidP="00744544">
      <w:pPr>
        <w:pStyle w:val="SingleTxt"/>
        <w:tabs>
          <w:tab w:val="right" w:pos="1685"/>
        </w:tabs>
        <w:ind w:left="1742" w:hanging="475"/>
        <w:rPr>
          <w:lang w:val="fr-FR"/>
        </w:rPr>
      </w:pPr>
      <w:r w:rsidRPr="00A66C9F">
        <w:rPr>
          <w:lang w:val="fr-FR"/>
        </w:rPr>
        <w:tab/>
        <w:t>•</w:t>
      </w:r>
      <w:r w:rsidRPr="00A66C9F">
        <w:rPr>
          <w:lang w:val="fr-FR"/>
        </w:rPr>
        <w:tab/>
        <w:t>Actions (y compris les fonds indiciels cotés, les actions ordinaires, les actions privilégiées, les titres composés et les fonds de placement immobilier cotés en bourse) ;</w:t>
      </w:r>
    </w:p>
    <w:p w14:paraId="4AE7312B" w14:textId="77777777" w:rsidR="00744544" w:rsidRPr="00A66C9F" w:rsidRDefault="00744544" w:rsidP="00744544">
      <w:pPr>
        <w:pStyle w:val="SingleTxt"/>
        <w:tabs>
          <w:tab w:val="right" w:pos="1685"/>
        </w:tabs>
        <w:ind w:left="1742" w:hanging="475"/>
        <w:rPr>
          <w:lang w:val="fr-FR"/>
        </w:rPr>
      </w:pPr>
      <w:r w:rsidRPr="00A66C9F">
        <w:rPr>
          <w:lang w:val="fr-FR"/>
        </w:rPr>
        <w:tab/>
        <w:t>•</w:t>
      </w:r>
      <w:r w:rsidRPr="00A66C9F">
        <w:rPr>
          <w:lang w:val="fr-FR"/>
        </w:rPr>
        <w:tab/>
        <w:t>Titres à revenu fixe (y compris les obligations d’État et d’organismes publics, les obligations de sociétés et les obligations de collectivités locales, ainsi que les titres hypothécaires et les titres adossés à des actifs)</w:t>
      </w:r>
    </w:p>
    <w:p w14:paraId="22561684" w14:textId="77777777" w:rsidR="00744544" w:rsidRPr="00A66C9F" w:rsidRDefault="00744544" w:rsidP="00744544">
      <w:pPr>
        <w:pStyle w:val="SingleTxt"/>
        <w:tabs>
          <w:tab w:val="right" w:pos="1685"/>
        </w:tabs>
        <w:ind w:left="1742" w:hanging="475"/>
        <w:rPr>
          <w:lang w:val="fr-FR"/>
        </w:rPr>
      </w:pPr>
      <w:r w:rsidRPr="00A66C9F">
        <w:rPr>
          <w:lang w:val="fr-FR"/>
        </w:rPr>
        <w:tab/>
        <w:t>•</w:t>
      </w:r>
      <w:r w:rsidRPr="00A66C9F">
        <w:rPr>
          <w:lang w:val="fr-FR"/>
        </w:rPr>
        <w:tab/>
        <w:t>Titres immobiliers (y compris les investissements dans des fonds dont les actifs sous-jacents sont des titres immobiliers : biens immobiliers, infrastructures, forêts exploitables et biens agricoles) ;</w:t>
      </w:r>
    </w:p>
    <w:p w14:paraId="5BAA7BE6" w14:textId="77777777" w:rsidR="00744544" w:rsidRPr="00A66C9F" w:rsidRDefault="00744544" w:rsidP="00744544">
      <w:pPr>
        <w:pStyle w:val="SingleTxt"/>
        <w:tabs>
          <w:tab w:val="right" w:pos="1685"/>
        </w:tabs>
        <w:ind w:left="1742" w:hanging="475"/>
        <w:rPr>
          <w:lang w:val="fr-FR"/>
        </w:rPr>
      </w:pPr>
      <w:r w:rsidRPr="00A66C9F">
        <w:rPr>
          <w:lang w:val="fr-FR"/>
        </w:rPr>
        <w:tab/>
        <w:t>•</w:t>
      </w:r>
      <w:r w:rsidRPr="00A66C9F">
        <w:rPr>
          <w:lang w:val="fr-FR"/>
        </w:rPr>
        <w:tab/>
        <w:t>Investissements alternatifs et divers (y compris les investissements dans des fonds de capital-investissement et des fonds de placement sur les marchés de produits de base).</w:t>
      </w:r>
    </w:p>
    <w:p w14:paraId="36601E5E" w14:textId="77777777" w:rsidR="00744544" w:rsidRPr="00A66C9F" w:rsidRDefault="00744544" w:rsidP="00744544">
      <w:pPr>
        <w:pStyle w:val="SingleTxt"/>
        <w:spacing w:after="0" w:line="120" w:lineRule="exact"/>
        <w:rPr>
          <w:sz w:val="10"/>
          <w:lang w:val="fr-FR"/>
        </w:rPr>
      </w:pPr>
    </w:p>
    <w:p w14:paraId="2079C0A3" w14:textId="77777777" w:rsidR="00744544" w:rsidRPr="00A66C9F" w:rsidRDefault="00744544" w:rsidP="0074454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Estimation de la valeur des instruments financiers</w:t>
      </w:r>
    </w:p>
    <w:p w14:paraId="79DFE170" w14:textId="77777777" w:rsidR="00744544" w:rsidRPr="00A66C9F" w:rsidRDefault="00744544" w:rsidP="00744544">
      <w:pPr>
        <w:pStyle w:val="SingleTxt"/>
        <w:keepNext/>
        <w:spacing w:after="0" w:line="120" w:lineRule="exact"/>
        <w:rPr>
          <w:sz w:val="10"/>
          <w:lang w:val="fr-FR"/>
        </w:rPr>
      </w:pPr>
    </w:p>
    <w:p w14:paraId="1CD876AF"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 xml:space="preserve">La Caisse s’en remet à la méthode clairement définie et décrite que son comptable centralisateur indépendant utilise pour déterminer la juste valeur des instruments financiers, qui est examinée et validée à la date de clôture. La juste valeur </w:t>
      </w:r>
      <w:r w:rsidRPr="00A66C9F">
        <w:rPr>
          <w:lang w:val="fr-FR"/>
        </w:rPr>
        <w:lastRenderedPageBreak/>
        <w:t>est calculée sur la base des cours du marché et, si ceux-ci ne sont pas disponibles, elle est établie à l’aide de techniques d’évaluation.</w:t>
      </w:r>
    </w:p>
    <w:p w14:paraId="374DC7C1"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Les investissements dans certains fonds amalgamés, les fonds de capital-investissement et les fonds de placement immobilier n’étant pas cotés sur des marchés actifs, leur juste valeur est difficile à déterminer. Les gérants de portefeuille, quant à eux, comptabilisent généralement ces investissements à la juste valeur. La Caisse détermine donc la juste valeur à partir des données sur la valeur liquidative que les gérants de l’entité détenue communiquent dans les derniers états trimestriels relatifs au compte de capital, données qu’elle ajuste en fonction des flux de trésorerie qui n’ont pas été indiqués par les gérants de l’entité pour le dernier trimestre. Pour les actifs et passifs financiers non comptabilisés à la juste valeur avec contrepartie en résultat, la valeur comptable est utilisée comme approximation.</w:t>
      </w:r>
    </w:p>
    <w:p w14:paraId="3DF50916" w14:textId="77777777" w:rsidR="00744544" w:rsidRPr="00A66C9F" w:rsidRDefault="00744544" w:rsidP="00744544">
      <w:pPr>
        <w:pStyle w:val="SingleTxt"/>
        <w:spacing w:after="0" w:line="120" w:lineRule="exact"/>
        <w:rPr>
          <w:sz w:val="10"/>
          <w:lang w:val="fr-FR"/>
        </w:rPr>
      </w:pPr>
    </w:p>
    <w:p w14:paraId="7C6A5FE3" w14:textId="77777777" w:rsidR="00744544" w:rsidRPr="00A66C9F" w:rsidRDefault="00744544" w:rsidP="0074454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Intérêts créditeurs et dividendes</w:t>
      </w:r>
    </w:p>
    <w:p w14:paraId="17ED91EF" w14:textId="77777777" w:rsidR="00744544" w:rsidRPr="00A66C9F" w:rsidRDefault="00744544" w:rsidP="00744544">
      <w:pPr>
        <w:pStyle w:val="SingleTxt"/>
        <w:spacing w:after="0" w:line="120" w:lineRule="exact"/>
        <w:rPr>
          <w:sz w:val="10"/>
          <w:lang w:val="fr-FR"/>
        </w:rPr>
      </w:pPr>
    </w:p>
    <w:p w14:paraId="10044B14"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 xml:space="preserve">Les intérêts créditeurs sont comptabilisés </w:t>
      </w:r>
      <w:r w:rsidRPr="00A66C9F">
        <w:rPr>
          <w:i/>
          <w:iCs/>
          <w:lang w:val="fr-FR"/>
        </w:rPr>
        <w:t>prorata temporis</w:t>
      </w:r>
      <w:r w:rsidRPr="00A66C9F">
        <w:rPr>
          <w:lang w:val="fr-FR"/>
        </w:rPr>
        <w:t>. Ils comprennent les intérêts perçus sur la trésorerie et les équivalents de trésorerie ainsi que sur les placements à court terme et à revenu fixe.</w:t>
      </w:r>
    </w:p>
    <w:p w14:paraId="0FC0FC29"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Les dividendes sont comptabilisés à la date ex-dividende, lorsque le droit de recevoir un paiement est établi.</w:t>
      </w:r>
    </w:p>
    <w:p w14:paraId="799665B7" w14:textId="77777777" w:rsidR="00744544" w:rsidRPr="00A66C9F" w:rsidRDefault="00744544" w:rsidP="00744544">
      <w:pPr>
        <w:pStyle w:val="SingleTxt"/>
        <w:spacing w:after="0" w:line="120" w:lineRule="exact"/>
        <w:rPr>
          <w:sz w:val="10"/>
          <w:lang w:val="fr-FR"/>
        </w:rPr>
      </w:pPr>
    </w:p>
    <w:p w14:paraId="19C91FDC" w14:textId="77777777" w:rsidR="00744544" w:rsidRPr="00A66C9F" w:rsidRDefault="00744544" w:rsidP="0074454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Revenus des titres immobiliers et des investissements alternatifs</w:t>
      </w:r>
    </w:p>
    <w:p w14:paraId="53D7F07F" w14:textId="77777777" w:rsidR="00744544" w:rsidRPr="00A66C9F" w:rsidRDefault="00744544" w:rsidP="00744544">
      <w:pPr>
        <w:pStyle w:val="SingleTxt"/>
        <w:spacing w:after="0" w:line="120" w:lineRule="exact"/>
        <w:rPr>
          <w:sz w:val="10"/>
          <w:lang w:val="fr-FR"/>
        </w:rPr>
      </w:pPr>
    </w:p>
    <w:p w14:paraId="1E320D1C"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Les revenus distribués provenant de fonds communs sont constatés comme revenus de l’année au cours de laquelle ils ont été produits.</w:t>
      </w:r>
    </w:p>
    <w:p w14:paraId="012D9DE7" w14:textId="77777777" w:rsidR="00744544" w:rsidRPr="00A66C9F" w:rsidRDefault="00744544" w:rsidP="00744544">
      <w:pPr>
        <w:pStyle w:val="SingleTxt"/>
        <w:spacing w:after="0" w:line="120" w:lineRule="exact"/>
        <w:rPr>
          <w:sz w:val="10"/>
          <w:lang w:val="fr-FR"/>
        </w:rPr>
      </w:pPr>
    </w:p>
    <w:p w14:paraId="4E0F5945" w14:textId="77777777" w:rsidR="00744544" w:rsidRPr="00A66C9F" w:rsidRDefault="00744544" w:rsidP="0074454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Produits à recevoir sur la cession de titres et montants à payer découlant d’opérations sur titres</w:t>
      </w:r>
    </w:p>
    <w:p w14:paraId="3DE0884E" w14:textId="77777777" w:rsidR="00744544" w:rsidRPr="00A66C9F" w:rsidRDefault="00744544" w:rsidP="00744544">
      <w:pPr>
        <w:pStyle w:val="SingleTxt"/>
        <w:spacing w:after="0" w:line="120" w:lineRule="exact"/>
        <w:rPr>
          <w:sz w:val="10"/>
          <w:lang w:val="fr-FR"/>
        </w:rPr>
      </w:pPr>
    </w:p>
    <w:p w14:paraId="69D9EE47"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Les montants à payer aux courtiers ou à recevoir de ceux-ci représentent des sommes à payer ou à recevoir pour la cession ou l’achat de titres pour lesquels un contrat a été passé mais qui n’ont pas encore été réglés ou livrés à la date de l’état de l’actif net disponible pour le versement des prestations. Ils sont constatés aux montants censés être payés ou reçus pour régler le solde. Les distributions au titre des actifs réels et des investissements alternatifs déclarées mais non reçues avant la fin de l’année sont également comptabilisées dans les produits à recevoir sur la cession de titres dans la mesure où la valeur liquidative la plus récente du fonds qui déclare une distribution tient déjà compte de celle-ci.</w:t>
      </w:r>
    </w:p>
    <w:p w14:paraId="689700BE"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Une dépréciation des produits à recevoir sur la cession de titres est constituée lorsqu’il existe des indications objectives que la Caisse ne pourra pas collecter tous les montants à recevoir du courtier considéré. De graves difficultés financières du courtier, la probabilité qu’il fasse faillite ou subisse une restructuration financière et le défaut de paiement sont des indications d’une dépréciation des produits à recevoir sur la cession de titres.</w:t>
      </w:r>
    </w:p>
    <w:p w14:paraId="040468E5" w14:textId="77777777" w:rsidR="00744544" w:rsidRPr="00A66C9F" w:rsidRDefault="00744544" w:rsidP="00744544">
      <w:pPr>
        <w:pStyle w:val="SingleTxt"/>
        <w:spacing w:after="0" w:line="120" w:lineRule="exact"/>
        <w:rPr>
          <w:sz w:val="10"/>
          <w:lang w:val="fr-FR"/>
        </w:rPr>
      </w:pPr>
    </w:p>
    <w:p w14:paraId="3838D3F0"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t>3.3</w:t>
      </w:r>
      <w:r w:rsidRPr="00A66C9F">
        <w:rPr>
          <w:lang w:val="fr-FR"/>
        </w:rPr>
        <w:tab/>
        <w:t>Fiscalité et retenues d’impôt à la source à recouvrer</w:t>
      </w:r>
    </w:p>
    <w:p w14:paraId="7727613F" w14:textId="77777777" w:rsidR="00744544" w:rsidRPr="00A66C9F" w:rsidRDefault="00744544" w:rsidP="00744544">
      <w:pPr>
        <w:pStyle w:val="SingleTxt"/>
        <w:spacing w:after="0" w:line="120" w:lineRule="exact"/>
        <w:rPr>
          <w:sz w:val="10"/>
          <w:lang w:val="fr-FR"/>
        </w:rPr>
      </w:pPr>
    </w:p>
    <w:p w14:paraId="3CCA9D88"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Le portefeuille de la Caisse comprend des investissements directs et indirects. Les investissements indirects se font généralement au moyen d’entités ou instruments tels que les sociétés d’investissements immobiliers cotées, les fonds indiciels cotés, les sociétés à responsabilité limitée ou les certificats de dépôt. La Caisse est exonérée de l’impôt national des États Membres en vertu de l’Article 105 de la Charte des Nations Unies et de l’alinéa a) de la section 7 de l’article II de la Convention sur les privilèges et immunités des Nations Unies.</w:t>
      </w:r>
    </w:p>
    <w:p w14:paraId="440A36C2"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lastRenderedPageBreak/>
        <w:t>Dans le cas des investissements directs, certains États Membres accordent un dégrèvement fiscal à la source pour les opérations et les revenus que la Caisse tire de ses investissements, tandis que d’autres prélèvent l’impôt à la source et remboursent la Caisse lorsqu’elle en fait la demande. Dans ce cas, les dépositaires demandent, au nom de la Caisse, le remboursement de l’impôt à l’autorité fiscale nationale. Les impôts retenus sur des investissements directs sont initialement comptabilisés comme des créances fiscales à recouvrer dans l’état de l’actif net disponible pour le versement des prestations. Après la comptabilisation initiale, s’il existe une preuve objective que les impôts ne sont pas recouvrables, la valeur comptable de l’actif est réduite au moyen d’un compte de dépréciation. Tout montant jugé non recouvrable est inscrit sous la rubrique Charges fiscales dans l’état des variations de l’actif net disponible pour le versement de prestations. À la fin de l’année, la Caisse évalue ses créances fiscales au montant qu’elle estime recouvrable.</w:t>
      </w:r>
    </w:p>
    <w:p w14:paraId="56E38DD6"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Dans le cas des investissements indirects, ce sont généralement les entités intermédiaires qui sont imposables et la Caisse n’est responsable d’aucun impôt. De plus, les impôts prélevés sur un instrument de placement peuvent rarement être imputés à la Caisse, sauf dans le cas des certificats de dépôt. Les impôts imputés à la Caisse pour les investissements indirects sont inscrits sous la rubrique Charges fiscales dans l’état des variations de l’actif net disponible pour le versement de prestations. Par la suite, s’il est tenu pour pratiquement certain que les impôts seront recouvrés, leur montant est alors inscrit sous la rubrique Créances sur des administrations fiscales dans l’état de l’actif net disponible pour le versement des prestations.</w:t>
      </w:r>
    </w:p>
    <w:p w14:paraId="72C53104"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La Caisse engage également des dépenses au titre de taxes sur la valeur des transactions. Celles-ci comprennent notamment les droits de timbre, la taxe sur les transactions de valeurs mobilières et la taxe sur les mouvements de capitaux à court terme. Les taxes sur les transactions sont inscrites sous la rubrique Autres coûts liés aux transactions dans l’état des variations de l’actif net disponible pour le versement de prestations. Par la suite, s’il est tenu pour pratiquement certain que les impôts seront recouvrés, leur montant est alors inscrit sous la rubrique Créances diverses.</w:t>
      </w:r>
    </w:p>
    <w:p w14:paraId="11F66456" w14:textId="77777777" w:rsidR="00744544" w:rsidRPr="00A66C9F" w:rsidRDefault="00744544" w:rsidP="00744544">
      <w:pPr>
        <w:pStyle w:val="SingleTxt"/>
        <w:spacing w:after="0" w:line="120" w:lineRule="exact"/>
        <w:rPr>
          <w:sz w:val="10"/>
          <w:lang w:val="fr-FR"/>
        </w:rPr>
      </w:pPr>
    </w:p>
    <w:p w14:paraId="3473F0B7"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t>3.4</w:t>
      </w:r>
      <w:r w:rsidRPr="00A66C9F">
        <w:rPr>
          <w:lang w:val="fr-FR"/>
        </w:rPr>
        <w:tab/>
        <w:t>Principaux éléments de l’information financière reposant sur des estimations comptables</w:t>
      </w:r>
    </w:p>
    <w:p w14:paraId="5EE65C2B" w14:textId="77777777" w:rsidR="00744544" w:rsidRPr="00A66C9F" w:rsidRDefault="00744544" w:rsidP="00744544">
      <w:pPr>
        <w:pStyle w:val="SingleTxt"/>
        <w:spacing w:after="0" w:line="120" w:lineRule="exact"/>
        <w:rPr>
          <w:sz w:val="10"/>
          <w:lang w:val="fr-FR"/>
        </w:rPr>
      </w:pPr>
    </w:p>
    <w:p w14:paraId="466AC698"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La direction formule des estimations et des hypothèses concernant l’avenir. Les estimations comptables qui en résultent seront, par définition, rarement égales aux chiffres effectifs correspondants. Les estimations et hypothèses qui comportent un fort risque d’entraîner un ajustement significatif de la valeur comptable des actifs et des passifs sont indiquées ci-dessous.</w:t>
      </w:r>
    </w:p>
    <w:p w14:paraId="0951A16B" w14:textId="77777777" w:rsidR="00744544" w:rsidRPr="00A66C9F" w:rsidRDefault="00744544" w:rsidP="00744544">
      <w:pPr>
        <w:pStyle w:val="SingleTxt"/>
        <w:spacing w:after="0" w:line="120" w:lineRule="exact"/>
        <w:rPr>
          <w:sz w:val="10"/>
          <w:lang w:val="fr-FR"/>
        </w:rPr>
      </w:pPr>
    </w:p>
    <w:p w14:paraId="1BAA4470" w14:textId="77777777" w:rsidR="00744544" w:rsidRPr="00A66C9F" w:rsidRDefault="00744544" w:rsidP="0074454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Juste valeur des instruments financiers</w:t>
      </w:r>
    </w:p>
    <w:p w14:paraId="6E1049DC" w14:textId="77777777" w:rsidR="00744544" w:rsidRPr="00A66C9F" w:rsidRDefault="00744544" w:rsidP="00744544">
      <w:pPr>
        <w:pStyle w:val="SingleTxt"/>
        <w:spacing w:after="0" w:line="120" w:lineRule="exact"/>
        <w:rPr>
          <w:sz w:val="10"/>
          <w:lang w:val="fr-FR"/>
        </w:rPr>
      </w:pPr>
    </w:p>
    <w:p w14:paraId="01EE8093"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La Caisse détient des instruments financiers qui ne sont pas cotés sur des marchés actifs. La juste valeur de ces instruments est calculée au moyen de techniques d’évaluation qui sont validées et périodiquement examinées et modifiées selon qu’il convient. Les modèles d’évaluation sont calibrés a posteriori en fonction des opérations effectives de façon à garantir la fiabilité des résultats. La Caisse s’appuie principalement sur les calibrages effectués par les auditeurs indépendants des sociétés dans lesquelles elle détient une participation.</w:t>
      </w:r>
    </w:p>
    <w:p w14:paraId="35C7406C"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Lorsque la juste valeur est basée sur un cours de marché observable, on utilise le cours coté à la date de clôture. La juste valeur d’un actif déterminée selon l’IPSAS 29 reflète une cession hypothétique de cet actif à la date de clôture. Les variations des cours du marché après cette date ne sont donc pas prises en compte dans l’évaluation de l’actif.</w:t>
      </w:r>
    </w:p>
    <w:p w14:paraId="37FF51D8"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lastRenderedPageBreak/>
        <w:t>La Caisse peut également déterminer la juste valeur des instruments financiers non cotés sur les marchés actifs à l’aide de sources dignes de foi (agences de cotation, par exemple) ou des cours indicatifs des teneurs de marchés obligataires. Les cotations obtenues auprès de ces sources peuvent n’avoir qu’une valeur indicative et ne pas être contraignantes. La Caisse exerce son jugement pour déterminer la quantité et la qualité des sources retenues.</w:t>
      </w:r>
    </w:p>
    <w:p w14:paraId="58F39772"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En l’absence de données de marché, la Caisse peut évaluer ses actifs à l’aide de ses propres modèles, qui reposent habituellement sur des méthodes et techniques d’évaluation généralement acceptées dans le secteur. Les modèles d’évaluation sont construits, dans la mesure du possible, à partir de données observables. Cependant, dans des domaines comme le risque de crédit (intéressant la Caisse et le contrepartiste), des problèmes de volatilité et de corrélation peuvent contraindre la direction à produire des estimations. Les changements d’hypothèses concernant ces facteurs peuvent influer sur la juste valeur des instruments financiers.</w:t>
      </w:r>
    </w:p>
    <w:p w14:paraId="1405D14D"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La Caisse exerce son jugement pour déterminer ce qui constitue des données « observables ». Elle considère que les données observables sont des données de marché qui sont facilement disponibles, périodiquement communiquées ou mises à jour, fiables et vérifiables, non protégées par des droits exclusifs et fournies par des sources indépendantes qui sont actives sur le marché considéré.</w:t>
      </w:r>
    </w:p>
    <w:p w14:paraId="3E3B2521"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La Caisse doit également exercer son jugement lors de l’évaluation des investissements dans des actifs réels et des investissements alternatifs effectués par l’intermédiaire de sociétés à responsabilité limitée, en raison de l’absence de valeurs de marché cotées, de l’illiquididé qui caractérise ces investissements et du fait qu’il s’agit de placements à long terme. L’évaluation de ces investissements est basée sur l’évaluation fournie par les commandités ou les gérants des portefeuilles concernés. La Caisse s’appuie principalement sur les calibrages effectués par les auditeurs indépendants des sociétés dans lesquelles elle détient une participation, et sur le respect par les différents gérants de portefeuille des normes comptables et des procédures d’évaluation généralement reconnues.</w:t>
      </w:r>
    </w:p>
    <w:p w14:paraId="7E0C38A1" w14:textId="77777777" w:rsidR="00744544" w:rsidRPr="00A66C9F" w:rsidRDefault="00744544" w:rsidP="00744544">
      <w:pPr>
        <w:pStyle w:val="SingleTxt"/>
        <w:spacing w:after="0" w:line="120" w:lineRule="exact"/>
        <w:rPr>
          <w:sz w:val="10"/>
          <w:lang w:val="fr-FR"/>
        </w:rPr>
      </w:pPr>
    </w:p>
    <w:p w14:paraId="35E569EE" w14:textId="77777777" w:rsidR="00744544" w:rsidRPr="00A66C9F" w:rsidRDefault="00744544" w:rsidP="0074454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Impôts</w:t>
      </w:r>
    </w:p>
    <w:p w14:paraId="3D1DA99A" w14:textId="77777777" w:rsidR="00744544" w:rsidRPr="00A66C9F" w:rsidRDefault="00744544" w:rsidP="00744544">
      <w:pPr>
        <w:pStyle w:val="SingleTxt"/>
        <w:spacing w:after="0" w:line="120" w:lineRule="exact"/>
        <w:rPr>
          <w:sz w:val="10"/>
          <w:lang w:val="fr-FR"/>
        </w:rPr>
      </w:pPr>
    </w:p>
    <w:p w14:paraId="36004021"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L’interprétation des réglementations fiscales complexes et des modifications de la législation fiscale concernant les retenues à la source donne matière à incertitudes. Compte tenu de la grande diversité des investissements internationaux, les écarts entre les produits effectifs et les hypothèses retenues, ou les hypothèses modifiées par la suite, pourraient nécessiter de nouveaux ajustements de la dépense fiscale déjà comptabilisée au cours de l’année et de toute créance fiscale jugée recouvrable à la fin de l’année.</w:t>
      </w:r>
    </w:p>
    <w:p w14:paraId="42A8FAE5" w14:textId="77777777" w:rsidR="00744544" w:rsidRPr="00A66C9F" w:rsidRDefault="00744544" w:rsidP="00744544">
      <w:pPr>
        <w:pStyle w:val="SingleTxt"/>
        <w:spacing w:after="0" w:line="120" w:lineRule="exact"/>
        <w:rPr>
          <w:sz w:val="10"/>
          <w:lang w:val="fr-FR"/>
        </w:rPr>
      </w:pPr>
    </w:p>
    <w:p w14:paraId="67ADF2EA" w14:textId="77777777" w:rsidR="00744544" w:rsidRPr="00A66C9F" w:rsidRDefault="00744544" w:rsidP="0074454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Dépréciation</w:t>
      </w:r>
    </w:p>
    <w:p w14:paraId="174CDF0A" w14:textId="77777777" w:rsidR="00744544" w:rsidRPr="00A66C9F" w:rsidRDefault="00744544" w:rsidP="00744544">
      <w:pPr>
        <w:pStyle w:val="SingleTxt"/>
        <w:spacing w:after="0" w:line="120" w:lineRule="exact"/>
        <w:rPr>
          <w:sz w:val="10"/>
          <w:lang w:val="fr-FR"/>
        </w:rPr>
      </w:pPr>
    </w:p>
    <w:p w14:paraId="7B1548EA"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La Caisse exerce également son jugement lors de l’examen annuel des éventuelles dépréciations.</w:t>
      </w:r>
    </w:p>
    <w:p w14:paraId="7A9B2161" w14:textId="77777777" w:rsidR="00744544" w:rsidRPr="00A66C9F" w:rsidRDefault="00744544" w:rsidP="00744544">
      <w:pPr>
        <w:pStyle w:val="SingleTxt"/>
        <w:spacing w:after="0" w:line="120" w:lineRule="exact"/>
        <w:rPr>
          <w:sz w:val="10"/>
          <w:lang w:val="fr-FR"/>
        </w:rPr>
      </w:pPr>
    </w:p>
    <w:p w14:paraId="2C5C877E" w14:textId="77777777" w:rsidR="00744544" w:rsidRPr="00A66C9F" w:rsidRDefault="00744544" w:rsidP="0074454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Provision pour créances non liées aux investissements de la Caisse</w:t>
      </w:r>
    </w:p>
    <w:p w14:paraId="74C6ACFC" w14:textId="77777777" w:rsidR="00744544" w:rsidRPr="00A66C9F" w:rsidRDefault="00744544" w:rsidP="00744544">
      <w:pPr>
        <w:pStyle w:val="SingleTxt"/>
        <w:keepNext/>
        <w:spacing w:after="0" w:line="120" w:lineRule="exact"/>
        <w:rPr>
          <w:sz w:val="10"/>
          <w:lang w:val="fr-FR"/>
        </w:rPr>
      </w:pPr>
    </w:p>
    <w:p w14:paraId="04E732F1"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Afin de donner une image exacte des créances, une provision est créée pour dépréciation des prestations indûment versées qui n’ont pas été recouvrées depuis plus de deux ans à la date de l’état financier.</w:t>
      </w:r>
    </w:p>
    <w:p w14:paraId="3499F08A" w14:textId="77777777" w:rsidR="00744544" w:rsidRPr="00A66C9F" w:rsidRDefault="00744544" w:rsidP="00744544">
      <w:pPr>
        <w:pStyle w:val="SingleTxt"/>
        <w:spacing w:after="0" w:line="120" w:lineRule="exact"/>
        <w:rPr>
          <w:sz w:val="10"/>
          <w:lang w:val="fr-FR"/>
        </w:rPr>
      </w:pPr>
    </w:p>
    <w:p w14:paraId="10AD9F53" w14:textId="77777777" w:rsidR="00744544" w:rsidRPr="00A66C9F" w:rsidRDefault="00744544" w:rsidP="0074454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Hypothèses actuarielles</w:t>
      </w:r>
    </w:p>
    <w:p w14:paraId="6FC5E7AD" w14:textId="77777777" w:rsidR="00744544" w:rsidRPr="00A66C9F" w:rsidRDefault="00744544" w:rsidP="00744544">
      <w:pPr>
        <w:pStyle w:val="SingleTxt"/>
        <w:spacing w:after="0" w:line="120" w:lineRule="exact"/>
        <w:rPr>
          <w:sz w:val="10"/>
          <w:lang w:val="fr-FR"/>
        </w:rPr>
      </w:pPr>
    </w:p>
    <w:p w14:paraId="1655BE5A"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 xml:space="preserve">La Caisse utilise des méthodes actuarielles aux fins de la publication des passifs liés aux avantages du personnel. Les hypothèses relatives à l’assurance maladie après </w:t>
      </w:r>
      <w:r w:rsidRPr="00A66C9F">
        <w:rPr>
          <w:lang w:val="fr-FR"/>
        </w:rPr>
        <w:lastRenderedPageBreak/>
        <w:t>la cessation de service et à d’autres avantages du personnel de la Caisse sont présentées dans la note 11. La note 18 contient des informations sur les hypothèses relatives au passif actuariel envers les bénéficiaires de la Caisse.</w:t>
      </w:r>
    </w:p>
    <w:p w14:paraId="727448C0" w14:textId="77777777" w:rsidR="00744544" w:rsidRPr="00A66C9F" w:rsidRDefault="00744544" w:rsidP="00744544">
      <w:pPr>
        <w:pStyle w:val="SingleTxt"/>
        <w:spacing w:after="0" w:line="120" w:lineRule="exact"/>
        <w:rPr>
          <w:sz w:val="10"/>
          <w:lang w:val="fr-FR"/>
        </w:rPr>
      </w:pPr>
    </w:p>
    <w:p w14:paraId="7217E795"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56" w:name="_Toc339633521"/>
      <w:bookmarkStart w:id="57" w:name="_Toc339633856"/>
      <w:r w:rsidRPr="00A66C9F">
        <w:rPr>
          <w:lang w:val="fr-FR"/>
        </w:rPr>
        <w:tab/>
        <w:t>3.5</w:t>
      </w:r>
      <w:r w:rsidRPr="00A66C9F">
        <w:rPr>
          <w:lang w:val="fr-FR"/>
        </w:rPr>
        <w:tab/>
        <w:t>Cotisations</w:t>
      </w:r>
      <w:bookmarkEnd w:id="56"/>
      <w:bookmarkEnd w:id="57"/>
    </w:p>
    <w:p w14:paraId="1A1C2675" w14:textId="77777777" w:rsidR="00744544" w:rsidRPr="00A66C9F" w:rsidRDefault="00744544" w:rsidP="00744544">
      <w:pPr>
        <w:pStyle w:val="SingleTxt"/>
        <w:spacing w:after="0" w:line="120" w:lineRule="exact"/>
        <w:rPr>
          <w:sz w:val="10"/>
          <w:lang w:val="fr-FR"/>
        </w:rPr>
      </w:pPr>
    </w:p>
    <w:p w14:paraId="44FC1C90"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Les cotisations sont constatées selon la comptabilité d’exercice. Les participants et les organisations affiliées qui les emploient doivent verser à la Caisse respectivement 7,9 % et 15,8 % de la rémunération considérée aux fins de la pension. Chaque mois, la Caisse inscrit des produits à recevoir correspondant aux cotisations attendues, qui sont annulés lorsque les cotisations sont effectivement perçues. Les cotisations doivent être versées par les organisations affiliées le deuxième jour ouvrable du mois suivant celui auquel elles se rapportent. Les recettes provenant des cotisations varient en fonction de l’évolution du nombre des participants, de leur répartition et de la rémunération considérée aux fins de la pension, qui elle-même varie en fonction des hausses du coût de la vie établies par la Commission de la fonction publique internationale et, au plan individuel, des augmentations annuelles d’échelon dont bénéficient tous les participants.</w:t>
      </w:r>
    </w:p>
    <w:p w14:paraId="16E093C9" w14:textId="77777777" w:rsidR="00744544" w:rsidRPr="00A66C9F" w:rsidRDefault="00744544" w:rsidP="00744544">
      <w:pPr>
        <w:pStyle w:val="SingleTxt"/>
        <w:spacing w:after="0" w:line="120" w:lineRule="exact"/>
        <w:rPr>
          <w:sz w:val="10"/>
          <w:lang w:val="fr-FR"/>
        </w:rPr>
      </w:pPr>
    </w:p>
    <w:p w14:paraId="409246D5"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58" w:name="_Toc339633522"/>
      <w:bookmarkStart w:id="59" w:name="_Toc339633857"/>
      <w:r w:rsidRPr="00A66C9F">
        <w:rPr>
          <w:lang w:val="fr-FR"/>
        </w:rPr>
        <w:tab/>
        <w:t>3.6</w:t>
      </w:r>
      <w:r w:rsidRPr="00A66C9F">
        <w:rPr>
          <w:lang w:val="fr-FR"/>
        </w:rPr>
        <w:tab/>
        <w:t>Prestations</w:t>
      </w:r>
      <w:bookmarkEnd w:id="58"/>
      <w:bookmarkEnd w:id="59"/>
    </w:p>
    <w:p w14:paraId="46B437CA" w14:textId="77777777" w:rsidR="00744544" w:rsidRPr="00A66C9F" w:rsidRDefault="00744544" w:rsidP="00744544">
      <w:pPr>
        <w:pStyle w:val="SingleTxt"/>
        <w:spacing w:after="0" w:line="120" w:lineRule="exact"/>
        <w:rPr>
          <w:sz w:val="10"/>
          <w:lang w:val="fr-FR"/>
        </w:rPr>
      </w:pPr>
    </w:p>
    <w:p w14:paraId="0ACD1521"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Les avantages du personnel, y compris les versements de départ au titre de la liquidation des droits, sont constatés selon la comptabilité d’exercice. En général, le droit à une prestation est frappé de déchéance si, deux ans (dans le cas des versements de départ au titre de la liquidation des droits ou des versements résiduels) ou cinq ans (dans le cas des pensions de retraite, de retraite anticipée, de retraite différée ou d’invalidité) après que le versement de la prestation est devenu exigible, le (la) bénéficiaire n’a toujours pas donné les instructions nécessaires pour que le paiement soit effectué, ou a omis ou refusé de l’accepter. Un montant estimatif est comptabilisé au passif pour les versements de départ au titre de la liquidation des droits dus après moins de cinq ans de participation et pour lesquels le (la) bénéficiaire n’a pas communiqué d’instruction de paiement dans les 36 mois à compter de la date du fait générateur d’obligation. Cette estimation est basée sur la moyenne des frais que de tels cas ont occasionnés sur les cinq dernières années.</w:t>
      </w:r>
    </w:p>
    <w:p w14:paraId="78B0572B" w14:textId="77777777" w:rsidR="00744544" w:rsidRPr="00A66C9F" w:rsidRDefault="00744544" w:rsidP="00744544">
      <w:pPr>
        <w:pStyle w:val="SingleTxt"/>
        <w:spacing w:after="0" w:line="120" w:lineRule="exact"/>
        <w:rPr>
          <w:sz w:val="10"/>
          <w:lang w:val="fr-FR"/>
        </w:rPr>
      </w:pPr>
    </w:p>
    <w:p w14:paraId="200D1811"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60" w:name="_Toc339633523"/>
      <w:bookmarkStart w:id="61" w:name="_Toc339633858"/>
      <w:r w:rsidRPr="00A66C9F">
        <w:rPr>
          <w:lang w:val="fr-FR"/>
        </w:rPr>
        <w:tab/>
        <w:t>3.7</w:t>
      </w:r>
      <w:r w:rsidRPr="00A66C9F">
        <w:rPr>
          <w:lang w:val="fr-FR"/>
        </w:rPr>
        <w:tab/>
        <w:t xml:space="preserve">Comptabilisation des opérations et soldes en monnaies autres que le dollar </w:t>
      </w:r>
      <w:r w:rsidRPr="00A66C9F">
        <w:rPr>
          <w:lang w:val="fr-FR"/>
        </w:rPr>
        <w:br/>
        <w:t>des États-Unis</w:t>
      </w:r>
      <w:bookmarkEnd w:id="60"/>
      <w:bookmarkEnd w:id="61"/>
    </w:p>
    <w:p w14:paraId="3160F900" w14:textId="77777777" w:rsidR="00744544" w:rsidRPr="00A66C9F" w:rsidRDefault="00744544" w:rsidP="00744544">
      <w:pPr>
        <w:pStyle w:val="SingleTxt"/>
        <w:spacing w:after="0" w:line="120" w:lineRule="exact"/>
        <w:rPr>
          <w:sz w:val="10"/>
          <w:lang w:val="fr-FR"/>
        </w:rPr>
      </w:pPr>
    </w:p>
    <w:p w14:paraId="703D5102"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La conversion d’une opération conclue en monnaie autre que le dollar des États-Unis s’effectue au taux de change au comptant de la monnaie de fonctionnement par rapport à la devise à la date de l’opération.</w:t>
      </w:r>
    </w:p>
    <w:p w14:paraId="7B59BC06"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À la date de clôture des comptes, les éléments monétaires en monnaie autre que le dollar des États-Unis sont convertis au taux comptant. La Caisse utilise les taux WM/Reuters (source principale) et les taux Bloomberg et Refinitiv (sources secondaires) comme taux comptant pour les activités d’investissement et le taux de change opérationnel de l’Organisation des Nations Unies pour les autres activités. Les gains ou pertes de change résultant du règlement de ces éléments monétaires ou de leur conversion à des taux autres que ceux auxquels ils ont été convertis sont comptabilisés dans l’état de l’actif net disponible pour le versement des prestations pendant la période au cours de laquelle ils se produisent.</w:t>
      </w:r>
    </w:p>
    <w:p w14:paraId="3C8F2D96" w14:textId="77777777" w:rsidR="00744544" w:rsidRPr="00A66C9F" w:rsidRDefault="00744544" w:rsidP="00744544">
      <w:pPr>
        <w:pStyle w:val="SingleTxt"/>
        <w:spacing w:after="0" w:line="120" w:lineRule="exact"/>
        <w:rPr>
          <w:sz w:val="10"/>
          <w:lang w:val="fr-FR"/>
        </w:rPr>
      </w:pPr>
    </w:p>
    <w:p w14:paraId="5BD4B3A0"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62" w:name="_Toc339633524"/>
      <w:bookmarkStart w:id="63" w:name="_Toc339633859"/>
      <w:r w:rsidRPr="00A66C9F">
        <w:rPr>
          <w:lang w:val="fr-FR"/>
        </w:rPr>
        <w:tab/>
        <w:t>3.8</w:t>
      </w:r>
      <w:r w:rsidRPr="00A66C9F">
        <w:rPr>
          <w:lang w:val="fr-FR"/>
        </w:rPr>
        <w:tab/>
        <w:t>Contrats de location</w:t>
      </w:r>
      <w:bookmarkEnd w:id="62"/>
      <w:bookmarkEnd w:id="63"/>
    </w:p>
    <w:p w14:paraId="09FBDCB1" w14:textId="77777777" w:rsidR="00744544" w:rsidRPr="00A66C9F" w:rsidRDefault="00744544" w:rsidP="00744544">
      <w:pPr>
        <w:pStyle w:val="SingleTxt"/>
        <w:spacing w:after="0" w:line="120" w:lineRule="exact"/>
        <w:rPr>
          <w:sz w:val="10"/>
          <w:lang w:val="fr-FR"/>
        </w:rPr>
      </w:pPr>
    </w:p>
    <w:p w14:paraId="1E4E246E"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 xml:space="preserve">Tous les baux de la Caisse sont comptabilisés comme contrats de location simple. Un contrat de location simple est un bail qui n’a pas pour effet de transférer au preneur la quasi-totalité des risques et des avantages inhérents à la propriété d’un </w:t>
      </w:r>
      <w:r w:rsidRPr="00A66C9F">
        <w:rPr>
          <w:lang w:val="fr-FR"/>
        </w:rPr>
        <w:lastRenderedPageBreak/>
        <w:t>actif. Les paiements correspondants sont comptabilisés en charges selon la méthode linéaire sur la durée du bail.</w:t>
      </w:r>
    </w:p>
    <w:p w14:paraId="36D8574B" w14:textId="77777777" w:rsidR="00744544" w:rsidRPr="00A66C9F" w:rsidRDefault="00744544" w:rsidP="00744544">
      <w:pPr>
        <w:pStyle w:val="SingleTxt"/>
        <w:spacing w:after="0" w:line="120" w:lineRule="exact"/>
        <w:rPr>
          <w:sz w:val="10"/>
          <w:lang w:val="fr-FR"/>
        </w:rPr>
      </w:pPr>
    </w:p>
    <w:p w14:paraId="2499AF17"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64" w:name="_Toc339633526"/>
      <w:bookmarkStart w:id="65" w:name="_Toc339633861"/>
      <w:r w:rsidRPr="00A66C9F">
        <w:rPr>
          <w:lang w:val="fr-FR"/>
        </w:rPr>
        <w:tab/>
        <w:t>3.9</w:t>
      </w:r>
      <w:r w:rsidRPr="00A66C9F">
        <w:rPr>
          <w:lang w:val="fr-FR"/>
        </w:rPr>
        <w:tab/>
        <w:t>Immobilisations corporelles</w:t>
      </w:r>
      <w:bookmarkEnd w:id="64"/>
      <w:bookmarkEnd w:id="65"/>
    </w:p>
    <w:p w14:paraId="36DECCD7" w14:textId="77777777" w:rsidR="00744544" w:rsidRPr="00A66C9F" w:rsidRDefault="00744544" w:rsidP="00744544">
      <w:pPr>
        <w:pStyle w:val="SingleTxt"/>
        <w:spacing w:after="0" w:line="120" w:lineRule="exact"/>
        <w:rPr>
          <w:sz w:val="10"/>
          <w:lang w:val="fr-FR"/>
        </w:rPr>
      </w:pPr>
    </w:p>
    <w:p w14:paraId="1C651286"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Les immobilisations corporelles sont comptabilisées au coût historique minoré du cumul des amortissements et de toute dépréciation. Tous les actifs d’une valeur d’acquisition au moins égale à 20 000 dollars sont comptabilisés à l’actif. La Caisse revoit ce seuil tous les ans pour s’assurer qu’il est raisonnablement établi. La Caisse ne possède ni terrains ni immeubles.</w:t>
      </w:r>
    </w:p>
    <w:p w14:paraId="6C845DEB"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Les immobilisations corporelles sont amorties sur leur durée d’utilité selon la méthode linéaire. Le tableau ci-après indique la durée d’utilité estimée des différentes catégories d’immobilisations corporelles :</w:t>
      </w:r>
    </w:p>
    <w:p w14:paraId="2D13E5E7" w14:textId="77777777" w:rsidR="00744544" w:rsidRPr="00A66C9F" w:rsidRDefault="00744544" w:rsidP="00744544">
      <w:pPr>
        <w:pStyle w:val="SingleTxt"/>
        <w:spacing w:after="0" w:line="120" w:lineRule="exact"/>
        <w:rPr>
          <w:sz w:val="10"/>
          <w:lang w:val="fr-FR"/>
        </w:rPr>
      </w:pPr>
    </w:p>
    <w:tbl>
      <w:tblPr>
        <w:tblW w:w="7320" w:type="dxa"/>
        <w:tblInd w:w="1260" w:type="dxa"/>
        <w:tblLayout w:type="fixed"/>
        <w:tblCellMar>
          <w:left w:w="0" w:type="dxa"/>
          <w:right w:w="0" w:type="dxa"/>
        </w:tblCellMar>
        <w:tblLook w:val="00A0" w:firstRow="1" w:lastRow="0" w:firstColumn="1" w:lastColumn="0" w:noHBand="0" w:noVBand="0"/>
      </w:tblPr>
      <w:tblGrid>
        <w:gridCol w:w="4050"/>
        <w:gridCol w:w="3270"/>
      </w:tblGrid>
      <w:tr w:rsidR="00744544" w:rsidRPr="00A66C9F" w14:paraId="0D53F855" w14:textId="77777777" w:rsidTr="00107D5D">
        <w:trPr>
          <w:trHeight w:val="288"/>
          <w:tblHeader/>
        </w:trPr>
        <w:tc>
          <w:tcPr>
            <w:tcW w:w="4050" w:type="dxa"/>
            <w:tcBorders>
              <w:top w:val="single" w:sz="4" w:space="0" w:color="auto"/>
              <w:bottom w:val="single" w:sz="12" w:space="0" w:color="auto"/>
            </w:tcBorders>
            <w:shd w:val="clear" w:color="auto" w:fill="auto"/>
            <w:vAlign w:val="bottom"/>
          </w:tcPr>
          <w:p w14:paraId="6F678730" w14:textId="77777777" w:rsidR="00744544" w:rsidRPr="00A66C9F" w:rsidRDefault="00744544" w:rsidP="00107D5D">
            <w:pPr>
              <w:pStyle w:val="SingleTxt"/>
              <w:spacing w:before="81" w:after="81" w:line="160" w:lineRule="exact"/>
              <w:ind w:left="0" w:right="43"/>
              <w:jc w:val="left"/>
              <w:rPr>
                <w:bCs/>
                <w:i/>
                <w:iCs/>
                <w:sz w:val="14"/>
                <w:lang w:val="fr-FR"/>
              </w:rPr>
            </w:pPr>
            <w:r w:rsidRPr="00A66C9F">
              <w:rPr>
                <w:i/>
                <w:iCs/>
                <w:sz w:val="14"/>
                <w:lang w:val="fr-FR"/>
              </w:rPr>
              <w:t>Catégorie</w:t>
            </w:r>
          </w:p>
        </w:tc>
        <w:tc>
          <w:tcPr>
            <w:tcW w:w="3270" w:type="dxa"/>
            <w:tcBorders>
              <w:top w:val="single" w:sz="4" w:space="0" w:color="auto"/>
              <w:bottom w:val="single" w:sz="12" w:space="0" w:color="auto"/>
            </w:tcBorders>
            <w:shd w:val="clear" w:color="auto" w:fill="auto"/>
            <w:vAlign w:val="bottom"/>
          </w:tcPr>
          <w:p w14:paraId="71BA2615" w14:textId="77777777" w:rsidR="00744544" w:rsidRPr="00A66C9F" w:rsidRDefault="00744544" w:rsidP="00107D5D">
            <w:pPr>
              <w:pStyle w:val="SingleTxt"/>
              <w:spacing w:before="81" w:after="81" w:line="160" w:lineRule="exact"/>
              <w:ind w:left="144" w:right="43"/>
              <w:jc w:val="right"/>
              <w:rPr>
                <w:bCs/>
                <w:i/>
                <w:iCs/>
                <w:sz w:val="14"/>
                <w:lang w:val="fr-FR"/>
              </w:rPr>
            </w:pPr>
            <w:r w:rsidRPr="00A66C9F">
              <w:rPr>
                <w:i/>
                <w:iCs/>
                <w:sz w:val="14"/>
                <w:lang w:val="fr-FR"/>
              </w:rPr>
              <w:t>Durée de vie utile estimée (en années)</w:t>
            </w:r>
          </w:p>
        </w:tc>
      </w:tr>
      <w:tr w:rsidR="00744544" w:rsidRPr="00A66C9F" w14:paraId="58079CD1" w14:textId="77777777" w:rsidTr="00107D5D">
        <w:trPr>
          <w:trHeight w:hRule="exact" w:val="115"/>
          <w:tblHeader/>
        </w:trPr>
        <w:tc>
          <w:tcPr>
            <w:tcW w:w="4050" w:type="dxa"/>
            <w:tcBorders>
              <w:top w:val="single" w:sz="12" w:space="0" w:color="auto"/>
            </w:tcBorders>
            <w:shd w:val="clear" w:color="auto" w:fill="auto"/>
          </w:tcPr>
          <w:p w14:paraId="696A7C5D" w14:textId="77777777" w:rsidR="00744544" w:rsidRPr="00A66C9F" w:rsidRDefault="00744544" w:rsidP="00107D5D">
            <w:pPr>
              <w:pStyle w:val="SingleTxt"/>
              <w:spacing w:before="40" w:after="40" w:line="210" w:lineRule="exact"/>
              <w:ind w:left="0" w:right="43"/>
              <w:jc w:val="left"/>
              <w:rPr>
                <w:sz w:val="17"/>
                <w:lang w:val="fr-FR"/>
              </w:rPr>
            </w:pPr>
          </w:p>
        </w:tc>
        <w:tc>
          <w:tcPr>
            <w:tcW w:w="3270" w:type="dxa"/>
            <w:tcBorders>
              <w:top w:val="single" w:sz="12" w:space="0" w:color="auto"/>
            </w:tcBorders>
            <w:shd w:val="clear" w:color="auto" w:fill="auto"/>
            <w:vAlign w:val="bottom"/>
          </w:tcPr>
          <w:p w14:paraId="3531F16C" w14:textId="77777777" w:rsidR="00744544" w:rsidRPr="00A66C9F" w:rsidRDefault="00744544" w:rsidP="00107D5D">
            <w:pPr>
              <w:pStyle w:val="SingleTxt"/>
              <w:spacing w:before="40" w:after="40" w:line="210" w:lineRule="exact"/>
              <w:ind w:left="144" w:right="43"/>
              <w:jc w:val="left"/>
              <w:rPr>
                <w:sz w:val="17"/>
                <w:lang w:val="fr-FR"/>
              </w:rPr>
            </w:pPr>
          </w:p>
        </w:tc>
      </w:tr>
      <w:tr w:rsidR="00744544" w:rsidRPr="00A66C9F" w14:paraId="3A0F3439" w14:textId="77777777" w:rsidTr="00107D5D">
        <w:trPr>
          <w:trHeight w:val="288"/>
        </w:trPr>
        <w:tc>
          <w:tcPr>
            <w:tcW w:w="4050" w:type="dxa"/>
            <w:shd w:val="clear" w:color="auto" w:fill="auto"/>
          </w:tcPr>
          <w:p w14:paraId="3717DCF0" w14:textId="77777777" w:rsidR="00744544" w:rsidRPr="00A66C9F" w:rsidRDefault="00744544" w:rsidP="00107D5D">
            <w:pPr>
              <w:pStyle w:val="SingleTxt"/>
              <w:tabs>
                <w:tab w:val="left" w:pos="288"/>
                <w:tab w:val="left" w:pos="576"/>
                <w:tab w:val="left" w:pos="864"/>
                <w:tab w:val="left" w:pos="1152"/>
              </w:tabs>
              <w:spacing w:before="40" w:after="40" w:line="210" w:lineRule="exact"/>
              <w:ind w:left="0" w:right="43"/>
              <w:jc w:val="left"/>
              <w:rPr>
                <w:sz w:val="17"/>
                <w:szCs w:val="17"/>
                <w:lang w:val="fr-FR"/>
              </w:rPr>
            </w:pPr>
            <w:r w:rsidRPr="00A66C9F">
              <w:rPr>
                <w:sz w:val="17"/>
                <w:szCs w:val="17"/>
                <w:lang w:val="fr-FR"/>
              </w:rPr>
              <w:t>Matériel informatique</w:t>
            </w:r>
          </w:p>
        </w:tc>
        <w:tc>
          <w:tcPr>
            <w:tcW w:w="3270" w:type="dxa"/>
            <w:shd w:val="clear" w:color="auto" w:fill="auto"/>
            <w:vAlign w:val="bottom"/>
          </w:tcPr>
          <w:p w14:paraId="2983A2F4" w14:textId="77777777" w:rsidR="00744544" w:rsidRPr="00A66C9F" w:rsidRDefault="00744544" w:rsidP="00107D5D">
            <w:pPr>
              <w:pStyle w:val="SingleTxt"/>
              <w:tabs>
                <w:tab w:val="left" w:pos="288"/>
                <w:tab w:val="left" w:pos="576"/>
                <w:tab w:val="left" w:pos="864"/>
                <w:tab w:val="left" w:pos="1152"/>
              </w:tabs>
              <w:spacing w:before="40" w:after="40" w:line="210" w:lineRule="exact"/>
              <w:ind w:left="144" w:right="43"/>
              <w:jc w:val="right"/>
              <w:rPr>
                <w:sz w:val="17"/>
                <w:szCs w:val="17"/>
                <w:lang w:val="fr-FR"/>
              </w:rPr>
            </w:pPr>
            <w:r w:rsidRPr="00A66C9F">
              <w:rPr>
                <w:sz w:val="17"/>
                <w:szCs w:val="17"/>
                <w:lang w:val="fr-FR"/>
              </w:rPr>
              <w:t>4</w:t>
            </w:r>
          </w:p>
        </w:tc>
      </w:tr>
      <w:tr w:rsidR="00744544" w:rsidRPr="00A66C9F" w14:paraId="4FAAAE00" w14:textId="77777777" w:rsidTr="00107D5D">
        <w:trPr>
          <w:trHeight w:val="288"/>
        </w:trPr>
        <w:tc>
          <w:tcPr>
            <w:tcW w:w="4050" w:type="dxa"/>
            <w:shd w:val="clear" w:color="auto" w:fill="auto"/>
          </w:tcPr>
          <w:p w14:paraId="7453306B" w14:textId="77777777" w:rsidR="00744544" w:rsidRPr="00A66C9F" w:rsidRDefault="00744544" w:rsidP="00107D5D">
            <w:pPr>
              <w:pStyle w:val="SingleTxt"/>
              <w:tabs>
                <w:tab w:val="left" w:pos="288"/>
                <w:tab w:val="left" w:pos="576"/>
                <w:tab w:val="left" w:pos="864"/>
                <w:tab w:val="left" w:pos="1152"/>
              </w:tabs>
              <w:spacing w:before="40" w:after="40" w:line="210" w:lineRule="exact"/>
              <w:ind w:left="0" w:right="43"/>
              <w:jc w:val="left"/>
              <w:rPr>
                <w:sz w:val="17"/>
                <w:szCs w:val="17"/>
                <w:lang w:val="fr-FR"/>
              </w:rPr>
            </w:pPr>
            <w:r w:rsidRPr="00A66C9F">
              <w:rPr>
                <w:sz w:val="17"/>
                <w:szCs w:val="17"/>
                <w:lang w:val="fr-FR"/>
              </w:rPr>
              <w:t xml:space="preserve">Matériel de bureau </w:t>
            </w:r>
          </w:p>
        </w:tc>
        <w:tc>
          <w:tcPr>
            <w:tcW w:w="3270" w:type="dxa"/>
            <w:shd w:val="clear" w:color="auto" w:fill="auto"/>
            <w:vAlign w:val="bottom"/>
          </w:tcPr>
          <w:p w14:paraId="36755E2D" w14:textId="77777777" w:rsidR="00744544" w:rsidRPr="00A66C9F" w:rsidRDefault="00744544" w:rsidP="00107D5D">
            <w:pPr>
              <w:pStyle w:val="SingleTxt"/>
              <w:tabs>
                <w:tab w:val="left" w:pos="288"/>
                <w:tab w:val="left" w:pos="576"/>
                <w:tab w:val="left" w:pos="864"/>
                <w:tab w:val="left" w:pos="1152"/>
              </w:tabs>
              <w:spacing w:before="40" w:after="40" w:line="210" w:lineRule="exact"/>
              <w:ind w:left="144" w:right="43"/>
              <w:jc w:val="right"/>
              <w:rPr>
                <w:sz w:val="17"/>
                <w:szCs w:val="17"/>
                <w:lang w:val="fr-FR"/>
              </w:rPr>
            </w:pPr>
            <w:r w:rsidRPr="00A66C9F">
              <w:rPr>
                <w:sz w:val="17"/>
                <w:szCs w:val="17"/>
                <w:lang w:val="fr-FR"/>
              </w:rPr>
              <w:t>4</w:t>
            </w:r>
          </w:p>
        </w:tc>
      </w:tr>
      <w:tr w:rsidR="00744544" w:rsidRPr="00A66C9F" w14:paraId="0244C6BF" w14:textId="77777777" w:rsidTr="00107D5D">
        <w:trPr>
          <w:trHeight w:val="288"/>
        </w:trPr>
        <w:tc>
          <w:tcPr>
            <w:tcW w:w="4050" w:type="dxa"/>
            <w:shd w:val="clear" w:color="auto" w:fill="auto"/>
          </w:tcPr>
          <w:p w14:paraId="61E2250B" w14:textId="77777777" w:rsidR="00744544" w:rsidRPr="00A66C9F" w:rsidRDefault="00744544" w:rsidP="00107D5D">
            <w:pPr>
              <w:pStyle w:val="SingleTxt"/>
              <w:tabs>
                <w:tab w:val="left" w:pos="288"/>
                <w:tab w:val="left" w:pos="576"/>
                <w:tab w:val="left" w:pos="864"/>
                <w:tab w:val="left" w:pos="1152"/>
              </w:tabs>
              <w:spacing w:before="40" w:after="40" w:line="210" w:lineRule="exact"/>
              <w:ind w:left="0" w:right="43"/>
              <w:jc w:val="left"/>
              <w:rPr>
                <w:sz w:val="17"/>
                <w:szCs w:val="17"/>
                <w:lang w:val="fr-FR"/>
              </w:rPr>
            </w:pPr>
            <w:r w:rsidRPr="00A66C9F">
              <w:rPr>
                <w:sz w:val="17"/>
                <w:szCs w:val="17"/>
                <w:lang w:val="fr-FR"/>
              </w:rPr>
              <w:t xml:space="preserve">Mobilier de bureau </w:t>
            </w:r>
          </w:p>
        </w:tc>
        <w:tc>
          <w:tcPr>
            <w:tcW w:w="3270" w:type="dxa"/>
            <w:shd w:val="clear" w:color="auto" w:fill="auto"/>
            <w:vAlign w:val="bottom"/>
          </w:tcPr>
          <w:p w14:paraId="3BB3F82E" w14:textId="77777777" w:rsidR="00744544" w:rsidRPr="00A66C9F" w:rsidRDefault="00744544" w:rsidP="00107D5D">
            <w:pPr>
              <w:pStyle w:val="SingleTxt"/>
              <w:tabs>
                <w:tab w:val="left" w:pos="288"/>
                <w:tab w:val="left" w:pos="576"/>
                <w:tab w:val="left" w:pos="864"/>
                <w:tab w:val="left" w:pos="1152"/>
              </w:tabs>
              <w:spacing w:before="40" w:after="40" w:line="210" w:lineRule="exact"/>
              <w:ind w:left="144" w:right="43"/>
              <w:jc w:val="right"/>
              <w:rPr>
                <w:sz w:val="17"/>
                <w:szCs w:val="17"/>
                <w:lang w:val="fr-FR"/>
              </w:rPr>
            </w:pPr>
            <w:r w:rsidRPr="00A66C9F">
              <w:rPr>
                <w:sz w:val="17"/>
                <w:szCs w:val="17"/>
                <w:lang w:val="fr-FR"/>
              </w:rPr>
              <w:t>10</w:t>
            </w:r>
          </w:p>
        </w:tc>
      </w:tr>
      <w:tr w:rsidR="00744544" w:rsidRPr="00A66C9F" w14:paraId="63749092" w14:textId="77777777" w:rsidTr="00107D5D">
        <w:trPr>
          <w:trHeight w:val="288"/>
        </w:trPr>
        <w:tc>
          <w:tcPr>
            <w:tcW w:w="4050" w:type="dxa"/>
            <w:shd w:val="clear" w:color="auto" w:fill="auto"/>
          </w:tcPr>
          <w:p w14:paraId="23892C2F" w14:textId="77777777" w:rsidR="00744544" w:rsidRPr="00A66C9F" w:rsidRDefault="00744544" w:rsidP="00107D5D">
            <w:pPr>
              <w:pStyle w:val="SingleTxt"/>
              <w:tabs>
                <w:tab w:val="left" w:pos="288"/>
                <w:tab w:val="left" w:pos="576"/>
                <w:tab w:val="left" w:pos="864"/>
                <w:tab w:val="left" w:pos="1152"/>
              </w:tabs>
              <w:spacing w:before="40" w:after="40" w:line="210" w:lineRule="exact"/>
              <w:ind w:left="0" w:right="43"/>
              <w:jc w:val="left"/>
              <w:rPr>
                <w:sz w:val="17"/>
                <w:szCs w:val="17"/>
                <w:lang w:val="fr-FR"/>
              </w:rPr>
            </w:pPr>
            <w:r w:rsidRPr="00A66C9F">
              <w:rPr>
                <w:sz w:val="17"/>
                <w:szCs w:val="17"/>
                <w:lang w:val="fr-FR"/>
              </w:rPr>
              <w:t xml:space="preserve">Agencements et aménagements de bureau </w:t>
            </w:r>
          </w:p>
        </w:tc>
        <w:tc>
          <w:tcPr>
            <w:tcW w:w="3270" w:type="dxa"/>
            <w:shd w:val="clear" w:color="auto" w:fill="auto"/>
            <w:vAlign w:val="bottom"/>
          </w:tcPr>
          <w:p w14:paraId="6070D3A7" w14:textId="77777777" w:rsidR="00744544" w:rsidRPr="00A66C9F" w:rsidRDefault="00744544" w:rsidP="00107D5D">
            <w:pPr>
              <w:pStyle w:val="SingleTxt"/>
              <w:tabs>
                <w:tab w:val="left" w:pos="288"/>
                <w:tab w:val="left" w:pos="576"/>
                <w:tab w:val="left" w:pos="864"/>
                <w:tab w:val="left" w:pos="1152"/>
              </w:tabs>
              <w:spacing w:before="40" w:after="40" w:line="210" w:lineRule="exact"/>
              <w:ind w:left="144" w:right="43"/>
              <w:jc w:val="right"/>
              <w:rPr>
                <w:sz w:val="17"/>
                <w:szCs w:val="17"/>
                <w:lang w:val="fr-FR"/>
              </w:rPr>
            </w:pPr>
            <w:r w:rsidRPr="00A66C9F">
              <w:rPr>
                <w:sz w:val="17"/>
                <w:szCs w:val="17"/>
                <w:lang w:val="fr-FR"/>
              </w:rPr>
              <w:t>7</w:t>
            </w:r>
          </w:p>
        </w:tc>
      </w:tr>
      <w:tr w:rsidR="00744544" w:rsidRPr="00A66C9F" w14:paraId="288959AD" w14:textId="77777777" w:rsidTr="00107D5D">
        <w:trPr>
          <w:trHeight w:val="288"/>
        </w:trPr>
        <w:tc>
          <w:tcPr>
            <w:tcW w:w="4050" w:type="dxa"/>
            <w:tcBorders>
              <w:bottom w:val="single" w:sz="12" w:space="0" w:color="auto"/>
            </w:tcBorders>
            <w:shd w:val="clear" w:color="auto" w:fill="auto"/>
          </w:tcPr>
          <w:p w14:paraId="09DB2841" w14:textId="77777777" w:rsidR="00744544" w:rsidRPr="00A66C9F" w:rsidRDefault="00744544" w:rsidP="00107D5D">
            <w:pPr>
              <w:pStyle w:val="SingleTxt"/>
              <w:tabs>
                <w:tab w:val="left" w:pos="288"/>
                <w:tab w:val="left" w:pos="576"/>
                <w:tab w:val="left" w:pos="864"/>
                <w:tab w:val="left" w:pos="1152"/>
              </w:tabs>
              <w:spacing w:before="40" w:after="40" w:line="210" w:lineRule="exact"/>
              <w:ind w:left="0" w:right="43"/>
              <w:jc w:val="left"/>
              <w:rPr>
                <w:sz w:val="17"/>
                <w:szCs w:val="17"/>
                <w:lang w:val="fr-FR"/>
              </w:rPr>
            </w:pPr>
            <w:r w:rsidRPr="00A66C9F">
              <w:rPr>
                <w:sz w:val="17"/>
                <w:szCs w:val="17"/>
                <w:lang w:val="fr-FR"/>
              </w:rPr>
              <w:t xml:space="preserve">Matériel audiovisuel </w:t>
            </w:r>
          </w:p>
        </w:tc>
        <w:tc>
          <w:tcPr>
            <w:tcW w:w="3270" w:type="dxa"/>
            <w:tcBorders>
              <w:bottom w:val="single" w:sz="12" w:space="0" w:color="auto"/>
            </w:tcBorders>
            <w:shd w:val="clear" w:color="auto" w:fill="auto"/>
            <w:vAlign w:val="bottom"/>
          </w:tcPr>
          <w:p w14:paraId="37A3F8B7" w14:textId="77777777" w:rsidR="00744544" w:rsidRPr="00A66C9F" w:rsidRDefault="00744544" w:rsidP="00107D5D">
            <w:pPr>
              <w:pStyle w:val="SingleTxt"/>
              <w:tabs>
                <w:tab w:val="left" w:pos="288"/>
                <w:tab w:val="left" w:pos="576"/>
                <w:tab w:val="left" w:pos="864"/>
                <w:tab w:val="left" w:pos="1152"/>
              </w:tabs>
              <w:spacing w:before="40" w:after="40" w:line="210" w:lineRule="exact"/>
              <w:ind w:left="144" w:right="43"/>
              <w:jc w:val="right"/>
              <w:rPr>
                <w:sz w:val="17"/>
                <w:szCs w:val="17"/>
                <w:lang w:val="fr-FR"/>
              </w:rPr>
            </w:pPr>
            <w:r w:rsidRPr="00A66C9F">
              <w:rPr>
                <w:sz w:val="17"/>
                <w:szCs w:val="17"/>
                <w:lang w:val="fr-FR"/>
              </w:rPr>
              <w:t>7</w:t>
            </w:r>
          </w:p>
        </w:tc>
      </w:tr>
    </w:tbl>
    <w:p w14:paraId="3842097B" w14:textId="77777777" w:rsidR="00744544" w:rsidRPr="00A66C9F" w:rsidRDefault="00744544" w:rsidP="00744544">
      <w:pPr>
        <w:pStyle w:val="SingleTxt"/>
        <w:spacing w:after="0" w:line="120" w:lineRule="exact"/>
        <w:rPr>
          <w:sz w:val="10"/>
          <w:lang w:val="fr-FR"/>
        </w:rPr>
      </w:pPr>
    </w:p>
    <w:p w14:paraId="58728009" w14:textId="77777777" w:rsidR="00744544" w:rsidRPr="00A66C9F" w:rsidRDefault="00744544" w:rsidP="00744544">
      <w:pPr>
        <w:pStyle w:val="SingleTxt"/>
        <w:spacing w:after="0" w:line="120" w:lineRule="exact"/>
        <w:rPr>
          <w:sz w:val="10"/>
          <w:lang w:val="fr-FR"/>
        </w:rPr>
      </w:pPr>
    </w:p>
    <w:p w14:paraId="3BA6B6A1"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Les améliorations locatives sont comptabilisées comme actifs au coût d’acquisition et amorties sur sept ans ou sur la durée du bail si celle-ci est moins longue. Des tests de dépréciation sont effectués s’il existe des indices de moins-value.</w:t>
      </w:r>
    </w:p>
    <w:p w14:paraId="05B924C5" w14:textId="77777777" w:rsidR="00744544" w:rsidRPr="00A66C9F" w:rsidRDefault="00744544" w:rsidP="00744544">
      <w:pPr>
        <w:pStyle w:val="SingleTxt"/>
        <w:spacing w:after="0" w:line="120" w:lineRule="exact"/>
        <w:rPr>
          <w:sz w:val="10"/>
          <w:lang w:val="fr-FR"/>
        </w:rPr>
      </w:pPr>
    </w:p>
    <w:p w14:paraId="2AC44AB9"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66" w:name="_Toc339633527"/>
      <w:bookmarkStart w:id="67" w:name="_Toc339633862"/>
      <w:r w:rsidRPr="00A66C9F">
        <w:rPr>
          <w:lang w:val="fr-FR"/>
        </w:rPr>
        <w:tab/>
        <w:t>3.10</w:t>
      </w:r>
      <w:r w:rsidRPr="00A66C9F">
        <w:rPr>
          <w:lang w:val="fr-FR"/>
        </w:rPr>
        <w:tab/>
        <w:t>Immobilisations incorporelles</w:t>
      </w:r>
      <w:bookmarkEnd w:id="66"/>
      <w:bookmarkEnd w:id="67"/>
    </w:p>
    <w:p w14:paraId="477354AD" w14:textId="77777777" w:rsidR="00744544" w:rsidRPr="00A66C9F" w:rsidRDefault="00744544" w:rsidP="00744544">
      <w:pPr>
        <w:pStyle w:val="SingleTxt"/>
        <w:spacing w:after="0" w:line="120" w:lineRule="exact"/>
        <w:rPr>
          <w:sz w:val="10"/>
          <w:lang w:val="fr-FR"/>
        </w:rPr>
      </w:pPr>
    </w:p>
    <w:p w14:paraId="2E8456E7"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Les immobilisations incorporelles sont comptabilisées à l’actif lorsque leur coût dépasse le seuil de 20 000 dollars, sauf dans le cas des logiciels développés en interne, pour lesquels le seuil est fixé à 50 000 dollars. Le coût d’entrée des logiciels conçus en interne ne comprend pas les frais de recherche et de maintenance. Les immobilisations incorporelles sont comptabilisées au coût historique minoré du montant cumulé des amortissements et dépréciations. L’amortissement est constaté sur la durée d’utilité estimée, selon la méthode linéaire. Le tableau ci-après indique la durée d’utilité estimée des différentes catégories d’immobilisations incorporelles :</w:t>
      </w:r>
    </w:p>
    <w:p w14:paraId="26069E88" w14:textId="77777777" w:rsidR="00744544" w:rsidRPr="00A66C9F" w:rsidRDefault="00744544" w:rsidP="00744544">
      <w:pPr>
        <w:pStyle w:val="SingleTxt"/>
        <w:spacing w:after="0" w:line="120" w:lineRule="exact"/>
        <w:rPr>
          <w:sz w:val="10"/>
          <w:lang w:val="fr-FR"/>
        </w:rPr>
      </w:pPr>
    </w:p>
    <w:tbl>
      <w:tblPr>
        <w:tblW w:w="0" w:type="auto"/>
        <w:tblInd w:w="1260" w:type="dxa"/>
        <w:tblLayout w:type="fixed"/>
        <w:tblCellMar>
          <w:left w:w="0" w:type="dxa"/>
          <w:right w:w="0" w:type="dxa"/>
        </w:tblCellMar>
        <w:tblLook w:val="00A0" w:firstRow="1" w:lastRow="0" w:firstColumn="1" w:lastColumn="0" w:noHBand="0" w:noVBand="0"/>
      </w:tblPr>
      <w:tblGrid>
        <w:gridCol w:w="4320"/>
        <w:gridCol w:w="3000"/>
      </w:tblGrid>
      <w:tr w:rsidR="00744544" w:rsidRPr="00A66C9F" w14:paraId="3ACB3988" w14:textId="77777777" w:rsidTr="00107D5D">
        <w:trPr>
          <w:trHeight w:val="288"/>
          <w:tblHeader/>
        </w:trPr>
        <w:tc>
          <w:tcPr>
            <w:tcW w:w="4320" w:type="dxa"/>
            <w:tcBorders>
              <w:top w:val="single" w:sz="4" w:space="0" w:color="auto"/>
              <w:bottom w:val="single" w:sz="12" w:space="0" w:color="auto"/>
            </w:tcBorders>
            <w:shd w:val="clear" w:color="auto" w:fill="auto"/>
            <w:vAlign w:val="bottom"/>
          </w:tcPr>
          <w:p w14:paraId="66FC8D3D" w14:textId="77777777" w:rsidR="00744544" w:rsidRPr="00A66C9F" w:rsidRDefault="00744544" w:rsidP="00107D5D">
            <w:pPr>
              <w:pStyle w:val="SingleTxt"/>
              <w:spacing w:before="81" w:after="81" w:line="160" w:lineRule="exact"/>
              <w:ind w:left="0" w:right="43"/>
              <w:rPr>
                <w:bCs/>
                <w:i/>
                <w:iCs/>
                <w:sz w:val="14"/>
                <w:lang w:val="fr-FR"/>
              </w:rPr>
            </w:pPr>
            <w:r w:rsidRPr="00A66C9F">
              <w:rPr>
                <w:i/>
                <w:iCs/>
                <w:sz w:val="14"/>
                <w:lang w:val="fr-FR"/>
              </w:rPr>
              <w:t>Catégorie</w:t>
            </w:r>
          </w:p>
        </w:tc>
        <w:tc>
          <w:tcPr>
            <w:tcW w:w="3000" w:type="dxa"/>
            <w:tcBorders>
              <w:top w:val="single" w:sz="4" w:space="0" w:color="auto"/>
              <w:bottom w:val="single" w:sz="12" w:space="0" w:color="auto"/>
            </w:tcBorders>
            <w:shd w:val="clear" w:color="auto" w:fill="auto"/>
            <w:vAlign w:val="bottom"/>
          </w:tcPr>
          <w:p w14:paraId="01C34218" w14:textId="77777777" w:rsidR="00744544" w:rsidRPr="00A66C9F" w:rsidRDefault="00744544" w:rsidP="00107D5D">
            <w:pPr>
              <w:pStyle w:val="SingleTxt"/>
              <w:spacing w:before="81" w:after="81" w:line="160" w:lineRule="exact"/>
              <w:ind w:left="0" w:right="43"/>
              <w:jc w:val="right"/>
              <w:rPr>
                <w:bCs/>
                <w:i/>
                <w:iCs/>
                <w:sz w:val="14"/>
                <w:lang w:val="fr-FR"/>
              </w:rPr>
            </w:pPr>
            <w:r w:rsidRPr="00A66C9F">
              <w:rPr>
                <w:i/>
                <w:iCs/>
                <w:sz w:val="14"/>
                <w:lang w:val="fr-FR"/>
              </w:rPr>
              <w:t>Durée de vie utile estimée (en années)</w:t>
            </w:r>
          </w:p>
        </w:tc>
      </w:tr>
      <w:tr w:rsidR="00744544" w:rsidRPr="00A66C9F" w14:paraId="5444309B" w14:textId="77777777" w:rsidTr="00107D5D">
        <w:trPr>
          <w:trHeight w:hRule="exact" w:val="115"/>
          <w:tblHeader/>
        </w:trPr>
        <w:tc>
          <w:tcPr>
            <w:tcW w:w="4320" w:type="dxa"/>
            <w:tcBorders>
              <w:top w:val="single" w:sz="12" w:space="0" w:color="auto"/>
            </w:tcBorders>
            <w:shd w:val="clear" w:color="auto" w:fill="auto"/>
            <w:vAlign w:val="bottom"/>
          </w:tcPr>
          <w:p w14:paraId="216AF3B2" w14:textId="77777777" w:rsidR="00744544" w:rsidRPr="00A66C9F" w:rsidRDefault="00744544" w:rsidP="00107D5D">
            <w:pPr>
              <w:pStyle w:val="SingleTxt"/>
              <w:spacing w:before="40" w:after="40" w:line="210" w:lineRule="exact"/>
              <w:ind w:left="0" w:right="43"/>
              <w:rPr>
                <w:sz w:val="17"/>
                <w:lang w:val="fr-FR"/>
              </w:rPr>
            </w:pPr>
          </w:p>
        </w:tc>
        <w:tc>
          <w:tcPr>
            <w:tcW w:w="3000" w:type="dxa"/>
            <w:tcBorders>
              <w:top w:val="single" w:sz="12" w:space="0" w:color="auto"/>
            </w:tcBorders>
            <w:shd w:val="clear" w:color="auto" w:fill="auto"/>
            <w:vAlign w:val="bottom"/>
          </w:tcPr>
          <w:p w14:paraId="1F13C39D" w14:textId="77777777" w:rsidR="00744544" w:rsidRPr="00A66C9F" w:rsidRDefault="00744544" w:rsidP="00107D5D">
            <w:pPr>
              <w:pStyle w:val="SingleTxt"/>
              <w:spacing w:before="40" w:after="40" w:line="210" w:lineRule="exact"/>
              <w:ind w:left="0" w:right="43"/>
              <w:jc w:val="left"/>
              <w:rPr>
                <w:sz w:val="17"/>
                <w:lang w:val="fr-FR"/>
              </w:rPr>
            </w:pPr>
          </w:p>
        </w:tc>
      </w:tr>
      <w:tr w:rsidR="00744544" w:rsidRPr="00A66C9F" w14:paraId="14DEEF4F" w14:textId="77777777" w:rsidTr="00107D5D">
        <w:trPr>
          <w:trHeight w:val="288"/>
        </w:trPr>
        <w:tc>
          <w:tcPr>
            <w:tcW w:w="4320" w:type="dxa"/>
            <w:shd w:val="clear" w:color="auto" w:fill="auto"/>
          </w:tcPr>
          <w:p w14:paraId="57098A97" w14:textId="77777777" w:rsidR="00744544" w:rsidRPr="00A66C9F" w:rsidRDefault="00744544" w:rsidP="00107D5D">
            <w:pPr>
              <w:pStyle w:val="SingleTxt"/>
              <w:tabs>
                <w:tab w:val="left" w:pos="288"/>
                <w:tab w:val="left" w:pos="576"/>
                <w:tab w:val="left" w:pos="864"/>
                <w:tab w:val="left" w:pos="1152"/>
              </w:tabs>
              <w:spacing w:before="40" w:after="40" w:line="210" w:lineRule="exact"/>
              <w:ind w:left="0" w:right="43"/>
              <w:jc w:val="left"/>
              <w:rPr>
                <w:sz w:val="17"/>
                <w:szCs w:val="17"/>
                <w:lang w:val="fr-FR"/>
              </w:rPr>
            </w:pPr>
            <w:r w:rsidRPr="00A66C9F">
              <w:rPr>
                <w:sz w:val="17"/>
                <w:szCs w:val="17"/>
                <w:lang w:val="fr-FR"/>
              </w:rPr>
              <w:t>Logiciels acquis à l’extérieur</w:t>
            </w:r>
          </w:p>
        </w:tc>
        <w:tc>
          <w:tcPr>
            <w:tcW w:w="3000" w:type="dxa"/>
            <w:shd w:val="clear" w:color="auto" w:fill="auto"/>
            <w:vAlign w:val="bottom"/>
          </w:tcPr>
          <w:p w14:paraId="2416AC5B" w14:textId="77777777" w:rsidR="00744544" w:rsidRPr="00A66C9F" w:rsidRDefault="00744544" w:rsidP="00107D5D">
            <w:pPr>
              <w:pStyle w:val="SingleTxt"/>
              <w:tabs>
                <w:tab w:val="left" w:pos="288"/>
                <w:tab w:val="left" w:pos="576"/>
                <w:tab w:val="left" w:pos="864"/>
                <w:tab w:val="left" w:pos="1152"/>
              </w:tabs>
              <w:spacing w:before="40" w:after="40" w:line="210" w:lineRule="exact"/>
              <w:ind w:left="0" w:right="43"/>
              <w:jc w:val="right"/>
              <w:rPr>
                <w:sz w:val="17"/>
                <w:szCs w:val="17"/>
                <w:lang w:val="fr-FR"/>
              </w:rPr>
            </w:pPr>
            <w:r w:rsidRPr="00A66C9F">
              <w:rPr>
                <w:sz w:val="17"/>
                <w:szCs w:val="17"/>
                <w:lang w:val="fr-FR"/>
              </w:rPr>
              <w:t>3</w:t>
            </w:r>
          </w:p>
        </w:tc>
      </w:tr>
      <w:tr w:rsidR="00744544" w:rsidRPr="00A66C9F" w14:paraId="3865AE24" w14:textId="77777777" w:rsidTr="00107D5D">
        <w:trPr>
          <w:trHeight w:val="288"/>
        </w:trPr>
        <w:tc>
          <w:tcPr>
            <w:tcW w:w="4320" w:type="dxa"/>
            <w:shd w:val="clear" w:color="auto" w:fill="auto"/>
          </w:tcPr>
          <w:p w14:paraId="478F71C8" w14:textId="77777777" w:rsidR="00744544" w:rsidRPr="00A66C9F" w:rsidRDefault="00744544" w:rsidP="00107D5D">
            <w:pPr>
              <w:pStyle w:val="SingleTxt"/>
              <w:tabs>
                <w:tab w:val="left" w:pos="288"/>
                <w:tab w:val="left" w:pos="576"/>
                <w:tab w:val="left" w:pos="864"/>
                <w:tab w:val="left" w:pos="1152"/>
              </w:tabs>
              <w:spacing w:before="40" w:after="40" w:line="210" w:lineRule="exact"/>
              <w:ind w:left="0" w:right="43"/>
              <w:jc w:val="left"/>
              <w:rPr>
                <w:sz w:val="17"/>
                <w:szCs w:val="17"/>
                <w:lang w:val="fr-FR"/>
              </w:rPr>
            </w:pPr>
            <w:r w:rsidRPr="00A66C9F">
              <w:rPr>
                <w:sz w:val="17"/>
                <w:szCs w:val="17"/>
                <w:lang w:val="fr-FR"/>
              </w:rPr>
              <w:t>Logiciels développés en interne</w:t>
            </w:r>
          </w:p>
        </w:tc>
        <w:tc>
          <w:tcPr>
            <w:tcW w:w="3000" w:type="dxa"/>
            <w:shd w:val="clear" w:color="auto" w:fill="auto"/>
            <w:vAlign w:val="bottom"/>
          </w:tcPr>
          <w:p w14:paraId="650CD574" w14:textId="77777777" w:rsidR="00744544" w:rsidRPr="00A66C9F" w:rsidRDefault="00744544" w:rsidP="00107D5D">
            <w:pPr>
              <w:pStyle w:val="SingleTxt"/>
              <w:tabs>
                <w:tab w:val="left" w:pos="288"/>
                <w:tab w:val="left" w:pos="576"/>
                <w:tab w:val="left" w:pos="864"/>
                <w:tab w:val="left" w:pos="1152"/>
              </w:tabs>
              <w:spacing w:before="40" w:after="40" w:line="210" w:lineRule="exact"/>
              <w:ind w:left="0" w:right="43"/>
              <w:jc w:val="right"/>
              <w:rPr>
                <w:sz w:val="17"/>
                <w:szCs w:val="17"/>
                <w:lang w:val="fr-FR"/>
              </w:rPr>
            </w:pPr>
            <w:r w:rsidRPr="00A66C9F">
              <w:rPr>
                <w:sz w:val="17"/>
                <w:szCs w:val="17"/>
                <w:lang w:val="fr-FR"/>
              </w:rPr>
              <w:t>6</w:t>
            </w:r>
          </w:p>
        </w:tc>
      </w:tr>
      <w:tr w:rsidR="00744544" w:rsidRPr="00A66C9F" w14:paraId="6CF222EF" w14:textId="77777777" w:rsidTr="00107D5D">
        <w:trPr>
          <w:trHeight w:val="288"/>
        </w:trPr>
        <w:tc>
          <w:tcPr>
            <w:tcW w:w="4320" w:type="dxa"/>
            <w:tcBorders>
              <w:bottom w:val="single" w:sz="12" w:space="0" w:color="auto"/>
            </w:tcBorders>
            <w:shd w:val="clear" w:color="auto" w:fill="auto"/>
          </w:tcPr>
          <w:p w14:paraId="2FD65D3E" w14:textId="77777777" w:rsidR="00744544" w:rsidRPr="00A66C9F" w:rsidRDefault="00744544" w:rsidP="00107D5D">
            <w:pPr>
              <w:pStyle w:val="SingleTxt"/>
              <w:tabs>
                <w:tab w:val="left" w:pos="288"/>
                <w:tab w:val="left" w:pos="576"/>
                <w:tab w:val="left" w:pos="864"/>
                <w:tab w:val="left" w:pos="1152"/>
              </w:tabs>
              <w:spacing w:before="40" w:after="40" w:line="210" w:lineRule="exact"/>
              <w:ind w:left="0" w:right="43"/>
              <w:jc w:val="left"/>
              <w:rPr>
                <w:b/>
                <w:sz w:val="17"/>
                <w:szCs w:val="17"/>
                <w:lang w:val="fr-FR"/>
              </w:rPr>
            </w:pPr>
            <w:r w:rsidRPr="00A66C9F">
              <w:rPr>
                <w:sz w:val="17"/>
                <w:szCs w:val="17"/>
                <w:lang w:val="fr-FR"/>
              </w:rPr>
              <w:t>Licences et droits, droits d’auteur et autres immobilisations incorporelles</w:t>
            </w:r>
          </w:p>
        </w:tc>
        <w:tc>
          <w:tcPr>
            <w:tcW w:w="3000" w:type="dxa"/>
            <w:tcBorders>
              <w:bottom w:val="single" w:sz="12" w:space="0" w:color="auto"/>
            </w:tcBorders>
            <w:shd w:val="clear" w:color="auto" w:fill="auto"/>
            <w:vAlign w:val="bottom"/>
          </w:tcPr>
          <w:p w14:paraId="4DC3D5E9" w14:textId="77777777" w:rsidR="00744544" w:rsidRPr="00A66C9F" w:rsidRDefault="00744544" w:rsidP="00107D5D">
            <w:pPr>
              <w:pStyle w:val="SingleTxt"/>
              <w:tabs>
                <w:tab w:val="left" w:pos="288"/>
                <w:tab w:val="left" w:pos="576"/>
                <w:tab w:val="left" w:pos="864"/>
                <w:tab w:val="left" w:pos="1152"/>
              </w:tabs>
              <w:spacing w:before="40" w:after="40" w:line="210" w:lineRule="exact"/>
              <w:ind w:left="0" w:right="43"/>
              <w:jc w:val="right"/>
              <w:rPr>
                <w:sz w:val="17"/>
                <w:szCs w:val="17"/>
                <w:lang w:val="fr-FR"/>
              </w:rPr>
            </w:pPr>
            <w:r w:rsidRPr="00A66C9F">
              <w:rPr>
                <w:sz w:val="17"/>
                <w:szCs w:val="17"/>
                <w:lang w:val="fr-FR"/>
              </w:rPr>
              <w:t>3,</w:t>
            </w:r>
            <w:r w:rsidRPr="00A66C9F">
              <w:rPr>
                <w:sz w:val="17"/>
                <w:szCs w:val="17"/>
                <w:lang w:val="fr-FR"/>
              </w:rPr>
              <w:br/>
              <w:t>ou durée de l’actif si elle est inférieure</w:t>
            </w:r>
          </w:p>
        </w:tc>
      </w:tr>
    </w:tbl>
    <w:p w14:paraId="20331C1E" w14:textId="77777777" w:rsidR="00744544" w:rsidRPr="00A66C9F" w:rsidRDefault="00744544" w:rsidP="00744544">
      <w:pPr>
        <w:pStyle w:val="SingleTxt"/>
        <w:spacing w:after="0" w:line="120" w:lineRule="exact"/>
        <w:rPr>
          <w:sz w:val="10"/>
          <w:lang w:val="fr-FR"/>
        </w:rPr>
      </w:pPr>
      <w:bookmarkStart w:id="68" w:name="_Toc339633528"/>
      <w:bookmarkStart w:id="69" w:name="_Toc339633863"/>
    </w:p>
    <w:p w14:paraId="63CA76F3" w14:textId="77777777" w:rsidR="00744544" w:rsidRPr="00A66C9F" w:rsidRDefault="00744544" w:rsidP="00744544">
      <w:pPr>
        <w:pStyle w:val="SingleTxt"/>
        <w:spacing w:after="0" w:line="120" w:lineRule="exact"/>
        <w:rPr>
          <w:sz w:val="10"/>
          <w:lang w:val="fr-FR"/>
        </w:rPr>
      </w:pPr>
    </w:p>
    <w:p w14:paraId="69423020"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t>3.11</w:t>
      </w:r>
      <w:r w:rsidRPr="00A66C9F">
        <w:rPr>
          <w:lang w:val="fr-FR"/>
        </w:rPr>
        <w:tab/>
        <w:t>Fonds de secours</w:t>
      </w:r>
      <w:bookmarkEnd w:id="68"/>
      <w:bookmarkEnd w:id="69"/>
    </w:p>
    <w:p w14:paraId="2B3D3263" w14:textId="77777777" w:rsidR="00744544" w:rsidRPr="00A66C9F" w:rsidRDefault="00744544" w:rsidP="00744544">
      <w:pPr>
        <w:pStyle w:val="SingleTxt"/>
        <w:spacing w:after="0" w:line="120" w:lineRule="exact"/>
        <w:rPr>
          <w:sz w:val="10"/>
          <w:lang w:val="fr-FR"/>
        </w:rPr>
      </w:pPr>
    </w:p>
    <w:p w14:paraId="65C2D5FB"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Les crédits ouverts au titre du fonds de secours sont enregistrés dès leur autorisation par l’Assemblée générale. Les participants qui souhaitent bénéficier de ces prestations en font la demande à la Caisse. Après examen et autorisation, les montants approuvés leur sont versés. Les paiements sont directement imputés au compte correspondant, et tout solde non utilisé est reversé à la Caisse à la fin de l’année. Les dépenses de fonctionnement de l’année considérée sont indiquées dans l’état des variations de l’actif net disponible pour le versement des prestations.</w:t>
      </w:r>
    </w:p>
    <w:p w14:paraId="7E97EC1A" w14:textId="77777777" w:rsidR="00744544" w:rsidRPr="00A66C9F" w:rsidRDefault="00744544" w:rsidP="00744544">
      <w:pPr>
        <w:pStyle w:val="SingleTxt"/>
        <w:spacing w:after="0" w:line="120" w:lineRule="exact"/>
        <w:rPr>
          <w:sz w:val="10"/>
          <w:lang w:val="fr-FR"/>
        </w:rPr>
      </w:pPr>
    </w:p>
    <w:p w14:paraId="25498D32"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70" w:name="_Toc339633529"/>
      <w:bookmarkStart w:id="71" w:name="_Toc339633864"/>
      <w:r w:rsidRPr="00A66C9F">
        <w:rPr>
          <w:lang w:val="fr-FR"/>
        </w:rPr>
        <w:lastRenderedPageBreak/>
        <w:tab/>
        <w:t>3.12</w:t>
      </w:r>
      <w:r w:rsidRPr="00A66C9F">
        <w:rPr>
          <w:lang w:val="fr-FR"/>
        </w:rPr>
        <w:tab/>
        <w:t>Provisions et passifs éventuels</w:t>
      </w:r>
      <w:bookmarkEnd w:id="70"/>
      <w:bookmarkEnd w:id="71"/>
    </w:p>
    <w:p w14:paraId="11BA726F" w14:textId="77777777" w:rsidR="00744544" w:rsidRPr="00A66C9F" w:rsidRDefault="00744544" w:rsidP="00744544">
      <w:pPr>
        <w:pStyle w:val="SingleTxt"/>
        <w:spacing w:after="0" w:line="120" w:lineRule="exact"/>
        <w:rPr>
          <w:sz w:val="10"/>
          <w:lang w:val="fr-FR"/>
        </w:rPr>
      </w:pPr>
    </w:p>
    <w:p w14:paraId="38C4D9CD"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Une provision pour obligations et charges futures est constatée si, par suite d’un événement passé, il existe pour la Caisse une obligation actuelle (juridique ou implicite) dont le montant peut être estimé de manière fiable, et s’il est probable qu’une sortie de ressources représentatives d’avantages économiques sera nécessaire pour éteindre cette obligation.</w:t>
      </w:r>
    </w:p>
    <w:p w14:paraId="72E46044"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Un passif éventuel est soit une obligation potentielle résultant d’événements passés et dont l’existence ne sera confirmée que par la survenance ou la non-survenance d’un ou de plusieurs événements futurs incertains qui sont partiellement indépendants de la volonté de la Caisse, soit une obligation actuelle résultant d’événements passés qui ne peut être comptabilisée parce qu’il est improbable qu’une sortie de ressources représentatives d’avantages économiques sera nécessaire pour l’éteindre ou parce que son montant ne peut pas être déterminé de façon suffisamment fiable.</w:t>
      </w:r>
    </w:p>
    <w:p w14:paraId="3E4E05E4" w14:textId="77777777" w:rsidR="00744544" w:rsidRPr="00A66C9F" w:rsidRDefault="00744544" w:rsidP="00744544">
      <w:pPr>
        <w:pStyle w:val="SingleTxt"/>
        <w:spacing w:after="0" w:line="120" w:lineRule="exact"/>
        <w:rPr>
          <w:sz w:val="10"/>
          <w:lang w:val="fr-FR"/>
        </w:rPr>
      </w:pPr>
    </w:p>
    <w:p w14:paraId="5244D8F7"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t>3.13</w:t>
      </w:r>
      <w:r w:rsidRPr="00A66C9F">
        <w:rPr>
          <w:lang w:val="fr-FR"/>
        </w:rPr>
        <w:tab/>
        <w:t>Avantages du personnel</w:t>
      </w:r>
    </w:p>
    <w:p w14:paraId="36444D1A" w14:textId="77777777" w:rsidR="00744544" w:rsidRPr="00A66C9F" w:rsidRDefault="00744544" w:rsidP="00744544">
      <w:pPr>
        <w:pStyle w:val="SingleTxt"/>
        <w:spacing w:after="0" w:line="120" w:lineRule="exact"/>
        <w:rPr>
          <w:sz w:val="10"/>
          <w:lang w:val="fr-FR"/>
        </w:rPr>
      </w:pPr>
    </w:p>
    <w:p w14:paraId="754EC252"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Entre autres avantages à court terme et à long terme, la Caisse offre à son personnel certains avantages postérieurs à l’emploi.</w:t>
      </w:r>
    </w:p>
    <w:p w14:paraId="6981C8DC"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L’assurance maladie après la cessation de service et la prime de rapatriement sont classées comme des prestations définies et comptabilisées comme telles.</w:t>
      </w:r>
    </w:p>
    <w:p w14:paraId="3303908A"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szCs w:val="20"/>
          <w:lang w:val="fr-FR"/>
        </w:rPr>
        <w:t>Les</w:t>
      </w:r>
      <w:r w:rsidRPr="00A66C9F">
        <w:rPr>
          <w:lang w:val="fr-FR"/>
        </w:rPr>
        <w:t xml:space="preserve"> employés de la Caisse cotisent eux-mêmes à cette dernière. Le régime de la Caisse est un régime multiemployeurs à prestations définies. Du fait que ce régime expose les organisations affiliées aux risques actuariels associés au personnel, présent et passé, d’autres organisations, il n’existe pas de base cohérente et fiable pour imputer à telle ou telle organisation la part qui lui revient dans les engagements, les actifs et les coûts du régime. Comme les autres organisations affiliées, la Caisse est dans l’incapacité de déterminer sa part dans la situation financière et les résultats du régime de pensions d’une manière suffisamment fiable pour pouvoir la comptabiliser, si bien que ce régime a été traité comme un régime à cotisations définies, conformément aux dispositions de la norme IPSAS 39. Les cotisations qu’elle a versées au régime durant l’année financière sont comptabilisées en charges dans l’état des variations de l’actif net disponible pour le versement de prestations.</w:t>
      </w:r>
    </w:p>
    <w:p w14:paraId="2ACCD833" w14:textId="77777777" w:rsidR="00744544" w:rsidRPr="00A66C9F" w:rsidRDefault="00744544" w:rsidP="00744544">
      <w:pPr>
        <w:pStyle w:val="SingleTxt"/>
        <w:spacing w:after="0" w:line="120" w:lineRule="exact"/>
        <w:rPr>
          <w:sz w:val="10"/>
          <w:lang w:val="fr-FR"/>
        </w:rPr>
      </w:pPr>
    </w:p>
    <w:p w14:paraId="0F8EDCBF"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72" w:name="_Toc339633530"/>
      <w:bookmarkStart w:id="73" w:name="_Toc339633865"/>
      <w:r w:rsidRPr="00A66C9F">
        <w:rPr>
          <w:lang w:val="fr-FR"/>
        </w:rPr>
        <w:tab/>
        <w:t>3.14</w:t>
      </w:r>
      <w:r w:rsidRPr="00A66C9F">
        <w:rPr>
          <w:lang w:val="fr-FR"/>
        </w:rPr>
        <w:tab/>
        <w:t>Rapprochement de l’information budgétaire et de l’information financière</w:t>
      </w:r>
      <w:bookmarkEnd w:id="72"/>
      <w:bookmarkEnd w:id="73"/>
    </w:p>
    <w:p w14:paraId="76B7320C" w14:textId="77777777" w:rsidR="00744544" w:rsidRPr="00A66C9F" w:rsidRDefault="00744544" w:rsidP="00744544">
      <w:pPr>
        <w:pStyle w:val="SingleTxt"/>
        <w:spacing w:after="0" w:line="120" w:lineRule="exact"/>
        <w:rPr>
          <w:sz w:val="10"/>
          <w:lang w:val="fr-FR"/>
        </w:rPr>
      </w:pPr>
    </w:p>
    <w:p w14:paraId="6D07EC12"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Le budget de la Caisse est établi selon la méthode de comptabilité de caisse modifiée, tandis que les états financiers le sont selon la méthode de la comptabilité d’exercice.</w:t>
      </w:r>
    </w:p>
    <w:p w14:paraId="63F8562A"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L’Assemblée générale approuve le budget biennal des dépenses d’administration de la Caisse. Ce budget peut être modifié par l’Assemblée ou par une autre entité dans le cadre d’une délégation de pouvoirs.</w:t>
      </w:r>
    </w:p>
    <w:p w14:paraId="490E6B30"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Présenté conformément à la norme IPSAS 24, l’état comparatif des montants inscrits au budget et des montants effectifs pour l’année terminée le 31 décembre 2019 permet de rapprocher les montants inscrits au budget des montants effectifs sur une base comparable. Ce tableau indique les prévisions budgétaires initiales et finales, les montants effectifs calculés sur la même base que les prévisions budgétaires correspondantes et une explication des écarts significatifs (supérieurs à +/-5 %) entre les montants effectifs et les prévisions.</w:t>
      </w:r>
    </w:p>
    <w:p w14:paraId="4932F9C9"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La note 21 rapproche les montants effectifs présentés sur la même base que les montants budgétisés et les dépenses d’administration figurant dans l’état des variations de l’actif net.</w:t>
      </w:r>
    </w:p>
    <w:p w14:paraId="43A57CB2" w14:textId="77777777" w:rsidR="00744544" w:rsidRPr="00A66C9F" w:rsidRDefault="00744544" w:rsidP="00744544">
      <w:pPr>
        <w:pStyle w:val="SingleTxt"/>
        <w:spacing w:after="0" w:line="120" w:lineRule="exact"/>
        <w:rPr>
          <w:sz w:val="10"/>
          <w:lang w:val="fr-FR"/>
        </w:rPr>
      </w:pPr>
    </w:p>
    <w:p w14:paraId="3EAD88FD"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74" w:name="_Toc339633531"/>
      <w:bookmarkStart w:id="75" w:name="_Toc339633866"/>
      <w:r w:rsidRPr="00A66C9F">
        <w:rPr>
          <w:lang w:val="fr-FR"/>
        </w:rPr>
        <w:tab/>
        <w:t>3.15</w:t>
      </w:r>
      <w:r w:rsidRPr="00A66C9F">
        <w:rPr>
          <w:lang w:val="fr-FR"/>
        </w:rPr>
        <w:tab/>
        <w:t>Opérations entre des parties liées</w:t>
      </w:r>
      <w:bookmarkEnd w:id="74"/>
      <w:bookmarkEnd w:id="75"/>
    </w:p>
    <w:p w14:paraId="226D20F6" w14:textId="77777777" w:rsidR="00744544" w:rsidRPr="00A66C9F" w:rsidRDefault="00744544" w:rsidP="00744544">
      <w:pPr>
        <w:pStyle w:val="SingleTxt"/>
        <w:spacing w:after="0" w:line="120" w:lineRule="exact"/>
        <w:rPr>
          <w:sz w:val="10"/>
          <w:lang w:val="fr-FR"/>
        </w:rPr>
      </w:pPr>
    </w:p>
    <w:p w14:paraId="4F96490B"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On considère que des parties sont liées quand l’une peut contrôler l’autre ou exercer sur cette dernière une influence notable lors de la prise de décisions financières et opérationnelles ou lorsque la partie liée et une autre entité sont soumises à un contrôle commun.</w:t>
      </w:r>
    </w:p>
    <w:p w14:paraId="537D165E"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Les parties énoncées ci-après sont considérées comme étant liées à la Caisse en 2019 :</w:t>
      </w:r>
    </w:p>
    <w:p w14:paraId="00CFF928" w14:textId="77777777" w:rsidR="00744544" w:rsidRPr="00A66C9F" w:rsidRDefault="00744544" w:rsidP="00744544">
      <w:pPr>
        <w:pStyle w:val="SingleTxt"/>
        <w:rPr>
          <w:lang w:val="fr-FR"/>
        </w:rPr>
      </w:pPr>
      <w:r w:rsidRPr="00A66C9F">
        <w:rPr>
          <w:lang w:val="fr-FR"/>
        </w:rPr>
        <w:tab/>
        <w:t>a)</w:t>
      </w:r>
      <w:r w:rsidRPr="00A66C9F">
        <w:rPr>
          <w:lang w:val="fr-FR"/>
        </w:rPr>
        <w:tab/>
        <w:t>Les principaux dirigeants : l’Administrateur(trice) de la Caisse (voir note 1.2), le (la) Représentant(e) du Secrétaire général, l’Administrateur(trice) adjoint(e), le Directeur ou la Directrice du Bureau de la gestion des investissements et le Directeur financier ou la Directrice financière ;</w:t>
      </w:r>
    </w:p>
    <w:p w14:paraId="45962150" w14:textId="77777777" w:rsidR="00744544" w:rsidRPr="00A66C9F" w:rsidRDefault="00744544" w:rsidP="00744544">
      <w:pPr>
        <w:pStyle w:val="SingleTxt"/>
        <w:rPr>
          <w:lang w:val="fr-FR"/>
        </w:rPr>
      </w:pPr>
      <w:r w:rsidRPr="00A66C9F">
        <w:rPr>
          <w:lang w:val="fr-FR"/>
        </w:rPr>
        <w:tab/>
        <w:t>b)</w:t>
      </w:r>
      <w:r w:rsidRPr="00A66C9F">
        <w:rPr>
          <w:lang w:val="fr-FR"/>
        </w:rPr>
        <w:tab/>
        <w:t>L’Assemblée générale ;</w:t>
      </w:r>
    </w:p>
    <w:p w14:paraId="2B88D33B" w14:textId="77777777" w:rsidR="00744544" w:rsidRPr="00A66C9F" w:rsidRDefault="00744544" w:rsidP="00744544">
      <w:pPr>
        <w:pStyle w:val="SingleTxt"/>
        <w:rPr>
          <w:lang w:val="fr-FR"/>
        </w:rPr>
      </w:pPr>
      <w:r w:rsidRPr="00A66C9F">
        <w:rPr>
          <w:lang w:val="fr-FR"/>
        </w:rPr>
        <w:tab/>
        <w:t>c)</w:t>
      </w:r>
      <w:r w:rsidRPr="00A66C9F">
        <w:rPr>
          <w:lang w:val="fr-FR"/>
        </w:rPr>
        <w:tab/>
        <w:t>Les 24 organisations affiliées à la Caisse ;</w:t>
      </w:r>
    </w:p>
    <w:p w14:paraId="3B1C4338" w14:textId="77777777" w:rsidR="00744544" w:rsidRPr="00A66C9F" w:rsidRDefault="00744544" w:rsidP="00744544">
      <w:pPr>
        <w:pStyle w:val="SingleTxt"/>
        <w:rPr>
          <w:lang w:val="fr-FR"/>
        </w:rPr>
      </w:pPr>
      <w:r w:rsidRPr="00A66C9F">
        <w:rPr>
          <w:lang w:val="fr-FR"/>
        </w:rPr>
        <w:tab/>
        <w:t>d)</w:t>
      </w:r>
      <w:r w:rsidRPr="00A66C9F">
        <w:rPr>
          <w:lang w:val="fr-FR"/>
        </w:rPr>
        <w:tab/>
        <w:t>Le Centre international de calcul des Nations Unies.</w:t>
      </w:r>
    </w:p>
    <w:p w14:paraId="464B8B71"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Un récapitulatif des relations et opérations intéressant les parties susvisées est donné dans la note 23.</w:t>
      </w:r>
    </w:p>
    <w:p w14:paraId="5B314E8F" w14:textId="77777777" w:rsidR="00744544" w:rsidRPr="00A66C9F" w:rsidRDefault="00744544" w:rsidP="00744544">
      <w:pPr>
        <w:pStyle w:val="SingleTxt"/>
        <w:spacing w:after="0" w:line="120" w:lineRule="exact"/>
        <w:rPr>
          <w:sz w:val="10"/>
          <w:lang w:val="fr-FR"/>
        </w:rPr>
      </w:pPr>
    </w:p>
    <w:p w14:paraId="0D9F9BFE"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76" w:name="_Toc339633532"/>
      <w:bookmarkStart w:id="77" w:name="_Toc339633867"/>
      <w:r w:rsidRPr="00A66C9F">
        <w:rPr>
          <w:lang w:val="fr-FR"/>
        </w:rPr>
        <w:tab/>
        <w:t>3.16</w:t>
      </w:r>
      <w:r w:rsidRPr="00A66C9F">
        <w:rPr>
          <w:lang w:val="fr-FR"/>
        </w:rPr>
        <w:tab/>
        <w:t>Événements postérieurs à la date de clôture des comptes</w:t>
      </w:r>
      <w:bookmarkEnd w:id="76"/>
      <w:bookmarkEnd w:id="77"/>
    </w:p>
    <w:p w14:paraId="3F302329" w14:textId="77777777" w:rsidR="00744544" w:rsidRPr="00A66C9F" w:rsidRDefault="00744544" w:rsidP="00744544">
      <w:pPr>
        <w:pStyle w:val="SingleTxt"/>
        <w:spacing w:after="0" w:line="120" w:lineRule="exact"/>
        <w:rPr>
          <w:sz w:val="10"/>
          <w:lang w:val="fr-FR"/>
        </w:rPr>
      </w:pPr>
    </w:p>
    <w:p w14:paraId="34C1A51A"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Toute information reçue après la période considérée mais avant la publication des états financiers qui concerne des situations existant déjà à la date de clôture des comptes est incorporée dans les états financiers.</w:t>
      </w:r>
    </w:p>
    <w:p w14:paraId="03E79BAF" w14:textId="77777777" w:rsidR="00744544" w:rsidRPr="00A66C9F" w:rsidRDefault="00744544" w:rsidP="00753AB8">
      <w:pPr>
        <w:pStyle w:val="SingleTxt"/>
        <w:numPr>
          <w:ilvl w:val="0"/>
          <w:numId w:val="12"/>
        </w:numPr>
        <w:tabs>
          <w:tab w:val="num" w:pos="2804"/>
        </w:tabs>
        <w:spacing w:line="240" w:lineRule="exact"/>
        <w:ind w:left="1267"/>
        <w:rPr>
          <w:lang w:val="fr-FR"/>
        </w:rPr>
      </w:pPr>
      <w:r w:rsidRPr="00A66C9F">
        <w:rPr>
          <w:lang w:val="fr-FR"/>
        </w:rPr>
        <w:t>En outre, tout événement significatif pour la Caisse se produisant après la date de clôture mais avant la publication des états financiers est signalé dans les notes relatives aux états financiers.</w:t>
      </w:r>
    </w:p>
    <w:p w14:paraId="674C35C1" w14:textId="77777777" w:rsidR="00744544" w:rsidRPr="00A66C9F" w:rsidRDefault="00744544" w:rsidP="00744544">
      <w:pPr>
        <w:pStyle w:val="SingleTxt"/>
        <w:spacing w:after="0" w:line="120" w:lineRule="exact"/>
        <w:rPr>
          <w:sz w:val="10"/>
          <w:lang w:val="fr-FR"/>
        </w:rPr>
      </w:pPr>
    </w:p>
    <w:p w14:paraId="71B71B41"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78" w:name="_Toc339633533"/>
      <w:bookmarkStart w:id="79" w:name="_Toc339633868"/>
      <w:bookmarkStart w:id="80" w:name="_Toc38529170"/>
      <w:bookmarkStart w:id="81" w:name="_Toc295380108"/>
      <w:r w:rsidRPr="00A66C9F">
        <w:rPr>
          <w:lang w:val="fr-FR"/>
        </w:rPr>
        <w:tab/>
      </w:r>
      <w:r w:rsidRPr="00A66C9F">
        <w:rPr>
          <w:lang w:val="fr-FR"/>
        </w:rPr>
        <w:tab/>
        <w:t>Note 4</w:t>
      </w:r>
    </w:p>
    <w:p w14:paraId="189D8D45"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Trésorerie et équivalents de trésorerie</w:t>
      </w:r>
    </w:p>
    <w:p w14:paraId="6F413EE5" w14:textId="77777777" w:rsidR="00744544" w:rsidRPr="00A66C9F" w:rsidRDefault="00744544" w:rsidP="00744544">
      <w:pPr>
        <w:pStyle w:val="SingleTxt"/>
        <w:spacing w:after="0" w:line="120" w:lineRule="exact"/>
        <w:rPr>
          <w:sz w:val="10"/>
          <w:lang w:val="fr-FR"/>
        </w:rPr>
      </w:pPr>
    </w:p>
    <w:bookmarkEnd w:id="78"/>
    <w:bookmarkEnd w:id="79"/>
    <w:bookmarkEnd w:id="80"/>
    <w:p w14:paraId="3516C530" w14:textId="77777777" w:rsidR="00744544" w:rsidRPr="00A66C9F" w:rsidRDefault="00744544" w:rsidP="00753AB8">
      <w:pPr>
        <w:pStyle w:val="SingleTxt"/>
        <w:numPr>
          <w:ilvl w:val="0"/>
          <w:numId w:val="13"/>
        </w:numPr>
        <w:tabs>
          <w:tab w:val="num" w:pos="2804"/>
        </w:tabs>
        <w:spacing w:line="240" w:lineRule="exact"/>
        <w:rPr>
          <w:szCs w:val="20"/>
          <w:lang w:val="fr-FR"/>
        </w:rPr>
      </w:pPr>
      <w:r w:rsidRPr="00A66C9F">
        <w:rPr>
          <w:lang w:val="fr-FR"/>
        </w:rPr>
        <w:t xml:space="preserve">Le montant de la trésorerie et des équivalents de trésorerie de la Caisse se répartit comme suit : </w:t>
      </w:r>
    </w:p>
    <w:p w14:paraId="45978ECA" w14:textId="77777777" w:rsidR="00744544" w:rsidRPr="00A66C9F" w:rsidRDefault="00744544" w:rsidP="00744544">
      <w:pPr>
        <w:pStyle w:val="SingleTxt"/>
        <w:spacing w:after="0" w:line="120" w:lineRule="exact"/>
        <w:rPr>
          <w:sz w:val="10"/>
          <w:lang w:val="fr-FR"/>
        </w:rPr>
      </w:pPr>
    </w:p>
    <w:p w14:paraId="64BADDA0" w14:textId="77777777" w:rsidR="00F423A2" w:rsidRDefault="00F423A2">
      <w:pPr>
        <w:spacing w:after="200" w:line="276" w:lineRule="auto"/>
        <w:rPr>
          <w:rFonts w:ascii="marge tawagan" w:hAnsi="marge tawagan"/>
          <w:lang w:val="fr-FR"/>
        </w:rPr>
      </w:pPr>
      <w:r>
        <w:rPr>
          <w:lang w:val="fr-FR"/>
        </w:rPr>
        <w:br w:type="page"/>
      </w:r>
    </w:p>
    <w:p w14:paraId="624DB8BE" w14:textId="2A323F80" w:rsidR="00744544" w:rsidRPr="00A66C9F" w:rsidRDefault="00744544" w:rsidP="0074454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lang w:val="fr-FR"/>
        </w:rPr>
        <w:lastRenderedPageBreak/>
        <w:tab/>
      </w:r>
      <w:r w:rsidRPr="00A66C9F">
        <w:rPr>
          <w:lang w:val="fr-FR"/>
        </w:rPr>
        <w:tab/>
      </w:r>
      <w:r w:rsidRPr="00A66C9F">
        <w:rPr>
          <w:sz w:val="14"/>
          <w:szCs w:val="14"/>
          <w:lang w:val="fr-FR"/>
        </w:rPr>
        <w:t>(En milliers de dollars des États-Unis)</w:t>
      </w:r>
    </w:p>
    <w:p w14:paraId="5AB5374D" w14:textId="77777777" w:rsidR="00744544" w:rsidRPr="00A66C9F" w:rsidRDefault="00744544" w:rsidP="00744544">
      <w:pPr>
        <w:pStyle w:val="SingleTxt"/>
        <w:spacing w:after="0" w:line="120" w:lineRule="exact"/>
        <w:rPr>
          <w:sz w:val="10"/>
          <w:lang w:val="fr-FR"/>
        </w:rPr>
      </w:pPr>
    </w:p>
    <w:p w14:paraId="75175C7C" w14:textId="77777777" w:rsidR="00744544" w:rsidRPr="00A66C9F" w:rsidRDefault="00744544" w:rsidP="00744544">
      <w:pPr>
        <w:pStyle w:val="SingleTxt"/>
        <w:spacing w:after="0" w:line="120" w:lineRule="exact"/>
        <w:rPr>
          <w:sz w:val="10"/>
          <w:lang w:val="fr-FR"/>
        </w:rPr>
      </w:pPr>
    </w:p>
    <w:tbl>
      <w:tblPr>
        <w:tblW w:w="7320" w:type="dxa"/>
        <w:tblInd w:w="1260" w:type="dxa"/>
        <w:tblLayout w:type="fixed"/>
        <w:tblCellMar>
          <w:left w:w="0" w:type="dxa"/>
          <w:right w:w="0" w:type="dxa"/>
        </w:tblCellMar>
        <w:tblLook w:val="00A0" w:firstRow="1" w:lastRow="0" w:firstColumn="1" w:lastColumn="0" w:noHBand="0" w:noVBand="0"/>
      </w:tblPr>
      <w:tblGrid>
        <w:gridCol w:w="4770"/>
        <w:gridCol w:w="1260"/>
        <w:gridCol w:w="1290"/>
      </w:tblGrid>
      <w:tr w:rsidR="00744544" w:rsidRPr="00A66C9F" w14:paraId="025ABC1E" w14:textId="77777777" w:rsidTr="00107D5D">
        <w:trPr>
          <w:trHeight w:val="297"/>
          <w:tblHeader/>
        </w:trPr>
        <w:tc>
          <w:tcPr>
            <w:tcW w:w="4770" w:type="dxa"/>
            <w:tcBorders>
              <w:top w:val="single" w:sz="4" w:space="0" w:color="auto"/>
              <w:bottom w:val="single" w:sz="12" w:space="0" w:color="auto"/>
            </w:tcBorders>
            <w:shd w:val="clear" w:color="auto" w:fill="auto"/>
            <w:vAlign w:val="bottom"/>
          </w:tcPr>
          <w:p w14:paraId="1C44073F" w14:textId="77777777" w:rsidR="00744544" w:rsidRPr="00A66C9F" w:rsidRDefault="00744544" w:rsidP="00107D5D">
            <w:pPr>
              <w:pStyle w:val="BodyText"/>
              <w:keepNext/>
              <w:keepLines/>
              <w:suppressAutoHyphens/>
              <w:spacing w:before="81" w:beforeAutospacing="1" w:after="81" w:afterAutospacing="1" w:line="160" w:lineRule="exact"/>
              <w:ind w:right="40"/>
              <w:rPr>
                <w:bCs/>
                <w:i/>
                <w:iCs/>
                <w:spacing w:val="4"/>
                <w:w w:val="103"/>
                <w:kern w:val="14"/>
                <w:sz w:val="14"/>
                <w:szCs w:val="18"/>
                <w:lang w:val="fr-FR"/>
              </w:rPr>
            </w:pPr>
            <w:bookmarkStart w:id="82" w:name="_Toc339633534"/>
            <w:bookmarkStart w:id="83" w:name="_Toc339633869"/>
            <w:bookmarkStart w:id="84" w:name="_Toc339633535"/>
            <w:bookmarkStart w:id="85" w:name="_Toc339633870"/>
            <w:bookmarkStart w:id="86" w:name="_Toc339633537"/>
            <w:bookmarkStart w:id="87" w:name="_Toc339633872"/>
            <w:bookmarkStart w:id="88" w:name="_Toc339633539"/>
            <w:bookmarkStart w:id="89" w:name="_Toc339633874"/>
            <w:bookmarkStart w:id="90" w:name="_Toc339633564"/>
            <w:bookmarkStart w:id="91" w:name="_Toc339633899"/>
            <w:bookmarkStart w:id="92" w:name="_Toc339633566"/>
            <w:bookmarkStart w:id="93" w:name="_Toc339633901"/>
            <w:bookmarkStart w:id="94" w:name="_Toc339633568"/>
            <w:bookmarkStart w:id="95" w:name="_Toc339633903"/>
            <w:bookmarkStart w:id="96" w:name="_Toc339633572"/>
            <w:bookmarkStart w:id="97" w:name="_Toc339633907"/>
            <w:bookmarkStart w:id="98" w:name="_Toc339633573"/>
            <w:bookmarkStart w:id="99" w:name="_Toc339633908"/>
            <w:bookmarkStart w:id="100" w:name="_Toc339633574"/>
            <w:bookmarkStart w:id="101" w:name="_Toc339633909"/>
            <w:bookmarkStart w:id="102" w:name="_Toc339633575"/>
            <w:bookmarkStart w:id="103" w:name="_Toc339633910"/>
            <w:bookmarkStart w:id="104" w:name="_Toc339633577"/>
            <w:bookmarkStart w:id="105" w:name="_Toc339633912"/>
            <w:bookmarkStart w:id="106" w:name="_Toc339633613"/>
            <w:bookmarkStart w:id="107" w:name="_Toc339633948"/>
            <w:bookmarkStart w:id="108" w:name="_Toc339633614"/>
            <w:bookmarkStart w:id="109" w:name="_Toc339633949"/>
            <w:bookmarkStart w:id="110" w:name="_Toc339633615"/>
            <w:bookmarkStart w:id="111" w:name="_Toc339633950"/>
            <w:bookmarkStart w:id="112" w:name="_Toc339633616"/>
            <w:bookmarkStart w:id="113" w:name="_Toc339633951"/>
            <w:bookmarkStart w:id="114" w:name="_Toc339633618"/>
            <w:bookmarkStart w:id="115" w:name="_Toc339633953"/>
            <w:bookmarkStart w:id="116" w:name="_Toc339633637"/>
            <w:bookmarkStart w:id="117" w:name="_Toc339633972"/>
            <w:bookmarkStart w:id="118" w:name="_Toc339633638"/>
            <w:bookmarkStart w:id="119" w:name="_Toc339633973"/>
            <w:bookmarkStart w:id="120" w:name="_Toc339633640"/>
            <w:bookmarkStart w:id="121" w:name="_Toc339633975"/>
            <w:bookmarkStart w:id="122" w:name="_Toc339633644"/>
            <w:bookmarkStart w:id="123" w:name="_Toc339633979"/>
            <w:bookmarkStart w:id="124" w:name="_Toc339633668"/>
            <w:bookmarkStart w:id="125" w:name="_Toc339634003"/>
            <w:bookmarkStart w:id="126" w:name="_Toc339633669"/>
            <w:bookmarkStart w:id="127" w:name="_Toc339634004"/>
            <w:bookmarkStart w:id="128" w:name="_Toc339633670"/>
            <w:bookmarkStart w:id="129" w:name="_Toc339634005"/>
            <w:bookmarkStart w:id="130" w:name="_Toc339633671"/>
            <w:bookmarkStart w:id="131" w:name="_Toc339634006"/>
            <w:bookmarkStart w:id="132" w:name="_Toc339633678"/>
            <w:bookmarkStart w:id="133" w:name="_Toc339634013"/>
            <w:bookmarkStart w:id="134" w:name="_Toc339633679"/>
            <w:bookmarkStart w:id="135" w:name="_Toc339634014"/>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tc>
        <w:tc>
          <w:tcPr>
            <w:tcW w:w="1260" w:type="dxa"/>
            <w:tcBorders>
              <w:top w:val="single" w:sz="4" w:space="0" w:color="auto"/>
              <w:bottom w:val="single" w:sz="12" w:space="0" w:color="auto"/>
            </w:tcBorders>
            <w:shd w:val="clear" w:color="auto" w:fill="auto"/>
            <w:vAlign w:val="bottom"/>
          </w:tcPr>
          <w:p w14:paraId="78D6BBA6" w14:textId="77777777" w:rsidR="00744544" w:rsidRPr="00A66C9F" w:rsidDel="005F43B7" w:rsidRDefault="00744544" w:rsidP="00107D5D">
            <w:pPr>
              <w:pStyle w:val="BodyText"/>
              <w:keepNext/>
              <w:keepLines/>
              <w:suppressAutoHyphens/>
              <w:spacing w:before="81" w:after="81" w:line="160" w:lineRule="exact"/>
              <w:ind w:right="43"/>
              <w:jc w:val="right"/>
              <w:rPr>
                <w:bCs/>
                <w:i/>
                <w:iCs/>
                <w:spacing w:val="4"/>
                <w:w w:val="103"/>
                <w:kern w:val="14"/>
                <w:sz w:val="14"/>
                <w:szCs w:val="18"/>
                <w:lang w:val="fr-FR"/>
              </w:rPr>
            </w:pPr>
            <w:r w:rsidRPr="00A66C9F">
              <w:rPr>
                <w:i/>
                <w:iCs/>
                <w:spacing w:val="4"/>
                <w:w w:val="103"/>
                <w:kern w:val="14"/>
                <w:sz w:val="14"/>
                <w:lang w:val="fr-FR"/>
              </w:rPr>
              <w:t>31 décembre 2019</w:t>
            </w:r>
          </w:p>
        </w:tc>
        <w:tc>
          <w:tcPr>
            <w:tcW w:w="1290" w:type="dxa"/>
            <w:tcBorders>
              <w:top w:val="single" w:sz="4" w:space="0" w:color="auto"/>
              <w:bottom w:val="single" w:sz="12" w:space="0" w:color="auto"/>
            </w:tcBorders>
            <w:shd w:val="clear" w:color="auto" w:fill="auto"/>
            <w:vAlign w:val="bottom"/>
          </w:tcPr>
          <w:p w14:paraId="60E9BF3F" w14:textId="77777777" w:rsidR="00744544" w:rsidRPr="00A66C9F" w:rsidRDefault="00744544" w:rsidP="00107D5D">
            <w:pPr>
              <w:pStyle w:val="BodyText"/>
              <w:keepNext/>
              <w:keepLines/>
              <w:suppressAutoHyphens/>
              <w:spacing w:before="81" w:after="81" w:line="160" w:lineRule="exact"/>
              <w:ind w:right="43"/>
              <w:jc w:val="right"/>
              <w:rPr>
                <w:bCs/>
                <w:i/>
                <w:iCs/>
                <w:spacing w:val="4"/>
                <w:w w:val="103"/>
                <w:kern w:val="14"/>
                <w:sz w:val="14"/>
                <w:szCs w:val="18"/>
                <w:lang w:val="fr-FR"/>
              </w:rPr>
            </w:pPr>
            <w:r w:rsidRPr="00A66C9F">
              <w:rPr>
                <w:i/>
                <w:iCs/>
                <w:spacing w:val="4"/>
                <w:w w:val="103"/>
                <w:kern w:val="14"/>
                <w:sz w:val="14"/>
                <w:lang w:val="fr-FR"/>
              </w:rPr>
              <w:t>31 décembre 2018</w:t>
            </w:r>
          </w:p>
        </w:tc>
      </w:tr>
      <w:tr w:rsidR="00744544" w:rsidRPr="00A66C9F" w14:paraId="0895F8B2" w14:textId="77777777" w:rsidTr="00107D5D">
        <w:trPr>
          <w:trHeight w:hRule="exact" w:val="115"/>
          <w:tblHeader/>
        </w:trPr>
        <w:tc>
          <w:tcPr>
            <w:tcW w:w="4770" w:type="dxa"/>
            <w:tcBorders>
              <w:top w:val="single" w:sz="12" w:space="0" w:color="auto"/>
            </w:tcBorders>
            <w:shd w:val="clear" w:color="auto" w:fill="auto"/>
            <w:vAlign w:val="bottom"/>
          </w:tcPr>
          <w:p w14:paraId="6DEF7169" w14:textId="77777777" w:rsidR="00744544" w:rsidRPr="00A66C9F" w:rsidRDefault="00744544" w:rsidP="00107D5D">
            <w:pPr>
              <w:rPr>
                <w:sz w:val="17"/>
                <w:szCs w:val="17"/>
                <w:lang w:val="fr-FR"/>
              </w:rPr>
            </w:pPr>
          </w:p>
        </w:tc>
        <w:tc>
          <w:tcPr>
            <w:tcW w:w="1260" w:type="dxa"/>
            <w:tcBorders>
              <w:top w:val="single" w:sz="12" w:space="0" w:color="auto"/>
            </w:tcBorders>
            <w:shd w:val="clear" w:color="auto" w:fill="auto"/>
            <w:vAlign w:val="bottom"/>
          </w:tcPr>
          <w:p w14:paraId="15DEB0ED" w14:textId="77777777" w:rsidR="00744544" w:rsidRPr="00A66C9F" w:rsidRDefault="00744544" w:rsidP="00107D5D">
            <w:pPr>
              <w:jc w:val="right"/>
              <w:rPr>
                <w:sz w:val="17"/>
                <w:szCs w:val="17"/>
                <w:lang w:val="fr-FR"/>
              </w:rPr>
            </w:pPr>
          </w:p>
        </w:tc>
        <w:tc>
          <w:tcPr>
            <w:tcW w:w="1290" w:type="dxa"/>
            <w:tcBorders>
              <w:top w:val="single" w:sz="12" w:space="0" w:color="auto"/>
            </w:tcBorders>
            <w:shd w:val="clear" w:color="auto" w:fill="auto"/>
            <w:vAlign w:val="bottom"/>
          </w:tcPr>
          <w:p w14:paraId="1B362E2B" w14:textId="77777777" w:rsidR="00744544" w:rsidRPr="00A66C9F" w:rsidRDefault="00744544" w:rsidP="00107D5D">
            <w:pPr>
              <w:jc w:val="right"/>
              <w:rPr>
                <w:sz w:val="17"/>
                <w:szCs w:val="17"/>
                <w:lang w:val="fr-FR"/>
              </w:rPr>
            </w:pPr>
          </w:p>
        </w:tc>
      </w:tr>
      <w:tr w:rsidR="00744544" w:rsidRPr="00A66C9F" w14:paraId="6F9F8BDC" w14:textId="77777777" w:rsidTr="00107D5D">
        <w:trPr>
          <w:trHeight w:val="297"/>
        </w:trPr>
        <w:tc>
          <w:tcPr>
            <w:tcW w:w="4770" w:type="dxa"/>
            <w:shd w:val="clear" w:color="auto" w:fill="auto"/>
            <w:vAlign w:val="bottom"/>
          </w:tcPr>
          <w:p w14:paraId="7C728CAB" w14:textId="77777777" w:rsidR="00744544" w:rsidRPr="00A66C9F" w:rsidRDefault="00744544" w:rsidP="00107D5D">
            <w:pPr>
              <w:suppressAutoHyphens/>
              <w:spacing w:before="40" w:after="40" w:line="210" w:lineRule="exact"/>
              <w:rPr>
                <w:sz w:val="17"/>
                <w:szCs w:val="17"/>
                <w:lang w:val="fr-FR"/>
              </w:rPr>
            </w:pPr>
            <w:r w:rsidRPr="00A66C9F">
              <w:rPr>
                <w:sz w:val="17"/>
                <w:szCs w:val="17"/>
                <w:lang w:val="fr-FR"/>
              </w:rPr>
              <w:t>Fonds en banque (Bureau de la gestion des investissements)</w:t>
            </w:r>
          </w:p>
        </w:tc>
        <w:tc>
          <w:tcPr>
            <w:tcW w:w="1260" w:type="dxa"/>
            <w:shd w:val="clear" w:color="auto" w:fill="auto"/>
            <w:vAlign w:val="bottom"/>
          </w:tcPr>
          <w:p w14:paraId="518B6B50" w14:textId="77777777" w:rsidR="00744544" w:rsidRPr="00A66C9F" w:rsidRDefault="00744544" w:rsidP="00107D5D">
            <w:pPr>
              <w:spacing w:before="40" w:after="40" w:line="210" w:lineRule="exact"/>
              <w:jc w:val="right"/>
              <w:rPr>
                <w:sz w:val="17"/>
                <w:szCs w:val="17"/>
                <w:lang w:val="fr-FR"/>
              </w:rPr>
            </w:pPr>
            <w:r w:rsidRPr="00A66C9F">
              <w:rPr>
                <w:sz w:val="17"/>
                <w:szCs w:val="17"/>
                <w:lang w:val="fr-FR"/>
              </w:rPr>
              <w:t xml:space="preserve"> 199 937 </w:t>
            </w:r>
          </w:p>
        </w:tc>
        <w:tc>
          <w:tcPr>
            <w:tcW w:w="1290" w:type="dxa"/>
            <w:shd w:val="clear" w:color="auto" w:fill="auto"/>
            <w:vAlign w:val="bottom"/>
          </w:tcPr>
          <w:p w14:paraId="6CA0CB2E" w14:textId="77777777" w:rsidR="00744544" w:rsidRPr="00A66C9F" w:rsidRDefault="00744544" w:rsidP="00107D5D">
            <w:pPr>
              <w:spacing w:before="40" w:after="40" w:line="210" w:lineRule="exact"/>
              <w:jc w:val="right"/>
              <w:rPr>
                <w:sz w:val="17"/>
                <w:szCs w:val="17"/>
                <w:lang w:val="fr-FR"/>
              </w:rPr>
            </w:pPr>
            <w:r w:rsidRPr="00A66C9F">
              <w:rPr>
                <w:sz w:val="17"/>
                <w:szCs w:val="17"/>
                <w:lang w:val="fr-FR"/>
              </w:rPr>
              <w:t>347 391</w:t>
            </w:r>
          </w:p>
        </w:tc>
      </w:tr>
      <w:tr w:rsidR="00744544" w:rsidRPr="00A66C9F" w14:paraId="040D43BD" w14:textId="77777777" w:rsidTr="00107D5D">
        <w:trPr>
          <w:trHeight w:val="297"/>
        </w:trPr>
        <w:tc>
          <w:tcPr>
            <w:tcW w:w="4770" w:type="dxa"/>
            <w:shd w:val="clear" w:color="auto" w:fill="auto"/>
            <w:vAlign w:val="bottom"/>
          </w:tcPr>
          <w:p w14:paraId="56C56358" w14:textId="77777777" w:rsidR="00744544" w:rsidRPr="00A66C9F" w:rsidRDefault="00744544" w:rsidP="00107D5D">
            <w:pPr>
              <w:suppressAutoHyphens/>
              <w:spacing w:before="40" w:after="40" w:line="210" w:lineRule="exact"/>
              <w:rPr>
                <w:sz w:val="17"/>
                <w:szCs w:val="17"/>
                <w:lang w:val="fr-FR"/>
              </w:rPr>
            </w:pPr>
            <w:r w:rsidRPr="00A66C9F">
              <w:rPr>
                <w:sz w:val="17"/>
                <w:szCs w:val="17"/>
                <w:lang w:val="fr-FR"/>
              </w:rPr>
              <w:t>Fonds en banque (secrétariat de la Caisse)</w:t>
            </w:r>
          </w:p>
        </w:tc>
        <w:tc>
          <w:tcPr>
            <w:tcW w:w="1260" w:type="dxa"/>
            <w:shd w:val="clear" w:color="auto" w:fill="auto"/>
            <w:vAlign w:val="bottom"/>
          </w:tcPr>
          <w:p w14:paraId="6D80FA83" w14:textId="77777777" w:rsidR="00744544" w:rsidRPr="00A66C9F" w:rsidRDefault="00744544" w:rsidP="00107D5D">
            <w:pPr>
              <w:spacing w:before="40" w:after="40" w:line="210" w:lineRule="exact"/>
              <w:jc w:val="right"/>
              <w:rPr>
                <w:sz w:val="17"/>
                <w:szCs w:val="17"/>
                <w:lang w:val="fr-FR"/>
              </w:rPr>
            </w:pPr>
            <w:r w:rsidRPr="00A66C9F">
              <w:rPr>
                <w:sz w:val="17"/>
                <w:szCs w:val="17"/>
                <w:lang w:val="fr-FR"/>
              </w:rPr>
              <w:t xml:space="preserve"> 171 194 </w:t>
            </w:r>
          </w:p>
        </w:tc>
        <w:tc>
          <w:tcPr>
            <w:tcW w:w="1290" w:type="dxa"/>
            <w:shd w:val="clear" w:color="auto" w:fill="auto"/>
            <w:vAlign w:val="bottom"/>
          </w:tcPr>
          <w:p w14:paraId="081761BD" w14:textId="77777777" w:rsidR="00744544" w:rsidRPr="00A66C9F" w:rsidRDefault="00744544" w:rsidP="00107D5D">
            <w:pPr>
              <w:spacing w:before="40" w:after="40" w:line="210" w:lineRule="exact"/>
              <w:jc w:val="right"/>
              <w:rPr>
                <w:sz w:val="17"/>
                <w:szCs w:val="17"/>
                <w:lang w:val="fr-FR"/>
              </w:rPr>
            </w:pPr>
            <w:r w:rsidRPr="00A66C9F">
              <w:rPr>
                <w:sz w:val="17"/>
                <w:szCs w:val="17"/>
                <w:lang w:val="fr-FR"/>
              </w:rPr>
              <w:t>171 557</w:t>
            </w:r>
          </w:p>
        </w:tc>
      </w:tr>
      <w:tr w:rsidR="00744544" w:rsidRPr="00A66C9F" w14:paraId="3811EE3A" w14:textId="77777777" w:rsidTr="00107D5D">
        <w:trPr>
          <w:trHeight w:val="297"/>
        </w:trPr>
        <w:tc>
          <w:tcPr>
            <w:tcW w:w="4770" w:type="dxa"/>
            <w:tcBorders>
              <w:bottom w:val="single" w:sz="4" w:space="0" w:color="auto"/>
            </w:tcBorders>
            <w:shd w:val="clear" w:color="auto" w:fill="auto"/>
            <w:vAlign w:val="bottom"/>
          </w:tcPr>
          <w:p w14:paraId="0BEC665B" w14:textId="77777777" w:rsidR="00744544" w:rsidRPr="00A66C9F" w:rsidRDefault="00744544" w:rsidP="00107D5D">
            <w:pPr>
              <w:suppressAutoHyphens/>
              <w:spacing w:before="40" w:after="81" w:line="210" w:lineRule="exact"/>
              <w:rPr>
                <w:sz w:val="17"/>
                <w:szCs w:val="17"/>
                <w:lang w:val="fr-FR"/>
              </w:rPr>
            </w:pPr>
            <w:r w:rsidRPr="00A66C9F">
              <w:rPr>
                <w:sz w:val="17"/>
                <w:szCs w:val="17"/>
                <w:lang w:val="fr-FR"/>
              </w:rPr>
              <w:t>Fonds détenus par des gérants externes (Bureau de la gestion des investissements)</w:t>
            </w:r>
          </w:p>
        </w:tc>
        <w:tc>
          <w:tcPr>
            <w:tcW w:w="1260" w:type="dxa"/>
            <w:tcBorders>
              <w:bottom w:val="single" w:sz="4" w:space="0" w:color="auto"/>
            </w:tcBorders>
            <w:shd w:val="clear" w:color="auto" w:fill="auto"/>
            <w:vAlign w:val="bottom"/>
          </w:tcPr>
          <w:p w14:paraId="071F697C" w14:textId="77777777" w:rsidR="00744544" w:rsidRPr="00A66C9F" w:rsidRDefault="00744544" w:rsidP="00107D5D">
            <w:pPr>
              <w:spacing w:before="40" w:after="81" w:line="210" w:lineRule="exact"/>
              <w:jc w:val="right"/>
              <w:rPr>
                <w:sz w:val="17"/>
                <w:szCs w:val="17"/>
                <w:lang w:val="fr-FR"/>
              </w:rPr>
            </w:pPr>
            <w:r w:rsidRPr="00A66C9F">
              <w:rPr>
                <w:sz w:val="17"/>
                <w:szCs w:val="17"/>
                <w:lang w:val="fr-FR"/>
              </w:rPr>
              <w:t xml:space="preserve"> 65 223 </w:t>
            </w:r>
          </w:p>
        </w:tc>
        <w:tc>
          <w:tcPr>
            <w:tcW w:w="1290" w:type="dxa"/>
            <w:tcBorders>
              <w:bottom w:val="single" w:sz="4" w:space="0" w:color="auto"/>
            </w:tcBorders>
            <w:shd w:val="clear" w:color="auto" w:fill="auto"/>
            <w:vAlign w:val="bottom"/>
          </w:tcPr>
          <w:p w14:paraId="5B1E64E8" w14:textId="77777777" w:rsidR="00744544" w:rsidRPr="00A66C9F" w:rsidRDefault="00744544" w:rsidP="00107D5D">
            <w:pPr>
              <w:spacing w:before="40" w:after="81" w:line="210" w:lineRule="exact"/>
              <w:jc w:val="right"/>
              <w:rPr>
                <w:sz w:val="17"/>
                <w:szCs w:val="17"/>
                <w:lang w:val="fr-FR"/>
              </w:rPr>
            </w:pPr>
            <w:r w:rsidRPr="00A66C9F">
              <w:rPr>
                <w:sz w:val="17"/>
                <w:szCs w:val="17"/>
                <w:lang w:val="fr-FR"/>
              </w:rPr>
              <w:t>45 943</w:t>
            </w:r>
          </w:p>
        </w:tc>
      </w:tr>
      <w:tr w:rsidR="00744544" w:rsidRPr="00A66C9F" w14:paraId="0219B3D3" w14:textId="77777777" w:rsidTr="00107D5D">
        <w:trPr>
          <w:trHeight w:val="297"/>
        </w:trPr>
        <w:tc>
          <w:tcPr>
            <w:tcW w:w="4770" w:type="dxa"/>
            <w:tcBorders>
              <w:top w:val="single" w:sz="4" w:space="0" w:color="auto"/>
              <w:bottom w:val="single" w:sz="12" w:space="0" w:color="auto"/>
            </w:tcBorders>
            <w:shd w:val="clear" w:color="auto" w:fill="auto"/>
            <w:vAlign w:val="bottom"/>
          </w:tcPr>
          <w:p w14:paraId="22ECE7A9" w14:textId="77777777" w:rsidR="00744544" w:rsidRPr="00A66C9F" w:rsidRDefault="00744544" w:rsidP="00107D5D">
            <w:pPr>
              <w:tabs>
                <w:tab w:val="left" w:pos="273"/>
              </w:tabs>
              <w:suppressAutoHyphens/>
              <w:spacing w:before="81" w:after="81" w:line="210" w:lineRule="exact"/>
              <w:rPr>
                <w:b/>
                <w:sz w:val="17"/>
                <w:szCs w:val="17"/>
                <w:lang w:val="fr-FR"/>
              </w:rPr>
            </w:pPr>
            <w:r w:rsidRPr="00A66C9F">
              <w:rPr>
                <w:b/>
                <w:bCs/>
                <w:sz w:val="17"/>
                <w:szCs w:val="17"/>
                <w:lang w:val="fr-FR"/>
              </w:rPr>
              <w:tab/>
              <w:t>Total (trésorerie et équivalents de trésorerie)</w:t>
            </w:r>
          </w:p>
        </w:tc>
        <w:tc>
          <w:tcPr>
            <w:tcW w:w="1260" w:type="dxa"/>
            <w:tcBorders>
              <w:top w:val="single" w:sz="4" w:space="0" w:color="auto"/>
              <w:bottom w:val="single" w:sz="12" w:space="0" w:color="auto"/>
            </w:tcBorders>
            <w:shd w:val="clear" w:color="auto" w:fill="auto"/>
            <w:vAlign w:val="bottom"/>
          </w:tcPr>
          <w:p w14:paraId="758007E5" w14:textId="77777777" w:rsidR="00744544" w:rsidRPr="00A66C9F" w:rsidRDefault="00744544" w:rsidP="00107D5D">
            <w:pPr>
              <w:spacing w:before="81" w:after="81" w:line="210" w:lineRule="exact"/>
              <w:jc w:val="right"/>
              <w:rPr>
                <w:b/>
                <w:bCs/>
                <w:sz w:val="17"/>
                <w:szCs w:val="17"/>
                <w:lang w:val="fr-FR"/>
              </w:rPr>
            </w:pPr>
            <w:r w:rsidRPr="00A66C9F">
              <w:rPr>
                <w:b/>
                <w:sz w:val="17"/>
                <w:szCs w:val="17"/>
                <w:lang w:val="fr-FR"/>
              </w:rPr>
              <w:t xml:space="preserve"> </w:t>
            </w:r>
            <w:r w:rsidRPr="00A66C9F">
              <w:rPr>
                <w:b/>
                <w:bCs/>
                <w:sz w:val="17"/>
                <w:szCs w:val="17"/>
                <w:lang w:val="fr-FR"/>
              </w:rPr>
              <w:t>436 354</w:t>
            </w:r>
            <w:r w:rsidRPr="00A66C9F">
              <w:rPr>
                <w:b/>
                <w:sz w:val="17"/>
                <w:szCs w:val="17"/>
                <w:lang w:val="fr-FR"/>
              </w:rPr>
              <w:t xml:space="preserve"> </w:t>
            </w:r>
          </w:p>
        </w:tc>
        <w:tc>
          <w:tcPr>
            <w:tcW w:w="1290" w:type="dxa"/>
            <w:tcBorders>
              <w:top w:val="single" w:sz="4" w:space="0" w:color="auto"/>
              <w:bottom w:val="single" w:sz="12" w:space="0" w:color="auto"/>
            </w:tcBorders>
            <w:shd w:val="clear" w:color="auto" w:fill="auto"/>
            <w:vAlign w:val="bottom"/>
          </w:tcPr>
          <w:p w14:paraId="4BBBE3A9" w14:textId="77777777" w:rsidR="00744544" w:rsidRPr="00A66C9F" w:rsidRDefault="00744544" w:rsidP="00107D5D">
            <w:pPr>
              <w:spacing w:before="81" w:after="81" w:line="210" w:lineRule="exact"/>
              <w:jc w:val="right"/>
              <w:rPr>
                <w:b/>
                <w:bCs/>
                <w:sz w:val="17"/>
                <w:szCs w:val="17"/>
                <w:lang w:val="fr-FR"/>
              </w:rPr>
            </w:pPr>
            <w:r w:rsidRPr="00A66C9F">
              <w:rPr>
                <w:b/>
                <w:bCs/>
                <w:sz w:val="17"/>
                <w:szCs w:val="17"/>
                <w:lang w:val="fr-FR"/>
              </w:rPr>
              <w:t>564 891</w:t>
            </w:r>
          </w:p>
        </w:tc>
      </w:tr>
    </w:tbl>
    <w:p w14:paraId="2F144892" w14:textId="77777777" w:rsidR="00744544" w:rsidRPr="00A66C9F" w:rsidRDefault="00744544" w:rsidP="00744544">
      <w:pPr>
        <w:pStyle w:val="SingleTxt"/>
        <w:spacing w:after="0" w:line="120" w:lineRule="exact"/>
        <w:rPr>
          <w:sz w:val="10"/>
          <w:lang w:val="fr-FR"/>
        </w:rPr>
      </w:pPr>
    </w:p>
    <w:p w14:paraId="3830D53F" w14:textId="77777777" w:rsidR="00744544" w:rsidRPr="00A66C9F" w:rsidRDefault="00744544" w:rsidP="00744544">
      <w:pPr>
        <w:pStyle w:val="SingleTxt"/>
        <w:spacing w:after="0" w:line="120" w:lineRule="exact"/>
        <w:rPr>
          <w:sz w:val="10"/>
          <w:lang w:val="fr-FR"/>
        </w:rPr>
      </w:pPr>
    </w:p>
    <w:p w14:paraId="447191F3" w14:textId="77777777" w:rsidR="00744544" w:rsidRPr="00A66C9F" w:rsidRDefault="00744544" w:rsidP="00744544">
      <w:pPr>
        <w:pStyle w:val="SingleTxt"/>
        <w:spacing w:after="0" w:line="120" w:lineRule="exact"/>
        <w:rPr>
          <w:sz w:val="10"/>
          <w:lang w:val="fr-FR"/>
        </w:rPr>
      </w:pPr>
    </w:p>
    <w:p w14:paraId="53F8FCBB"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Note 5</w:t>
      </w:r>
    </w:p>
    <w:p w14:paraId="12046987"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Instruments financiers par catégorie</w:t>
      </w:r>
    </w:p>
    <w:p w14:paraId="4E51207B" w14:textId="77777777" w:rsidR="00744544" w:rsidRPr="00A66C9F" w:rsidRDefault="00744544" w:rsidP="00744544">
      <w:pPr>
        <w:pStyle w:val="SingleTxt"/>
        <w:spacing w:after="0" w:line="120" w:lineRule="exact"/>
        <w:rPr>
          <w:sz w:val="10"/>
          <w:lang w:val="fr-FR"/>
        </w:rPr>
      </w:pPr>
    </w:p>
    <w:p w14:paraId="1957F09E" w14:textId="77777777" w:rsidR="00744544" w:rsidRPr="00A66C9F" w:rsidRDefault="00744544" w:rsidP="00753AB8">
      <w:pPr>
        <w:pStyle w:val="SingleTxt"/>
        <w:numPr>
          <w:ilvl w:val="0"/>
          <w:numId w:val="13"/>
        </w:numPr>
        <w:spacing w:line="240" w:lineRule="exact"/>
        <w:rPr>
          <w:szCs w:val="20"/>
          <w:lang w:val="fr-FR"/>
        </w:rPr>
      </w:pPr>
      <w:bookmarkStart w:id="136" w:name="_Toc462327246"/>
      <w:bookmarkStart w:id="137" w:name="_Toc462327293"/>
      <w:bookmarkStart w:id="138" w:name="_Toc462327341"/>
      <w:bookmarkStart w:id="139" w:name="_Toc462327388"/>
      <w:bookmarkStart w:id="140" w:name="_Toc462327486"/>
      <w:bookmarkStart w:id="141" w:name="_Toc452735865"/>
      <w:bookmarkStart w:id="142" w:name="_Toc452735927"/>
      <w:bookmarkStart w:id="143" w:name="_Toc452735988"/>
      <w:bookmarkStart w:id="144" w:name="_Toc452736048"/>
      <w:bookmarkStart w:id="145" w:name="_Toc452739264"/>
      <w:bookmarkStart w:id="146" w:name="_Toc452740446"/>
      <w:bookmarkStart w:id="147" w:name="_Toc452740527"/>
      <w:bookmarkStart w:id="148" w:name="_Toc452740753"/>
      <w:bookmarkStart w:id="149" w:name="_Toc452735866"/>
      <w:bookmarkStart w:id="150" w:name="_Toc452735928"/>
      <w:bookmarkStart w:id="151" w:name="_Toc452735989"/>
      <w:bookmarkStart w:id="152" w:name="_Toc452736049"/>
      <w:bookmarkStart w:id="153" w:name="_Toc452739265"/>
      <w:bookmarkStart w:id="154" w:name="_Toc452740447"/>
      <w:bookmarkStart w:id="155" w:name="_Toc452740528"/>
      <w:bookmarkStart w:id="156" w:name="_Toc452740754"/>
      <w:bookmarkStart w:id="157" w:name="_Toc452735867"/>
      <w:bookmarkStart w:id="158" w:name="_Toc452735929"/>
      <w:bookmarkStart w:id="159" w:name="_Toc452735990"/>
      <w:bookmarkStart w:id="160" w:name="_Toc452736050"/>
      <w:bookmarkStart w:id="161" w:name="_Toc452739266"/>
      <w:bookmarkStart w:id="162" w:name="_Toc452740448"/>
      <w:bookmarkStart w:id="163" w:name="_Toc452740529"/>
      <w:bookmarkStart w:id="164" w:name="_Toc45274075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A66C9F">
        <w:rPr>
          <w:lang w:val="fr-FR"/>
        </w:rPr>
        <w:t>Les tableaux ci-dessous donnent un aperçu de tous les instruments financiers détenus, par catégorie, au 31 décembre 2019 et au 31 décembre 2018</w:t>
      </w:r>
      <w:r w:rsidRPr="00A66C9F">
        <w:rPr>
          <w:szCs w:val="20"/>
          <w:vertAlign w:val="superscript"/>
          <w:lang w:val="fr-FR"/>
        </w:rPr>
        <w:footnoteReference w:id="2"/>
      </w:r>
      <w:bookmarkStart w:id="165" w:name="_MON_1487669109"/>
      <w:bookmarkEnd w:id="165"/>
      <w:r w:rsidRPr="00A66C9F">
        <w:rPr>
          <w:lang w:val="fr-FR"/>
        </w:rPr>
        <w:t>.</w:t>
      </w:r>
    </w:p>
    <w:p w14:paraId="5DB6A062" w14:textId="77777777" w:rsidR="00744544" w:rsidRPr="00A66C9F" w:rsidRDefault="00744544" w:rsidP="00744544">
      <w:pPr>
        <w:pStyle w:val="SingleTxt"/>
        <w:spacing w:after="0" w:line="120" w:lineRule="exact"/>
        <w:rPr>
          <w:sz w:val="10"/>
          <w:lang w:val="fr-FR"/>
        </w:rPr>
      </w:pPr>
    </w:p>
    <w:p w14:paraId="4233B847" w14:textId="77777777" w:rsidR="00744544" w:rsidRPr="00A66C9F" w:rsidRDefault="00744544" w:rsidP="0074454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lang w:val="fr-FR"/>
        </w:rPr>
        <w:tab/>
      </w:r>
      <w:r w:rsidRPr="00A66C9F">
        <w:rPr>
          <w:lang w:val="fr-FR"/>
        </w:rPr>
        <w:tab/>
      </w:r>
      <w:r w:rsidRPr="00A66C9F">
        <w:rPr>
          <w:sz w:val="14"/>
          <w:szCs w:val="14"/>
          <w:lang w:val="fr-FR"/>
        </w:rPr>
        <w:t>(En milliers de dollars des États-Unis)</w:t>
      </w:r>
    </w:p>
    <w:p w14:paraId="55314C1D" w14:textId="77777777" w:rsidR="00744544" w:rsidRPr="00A66C9F" w:rsidRDefault="00744544" w:rsidP="00744544">
      <w:pPr>
        <w:pStyle w:val="SingleTxt"/>
        <w:spacing w:after="0" w:line="120" w:lineRule="exact"/>
        <w:rPr>
          <w:sz w:val="10"/>
          <w:lang w:val="fr-FR"/>
        </w:rPr>
      </w:pPr>
    </w:p>
    <w:p w14:paraId="5F41E9F2" w14:textId="77777777" w:rsidR="00744544" w:rsidRPr="00A66C9F" w:rsidRDefault="00744544" w:rsidP="00744544">
      <w:pPr>
        <w:pStyle w:val="SingleTxt"/>
        <w:spacing w:after="0" w:line="120" w:lineRule="exact"/>
        <w:rPr>
          <w:sz w:val="10"/>
          <w:lang w:val="fr-FR"/>
        </w:rPr>
      </w:pPr>
    </w:p>
    <w:tbl>
      <w:tblPr>
        <w:tblW w:w="7290" w:type="dxa"/>
        <w:tblInd w:w="1260" w:type="dxa"/>
        <w:tblLayout w:type="fixed"/>
        <w:tblCellMar>
          <w:left w:w="0" w:type="dxa"/>
          <w:right w:w="0" w:type="dxa"/>
        </w:tblCellMar>
        <w:tblLook w:val="04A0" w:firstRow="1" w:lastRow="0" w:firstColumn="1" w:lastColumn="0" w:noHBand="0" w:noVBand="1"/>
      </w:tblPr>
      <w:tblGrid>
        <w:gridCol w:w="3960"/>
        <w:gridCol w:w="1170"/>
        <w:gridCol w:w="1170"/>
        <w:gridCol w:w="990"/>
      </w:tblGrid>
      <w:tr w:rsidR="00744544" w:rsidRPr="00A66C9F" w14:paraId="72848E2A" w14:textId="77777777" w:rsidTr="00107D5D">
        <w:trPr>
          <w:trHeight w:val="268"/>
          <w:tblHeader/>
        </w:trPr>
        <w:tc>
          <w:tcPr>
            <w:tcW w:w="3960" w:type="dxa"/>
            <w:tcBorders>
              <w:top w:val="single" w:sz="4" w:space="0" w:color="auto"/>
            </w:tcBorders>
            <w:shd w:val="clear" w:color="000000" w:fill="FFFFFF"/>
            <w:vAlign w:val="bottom"/>
          </w:tcPr>
          <w:p w14:paraId="7EB8DAF4" w14:textId="77777777" w:rsidR="00744544" w:rsidRPr="00A66C9F" w:rsidRDefault="00744544" w:rsidP="00107D5D">
            <w:pPr>
              <w:suppressAutoHyphens/>
              <w:spacing w:before="81" w:after="81" w:line="160" w:lineRule="exact"/>
              <w:ind w:right="43"/>
              <w:jc w:val="center"/>
              <w:rPr>
                <w:i/>
                <w:iCs/>
                <w:sz w:val="14"/>
                <w:lang w:val="fr-FR"/>
              </w:rPr>
            </w:pPr>
          </w:p>
        </w:tc>
        <w:tc>
          <w:tcPr>
            <w:tcW w:w="3330" w:type="dxa"/>
            <w:gridSpan w:val="3"/>
            <w:tcBorders>
              <w:top w:val="single" w:sz="4" w:space="0" w:color="auto"/>
              <w:bottom w:val="single" w:sz="4" w:space="0" w:color="auto"/>
            </w:tcBorders>
            <w:shd w:val="clear" w:color="000000" w:fill="FFFFFF"/>
            <w:vAlign w:val="bottom"/>
          </w:tcPr>
          <w:p w14:paraId="14B4AE04" w14:textId="77777777" w:rsidR="00744544" w:rsidRPr="00A66C9F" w:rsidRDefault="00744544" w:rsidP="00107D5D">
            <w:pPr>
              <w:suppressAutoHyphens/>
              <w:spacing w:before="81" w:after="81" w:line="160" w:lineRule="exact"/>
              <w:ind w:right="43"/>
              <w:jc w:val="center"/>
              <w:rPr>
                <w:i/>
                <w:iCs/>
                <w:sz w:val="14"/>
                <w:lang w:val="fr-FR"/>
              </w:rPr>
            </w:pPr>
            <w:r w:rsidRPr="00A66C9F">
              <w:rPr>
                <w:i/>
                <w:iCs/>
                <w:sz w:val="14"/>
                <w:lang w:val="fr-FR"/>
              </w:rPr>
              <w:t>Au 31 décembre 2019</w:t>
            </w:r>
          </w:p>
        </w:tc>
      </w:tr>
      <w:tr w:rsidR="00744544" w:rsidRPr="00A66C9F" w14:paraId="09DF274F" w14:textId="77777777" w:rsidTr="00107D5D">
        <w:trPr>
          <w:trHeight w:val="704"/>
          <w:tblHeader/>
        </w:trPr>
        <w:tc>
          <w:tcPr>
            <w:tcW w:w="3960" w:type="dxa"/>
            <w:tcBorders>
              <w:bottom w:val="single" w:sz="12" w:space="0" w:color="auto"/>
            </w:tcBorders>
            <w:shd w:val="clear" w:color="000000" w:fill="FFFFFF"/>
            <w:vAlign w:val="bottom"/>
            <w:hideMark/>
          </w:tcPr>
          <w:p w14:paraId="624EE2BB" w14:textId="77777777" w:rsidR="00744544" w:rsidRPr="00A66C9F" w:rsidRDefault="00744544" w:rsidP="00107D5D">
            <w:pPr>
              <w:suppressAutoHyphens/>
              <w:spacing w:before="81" w:after="81" w:line="160" w:lineRule="exact"/>
              <w:ind w:right="43"/>
              <w:jc w:val="right"/>
              <w:rPr>
                <w:i/>
                <w:iCs/>
                <w:sz w:val="14"/>
                <w:lang w:val="fr-FR"/>
              </w:rPr>
            </w:pPr>
          </w:p>
        </w:tc>
        <w:tc>
          <w:tcPr>
            <w:tcW w:w="1170" w:type="dxa"/>
            <w:tcBorders>
              <w:top w:val="single" w:sz="4" w:space="0" w:color="auto"/>
              <w:bottom w:val="single" w:sz="12" w:space="0" w:color="auto"/>
            </w:tcBorders>
            <w:shd w:val="clear" w:color="000000" w:fill="FFFFFF"/>
            <w:vAlign w:val="bottom"/>
            <w:hideMark/>
          </w:tcPr>
          <w:p w14:paraId="075D1B58" w14:textId="77777777" w:rsidR="00744544" w:rsidRPr="00A66C9F" w:rsidRDefault="00744544" w:rsidP="00107D5D">
            <w:pPr>
              <w:suppressAutoHyphens/>
              <w:spacing w:before="81" w:after="81" w:line="160" w:lineRule="exact"/>
              <w:ind w:right="43"/>
              <w:jc w:val="right"/>
              <w:rPr>
                <w:i/>
                <w:iCs/>
                <w:sz w:val="14"/>
                <w:lang w:val="fr-FR"/>
              </w:rPr>
            </w:pPr>
            <w:r w:rsidRPr="00A66C9F">
              <w:rPr>
                <w:i/>
                <w:iCs/>
                <w:sz w:val="14"/>
                <w:lang w:val="fr-FR"/>
              </w:rPr>
              <w:t xml:space="preserve">Instruments financiers comptabilisés </w:t>
            </w:r>
            <w:r w:rsidRPr="00A66C9F">
              <w:rPr>
                <w:i/>
                <w:iCs/>
                <w:sz w:val="14"/>
                <w:lang w:val="fr-FR"/>
              </w:rPr>
              <w:br/>
              <w:t>à la juste valeur</w:t>
            </w:r>
          </w:p>
        </w:tc>
        <w:tc>
          <w:tcPr>
            <w:tcW w:w="1170" w:type="dxa"/>
            <w:tcBorders>
              <w:top w:val="single" w:sz="4" w:space="0" w:color="auto"/>
              <w:bottom w:val="single" w:sz="12" w:space="0" w:color="auto"/>
            </w:tcBorders>
            <w:shd w:val="clear" w:color="000000" w:fill="FFFFFF"/>
            <w:vAlign w:val="bottom"/>
            <w:hideMark/>
          </w:tcPr>
          <w:p w14:paraId="19EEB8AB" w14:textId="77777777" w:rsidR="00744544" w:rsidRPr="00A66C9F" w:rsidRDefault="00744544" w:rsidP="00107D5D">
            <w:pPr>
              <w:suppressAutoHyphens/>
              <w:spacing w:before="81" w:after="81" w:line="160" w:lineRule="exact"/>
              <w:ind w:right="43"/>
              <w:jc w:val="right"/>
              <w:rPr>
                <w:i/>
                <w:iCs/>
                <w:sz w:val="14"/>
                <w:lang w:val="fr-FR"/>
              </w:rPr>
            </w:pPr>
            <w:r w:rsidRPr="00A66C9F">
              <w:rPr>
                <w:i/>
                <w:iCs/>
                <w:sz w:val="14"/>
                <w:lang w:val="fr-FR"/>
              </w:rPr>
              <w:t>Prêts et</w:t>
            </w:r>
            <w:r w:rsidRPr="00A66C9F">
              <w:rPr>
                <w:i/>
                <w:iCs/>
                <w:sz w:val="14"/>
                <w:lang w:val="fr-FR"/>
              </w:rPr>
              <w:br/>
              <w:t>créances</w:t>
            </w:r>
          </w:p>
        </w:tc>
        <w:tc>
          <w:tcPr>
            <w:tcW w:w="990" w:type="dxa"/>
            <w:tcBorders>
              <w:top w:val="single" w:sz="4" w:space="0" w:color="auto"/>
              <w:bottom w:val="single" w:sz="12" w:space="0" w:color="auto"/>
            </w:tcBorders>
            <w:shd w:val="clear" w:color="000000" w:fill="FFFFFF"/>
            <w:vAlign w:val="bottom"/>
            <w:hideMark/>
          </w:tcPr>
          <w:p w14:paraId="762F2659" w14:textId="77777777" w:rsidR="00744544" w:rsidRPr="00A66C9F" w:rsidRDefault="00744544" w:rsidP="00107D5D">
            <w:pPr>
              <w:suppressAutoHyphens/>
              <w:spacing w:before="81" w:after="81" w:line="160" w:lineRule="exact"/>
              <w:ind w:right="43"/>
              <w:jc w:val="right"/>
              <w:rPr>
                <w:i/>
                <w:iCs/>
                <w:sz w:val="14"/>
                <w:lang w:val="fr-FR"/>
              </w:rPr>
            </w:pPr>
            <w:r w:rsidRPr="00A66C9F">
              <w:rPr>
                <w:i/>
                <w:iCs/>
                <w:sz w:val="14"/>
                <w:lang w:val="fr-FR"/>
              </w:rPr>
              <w:t>Autres passifs financiers</w:t>
            </w:r>
          </w:p>
        </w:tc>
      </w:tr>
      <w:tr w:rsidR="00744544" w:rsidRPr="00A66C9F" w14:paraId="74AB0F5F" w14:textId="77777777" w:rsidTr="00107D5D">
        <w:trPr>
          <w:trHeight w:hRule="exact" w:val="115"/>
          <w:tblHeader/>
        </w:trPr>
        <w:tc>
          <w:tcPr>
            <w:tcW w:w="3960" w:type="dxa"/>
            <w:tcBorders>
              <w:top w:val="single" w:sz="12" w:space="0" w:color="auto"/>
            </w:tcBorders>
            <w:shd w:val="clear" w:color="000000" w:fill="FFFFFF"/>
            <w:vAlign w:val="bottom"/>
          </w:tcPr>
          <w:p w14:paraId="50F3C8A8" w14:textId="77777777" w:rsidR="00744544" w:rsidRPr="00A66C9F" w:rsidRDefault="00744544" w:rsidP="00107D5D">
            <w:pPr>
              <w:suppressAutoHyphens/>
              <w:spacing w:before="40" w:after="40" w:line="210" w:lineRule="exact"/>
              <w:ind w:right="40"/>
              <w:rPr>
                <w:b/>
                <w:bCs/>
                <w:sz w:val="17"/>
                <w:lang w:val="fr-FR"/>
              </w:rPr>
            </w:pPr>
          </w:p>
        </w:tc>
        <w:tc>
          <w:tcPr>
            <w:tcW w:w="1170" w:type="dxa"/>
            <w:tcBorders>
              <w:top w:val="single" w:sz="12" w:space="0" w:color="auto"/>
            </w:tcBorders>
            <w:shd w:val="clear" w:color="000000" w:fill="FFFFFF"/>
            <w:vAlign w:val="bottom"/>
          </w:tcPr>
          <w:p w14:paraId="3365AF65" w14:textId="77777777" w:rsidR="00744544" w:rsidRPr="00A66C9F" w:rsidRDefault="00744544" w:rsidP="00107D5D">
            <w:pPr>
              <w:suppressAutoHyphens/>
              <w:spacing w:before="40" w:after="40" w:line="210" w:lineRule="exact"/>
              <w:ind w:right="40"/>
              <w:jc w:val="center"/>
              <w:rPr>
                <w:sz w:val="17"/>
                <w:szCs w:val="17"/>
                <w:lang w:val="fr-FR"/>
              </w:rPr>
            </w:pPr>
          </w:p>
        </w:tc>
        <w:tc>
          <w:tcPr>
            <w:tcW w:w="1170" w:type="dxa"/>
            <w:tcBorders>
              <w:top w:val="single" w:sz="12" w:space="0" w:color="auto"/>
            </w:tcBorders>
            <w:shd w:val="clear" w:color="000000" w:fill="FFFFFF"/>
            <w:vAlign w:val="bottom"/>
          </w:tcPr>
          <w:p w14:paraId="5F0691C7" w14:textId="77777777" w:rsidR="00744544" w:rsidRPr="00A66C9F" w:rsidRDefault="00744544" w:rsidP="00107D5D">
            <w:pPr>
              <w:suppressAutoHyphens/>
              <w:spacing w:before="40" w:after="40" w:line="210" w:lineRule="exact"/>
              <w:ind w:right="40"/>
              <w:jc w:val="center"/>
              <w:rPr>
                <w:sz w:val="17"/>
                <w:szCs w:val="17"/>
                <w:lang w:val="fr-FR"/>
              </w:rPr>
            </w:pPr>
          </w:p>
        </w:tc>
        <w:tc>
          <w:tcPr>
            <w:tcW w:w="990" w:type="dxa"/>
            <w:tcBorders>
              <w:top w:val="single" w:sz="12" w:space="0" w:color="auto"/>
            </w:tcBorders>
            <w:shd w:val="clear" w:color="000000" w:fill="FFFFFF"/>
            <w:noWrap/>
            <w:vAlign w:val="bottom"/>
          </w:tcPr>
          <w:p w14:paraId="1A136233" w14:textId="77777777" w:rsidR="00744544" w:rsidRPr="00A66C9F" w:rsidRDefault="00744544" w:rsidP="00107D5D">
            <w:pPr>
              <w:suppressAutoHyphens/>
              <w:spacing w:before="40" w:after="40" w:line="210" w:lineRule="exact"/>
              <w:ind w:right="40"/>
              <w:rPr>
                <w:sz w:val="17"/>
                <w:szCs w:val="17"/>
                <w:lang w:val="fr-FR"/>
              </w:rPr>
            </w:pPr>
          </w:p>
        </w:tc>
      </w:tr>
      <w:tr w:rsidR="00744544" w:rsidRPr="00A66C9F" w14:paraId="0A33CFAA" w14:textId="77777777" w:rsidTr="00107D5D">
        <w:tc>
          <w:tcPr>
            <w:tcW w:w="3960" w:type="dxa"/>
            <w:shd w:val="clear" w:color="000000" w:fill="FFFFFF"/>
            <w:vAlign w:val="bottom"/>
            <w:hideMark/>
          </w:tcPr>
          <w:p w14:paraId="6179AF5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b/>
                <w:bCs/>
                <w:sz w:val="17"/>
                <w:szCs w:val="17"/>
                <w:lang w:val="fr-FR"/>
              </w:rPr>
            </w:pPr>
            <w:r w:rsidRPr="00A66C9F">
              <w:rPr>
                <w:b/>
                <w:bCs/>
                <w:sz w:val="17"/>
                <w:lang w:val="fr-FR"/>
              </w:rPr>
              <w:t>Actifs financiers inscrits dans l’état de l’actif net disponible pour le versement des prestations</w:t>
            </w:r>
          </w:p>
        </w:tc>
        <w:tc>
          <w:tcPr>
            <w:tcW w:w="1170" w:type="dxa"/>
            <w:shd w:val="clear" w:color="000000" w:fill="FFFFFF"/>
            <w:vAlign w:val="bottom"/>
          </w:tcPr>
          <w:p w14:paraId="144871F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center"/>
              <w:rPr>
                <w:sz w:val="17"/>
                <w:szCs w:val="17"/>
                <w:lang w:val="fr-FR"/>
              </w:rPr>
            </w:pPr>
          </w:p>
        </w:tc>
        <w:tc>
          <w:tcPr>
            <w:tcW w:w="1170" w:type="dxa"/>
            <w:shd w:val="clear" w:color="000000" w:fill="FFFFFF"/>
            <w:vAlign w:val="bottom"/>
          </w:tcPr>
          <w:p w14:paraId="3A484CD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center"/>
              <w:rPr>
                <w:sz w:val="17"/>
                <w:szCs w:val="17"/>
                <w:lang w:val="fr-FR"/>
              </w:rPr>
            </w:pPr>
          </w:p>
        </w:tc>
        <w:tc>
          <w:tcPr>
            <w:tcW w:w="990" w:type="dxa"/>
            <w:shd w:val="clear" w:color="000000" w:fill="FFFFFF"/>
            <w:noWrap/>
            <w:vAlign w:val="bottom"/>
          </w:tcPr>
          <w:p w14:paraId="02B8E4F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p>
        </w:tc>
      </w:tr>
      <w:tr w:rsidR="00744544" w:rsidRPr="00A66C9F" w14:paraId="3F3C62AC" w14:textId="77777777" w:rsidTr="00107D5D">
        <w:tc>
          <w:tcPr>
            <w:tcW w:w="3960" w:type="dxa"/>
            <w:shd w:val="clear" w:color="000000" w:fill="FFFFFF"/>
            <w:vAlign w:val="bottom"/>
            <w:hideMark/>
          </w:tcPr>
          <w:p w14:paraId="00B265A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 xml:space="preserve">Trésorerie et équivalents de trésorerie </w:t>
            </w:r>
          </w:p>
        </w:tc>
        <w:tc>
          <w:tcPr>
            <w:tcW w:w="1170" w:type="dxa"/>
            <w:shd w:val="clear" w:color="auto" w:fill="auto"/>
            <w:vAlign w:val="bottom"/>
          </w:tcPr>
          <w:p w14:paraId="56F1BD2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436 354</w:t>
            </w:r>
          </w:p>
        </w:tc>
        <w:tc>
          <w:tcPr>
            <w:tcW w:w="1170" w:type="dxa"/>
            <w:shd w:val="clear" w:color="000000" w:fill="FFFFFF"/>
            <w:vAlign w:val="bottom"/>
          </w:tcPr>
          <w:p w14:paraId="12F24C6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w:t>
            </w:r>
          </w:p>
        </w:tc>
        <w:tc>
          <w:tcPr>
            <w:tcW w:w="990" w:type="dxa"/>
            <w:shd w:val="clear" w:color="000000" w:fill="FFFFFF"/>
            <w:vAlign w:val="bottom"/>
          </w:tcPr>
          <w:p w14:paraId="746AC60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w:t>
            </w:r>
          </w:p>
        </w:tc>
      </w:tr>
      <w:tr w:rsidR="00744544" w:rsidRPr="00A66C9F" w14:paraId="302789CD" w14:textId="77777777" w:rsidTr="00107D5D">
        <w:tc>
          <w:tcPr>
            <w:tcW w:w="3960" w:type="dxa"/>
            <w:shd w:val="clear" w:color="000000" w:fill="FFFFFF"/>
            <w:vAlign w:val="bottom"/>
            <w:hideMark/>
          </w:tcPr>
          <w:p w14:paraId="0AA22FD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Investissements</w:t>
            </w:r>
          </w:p>
        </w:tc>
        <w:tc>
          <w:tcPr>
            <w:tcW w:w="1170" w:type="dxa"/>
            <w:shd w:val="clear" w:color="000000" w:fill="FFFFFF"/>
            <w:vAlign w:val="bottom"/>
          </w:tcPr>
          <w:p w14:paraId="0B11E5E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p>
        </w:tc>
        <w:tc>
          <w:tcPr>
            <w:tcW w:w="1170" w:type="dxa"/>
            <w:shd w:val="clear" w:color="000000" w:fill="FFFFFF"/>
            <w:vAlign w:val="bottom"/>
          </w:tcPr>
          <w:p w14:paraId="48AEB65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p>
        </w:tc>
        <w:tc>
          <w:tcPr>
            <w:tcW w:w="990" w:type="dxa"/>
            <w:shd w:val="clear" w:color="000000" w:fill="FFFFFF"/>
            <w:vAlign w:val="bottom"/>
          </w:tcPr>
          <w:p w14:paraId="71965AD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p>
        </w:tc>
      </w:tr>
      <w:tr w:rsidR="00744544" w:rsidRPr="00A66C9F" w14:paraId="33C0EFCC" w14:textId="77777777" w:rsidTr="00107D5D">
        <w:tc>
          <w:tcPr>
            <w:tcW w:w="3960" w:type="dxa"/>
            <w:shd w:val="clear" w:color="000000" w:fill="FFFFFF"/>
            <w:vAlign w:val="bottom"/>
            <w:hideMark/>
          </w:tcPr>
          <w:p w14:paraId="77DE510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firstLineChars="2" w:firstLine="4"/>
              <w:rPr>
                <w:sz w:val="17"/>
                <w:szCs w:val="17"/>
                <w:lang w:val="fr-FR"/>
              </w:rPr>
            </w:pPr>
            <w:r w:rsidRPr="00A66C9F">
              <w:rPr>
                <w:sz w:val="17"/>
                <w:lang w:val="fr-FR"/>
              </w:rPr>
              <w:tab/>
              <w:t>Actions</w:t>
            </w:r>
          </w:p>
        </w:tc>
        <w:tc>
          <w:tcPr>
            <w:tcW w:w="1170" w:type="dxa"/>
            <w:shd w:val="clear" w:color="000000" w:fill="FFFFFF"/>
            <w:vAlign w:val="bottom"/>
          </w:tcPr>
          <w:p w14:paraId="26D6F49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42 309 141 </w:t>
            </w:r>
          </w:p>
        </w:tc>
        <w:tc>
          <w:tcPr>
            <w:tcW w:w="1170" w:type="dxa"/>
            <w:shd w:val="clear" w:color="000000" w:fill="FFFFFF"/>
            <w:vAlign w:val="bottom"/>
          </w:tcPr>
          <w:p w14:paraId="1F726C0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w:t>
            </w:r>
          </w:p>
        </w:tc>
        <w:tc>
          <w:tcPr>
            <w:tcW w:w="990" w:type="dxa"/>
            <w:shd w:val="clear" w:color="000000" w:fill="FFFFFF"/>
            <w:vAlign w:val="bottom"/>
          </w:tcPr>
          <w:p w14:paraId="03A6DEE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w:t>
            </w:r>
          </w:p>
        </w:tc>
      </w:tr>
      <w:tr w:rsidR="00744544" w:rsidRPr="00A66C9F" w14:paraId="17F6B8A7" w14:textId="77777777" w:rsidTr="00107D5D">
        <w:tc>
          <w:tcPr>
            <w:tcW w:w="3960" w:type="dxa"/>
            <w:shd w:val="clear" w:color="000000" w:fill="FFFFFF"/>
            <w:vAlign w:val="bottom"/>
            <w:hideMark/>
          </w:tcPr>
          <w:p w14:paraId="0BBC365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firstLineChars="2" w:firstLine="4"/>
              <w:rPr>
                <w:sz w:val="17"/>
                <w:szCs w:val="17"/>
                <w:lang w:val="fr-FR"/>
              </w:rPr>
            </w:pPr>
            <w:r w:rsidRPr="00A66C9F">
              <w:rPr>
                <w:sz w:val="17"/>
                <w:lang w:val="fr-FR"/>
              </w:rPr>
              <w:tab/>
              <w:t>Valeurs à revenu fixe</w:t>
            </w:r>
          </w:p>
        </w:tc>
        <w:tc>
          <w:tcPr>
            <w:tcW w:w="1170" w:type="dxa"/>
            <w:shd w:val="clear" w:color="000000" w:fill="FFFFFF"/>
            <w:vAlign w:val="bottom"/>
          </w:tcPr>
          <w:p w14:paraId="4E7D30D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20 412 531 </w:t>
            </w:r>
          </w:p>
        </w:tc>
        <w:tc>
          <w:tcPr>
            <w:tcW w:w="1170" w:type="dxa"/>
            <w:shd w:val="clear" w:color="000000" w:fill="FFFFFF"/>
            <w:vAlign w:val="bottom"/>
          </w:tcPr>
          <w:p w14:paraId="33C6CF3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c>
          <w:tcPr>
            <w:tcW w:w="990" w:type="dxa"/>
            <w:shd w:val="clear" w:color="000000" w:fill="FFFFFF"/>
            <w:vAlign w:val="bottom"/>
          </w:tcPr>
          <w:p w14:paraId="6D09470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r>
      <w:tr w:rsidR="00744544" w:rsidRPr="00A66C9F" w14:paraId="74EA526F" w14:textId="77777777" w:rsidTr="00107D5D">
        <w:tc>
          <w:tcPr>
            <w:tcW w:w="3960" w:type="dxa"/>
            <w:shd w:val="clear" w:color="000000" w:fill="FFFFFF"/>
            <w:vAlign w:val="bottom"/>
            <w:hideMark/>
          </w:tcPr>
          <w:p w14:paraId="6F16A1B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firstLineChars="2" w:firstLine="4"/>
              <w:rPr>
                <w:sz w:val="17"/>
                <w:szCs w:val="17"/>
                <w:lang w:val="fr-FR"/>
              </w:rPr>
            </w:pPr>
            <w:r w:rsidRPr="00A66C9F">
              <w:rPr>
                <w:sz w:val="17"/>
                <w:lang w:val="fr-FR"/>
              </w:rPr>
              <w:tab/>
              <w:t>Actifs réels</w:t>
            </w:r>
          </w:p>
        </w:tc>
        <w:tc>
          <w:tcPr>
            <w:tcW w:w="1170" w:type="dxa"/>
            <w:shd w:val="clear" w:color="000000" w:fill="FFFFFF"/>
            <w:vAlign w:val="bottom"/>
          </w:tcPr>
          <w:p w14:paraId="52474C3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5 201 835 </w:t>
            </w:r>
          </w:p>
        </w:tc>
        <w:tc>
          <w:tcPr>
            <w:tcW w:w="1170" w:type="dxa"/>
            <w:shd w:val="clear" w:color="000000" w:fill="FFFFFF"/>
            <w:vAlign w:val="bottom"/>
          </w:tcPr>
          <w:p w14:paraId="1443A65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c>
          <w:tcPr>
            <w:tcW w:w="990" w:type="dxa"/>
            <w:shd w:val="clear" w:color="000000" w:fill="FFFFFF"/>
            <w:vAlign w:val="bottom"/>
          </w:tcPr>
          <w:p w14:paraId="0250E83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r>
      <w:tr w:rsidR="00744544" w:rsidRPr="00A66C9F" w14:paraId="23C6A401" w14:textId="77777777" w:rsidTr="00107D5D">
        <w:tc>
          <w:tcPr>
            <w:tcW w:w="3960" w:type="dxa"/>
            <w:shd w:val="clear" w:color="000000" w:fill="FFFFFF"/>
            <w:vAlign w:val="bottom"/>
            <w:hideMark/>
          </w:tcPr>
          <w:p w14:paraId="5C696A3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firstLineChars="2" w:firstLine="4"/>
              <w:rPr>
                <w:sz w:val="17"/>
                <w:szCs w:val="17"/>
                <w:lang w:val="fr-FR"/>
              </w:rPr>
            </w:pPr>
            <w:r w:rsidRPr="00A66C9F">
              <w:rPr>
                <w:sz w:val="17"/>
                <w:lang w:val="fr-FR"/>
              </w:rPr>
              <w:tab/>
              <w:t>Investissements alternatifs et divers</w:t>
            </w:r>
          </w:p>
        </w:tc>
        <w:tc>
          <w:tcPr>
            <w:tcW w:w="1170" w:type="dxa"/>
            <w:shd w:val="clear" w:color="000000" w:fill="FFFFFF"/>
            <w:vAlign w:val="bottom"/>
          </w:tcPr>
          <w:p w14:paraId="531C43C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3 626 467 </w:t>
            </w:r>
          </w:p>
        </w:tc>
        <w:tc>
          <w:tcPr>
            <w:tcW w:w="1170" w:type="dxa"/>
            <w:shd w:val="clear" w:color="000000" w:fill="FFFFFF"/>
            <w:vAlign w:val="bottom"/>
          </w:tcPr>
          <w:p w14:paraId="7E61F36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c>
          <w:tcPr>
            <w:tcW w:w="990" w:type="dxa"/>
            <w:shd w:val="clear" w:color="000000" w:fill="FFFFFF"/>
            <w:vAlign w:val="bottom"/>
          </w:tcPr>
          <w:p w14:paraId="0EC4824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r>
      <w:tr w:rsidR="00744544" w:rsidRPr="00A66C9F" w14:paraId="44A8343C" w14:textId="77777777" w:rsidTr="00107D5D">
        <w:tc>
          <w:tcPr>
            <w:tcW w:w="3960" w:type="dxa"/>
            <w:shd w:val="clear" w:color="000000" w:fill="FFFFFF"/>
            <w:vAlign w:val="bottom"/>
            <w:hideMark/>
          </w:tcPr>
          <w:p w14:paraId="168E756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 xml:space="preserve">Contributions à recevoir </w:t>
            </w:r>
          </w:p>
        </w:tc>
        <w:tc>
          <w:tcPr>
            <w:tcW w:w="1170" w:type="dxa"/>
            <w:shd w:val="clear" w:color="000000" w:fill="FFFFFF"/>
            <w:vAlign w:val="bottom"/>
          </w:tcPr>
          <w:p w14:paraId="723AF5B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c>
          <w:tcPr>
            <w:tcW w:w="1170" w:type="dxa"/>
            <w:shd w:val="clear" w:color="000000" w:fill="FFFFFF"/>
            <w:vAlign w:val="bottom"/>
          </w:tcPr>
          <w:p w14:paraId="5AF14CA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64 912 </w:t>
            </w:r>
          </w:p>
        </w:tc>
        <w:tc>
          <w:tcPr>
            <w:tcW w:w="990" w:type="dxa"/>
            <w:shd w:val="clear" w:color="000000" w:fill="FFFFFF"/>
            <w:vAlign w:val="bottom"/>
          </w:tcPr>
          <w:p w14:paraId="7615FD6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r>
      <w:tr w:rsidR="00744544" w:rsidRPr="00A66C9F" w14:paraId="648179B8" w14:textId="77777777" w:rsidTr="00107D5D">
        <w:tc>
          <w:tcPr>
            <w:tcW w:w="3960" w:type="dxa"/>
            <w:shd w:val="clear" w:color="000000" w:fill="FFFFFF"/>
            <w:vAlign w:val="bottom"/>
            <w:hideMark/>
          </w:tcPr>
          <w:p w14:paraId="03E8C28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Produits à recevoir sur les investissements</w:t>
            </w:r>
          </w:p>
        </w:tc>
        <w:tc>
          <w:tcPr>
            <w:tcW w:w="1170" w:type="dxa"/>
            <w:shd w:val="clear" w:color="000000" w:fill="FFFFFF"/>
            <w:noWrap/>
            <w:vAlign w:val="bottom"/>
          </w:tcPr>
          <w:p w14:paraId="137BA1F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c>
          <w:tcPr>
            <w:tcW w:w="1170" w:type="dxa"/>
            <w:shd w:val="clear" w:color="000000" w:fill="FFFFFF"/>
            <w:noWrap/>
            <w:vAlign w:val="bottom"/>
          </w:tcPr>
          <w:p w14:paraId="090244C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163 163 </w:t>
            </w:r>
          </w:p>
        </w:tc>
        <w:tc>
          <w:tcPr>
            <w:tcW w:w="990" w:type="dxa"/>
            <w:shd w:val="clear" w:color="000000" w:fill="FFFFFF"/>
            <w:vAlign w:val="bottom"/>
          </w:tcPr>
          <w:p w14:paraId="3716107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r>
      <w:tr w:rsidR="00744544" w:rsidRPr="00A66C9F" w14:paraId="3E693701" w14:textId="77777777" w:rsidTr="00107D5D">
        <w:tc>
          <w:tcPr>
            <w:tcW w:w="3960" w:type="dxa"/>
            <w:shd w:val="clear" w:color="000000" w:fill="FFFFFF"/>
            <w:vAlign w:val="bottom"/>
            <w:hideMark/>
          </w:tcPr>
          <w:p w14:paraId="56276A4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Produits à recevoir sur la cession de titres</w:t>
            </w:r>
          </w:p>
        </w:tc>
        <w:tc>
          <w:tcPr>
            <w:tcW w:w="1170" w:type="dxa"/>
            <w:shd w:val="clear" w:color="000000" w:fill="FFFFFF"/>
            <w:noWrap/>
            <w:vAlign w:val="bottom"/>
          </w:tcPr>
          <w:p w14:paraId="4125D96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c>
          <w:tcPr>
            <w:tcW w:w="1170" w:type="dxa"/>
            <w:shd w:val="clear" w:color="000000" w:fill="FFFFFF"/>
            <w:noWrap/>
            <w:vAlign w:val="bottom"/>
          </w:tcPr>
          <w:p w14:paraId="641103B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15 390 </w:t>
            </w:r>
          </w:p>
        </w:tc>
        <w:tc>
          <w:tcPr>
            <w:tcW w:w="990" w:type="dxa"/>
            <w:shd w:val="clear" w:color="000000" w:fill="FFFFFF"/>
            <w:vAlign w:val="bottom"/>
          </w:tcPr>
          <w:p w14:paraId="7BC7E35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r>
      <w:tr w:rsidR="00744544" w:rsidRPr="00A66C9F" w14:paraId="371C7889" w14:textId="77777777" w:rsidTr="00107D5D">
        <w:tc>
          <w:tcPr>
            <w:tcW w:w="3960" w:type="dxa"/>
            <w:shd w:val="clear" w:color="000000" w:fill="FFFFFF"/>
            <w:vAlign w:val="bottom"/>
            <w:hideMark/>
          </w:tcPr>
          <w:p w14:paraId="656FF66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rPr>
                <w:sz w:val="17"/>
                <w:szCs w:val="17"/>
                <w:lang w:val="fr-FR"/>
              </w:rPr>
            </w:pPr>
            <w:r w:rsidRPr="00A66C9F">
              <w:rPr>
                <w:sz w:val="17"/>
                <w:lang w:val="fr-FR"/>
              </w:rPr>
              <w:t>Créances sur des administrations fiscales</w:t>
            </w:r>
          </w:p>
        </w:tc>
        <w:tc>
          <w:tcPr>
            <w:tcW w:w="1170" w:type="dxa"/>
            <w:shd w:val="clear" w:color="000000" w:fill="FFFFFF"/>
            <w:noWrap/>
            <w:vAlign w:val="bottom"/>
          </w:tcPr>
          <w:p w14:paraId="134CD3D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1170" w:type="dxa"/>
            <w:shd w:val="clear" w:color="000000" w:fill="FFFFFF"/>
            <w:vAlign w:val="bottom"/>
          </w:tcPr>
          <w:p w14:paraId="0567B3B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35 789 </w:t>
            </w:r>
          </w:p>
        </w:tc>
        <w:tc>
          <w:tcPr>
            <w:tcW w:w="990" w:type="dxa"/>
            <w:shd w:val="clear" w:color="000000" w:fill="FFFFFF"/>
            <w:vAlign w:val="bottom"/>
          </w:tcPr>
          <w:p w14:paraId="7665B6A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r>
      <w:tr w:rsidR="00744544" w:rsidRPr="00A66C9F" w14:paraId="08DC9603" w14:textId="77777777" w:rsidTr="00107D5D">
        <w:tc>
          <w:tcPr>
            <w:tcW w:w="3960" w:type="dxa"/>
            <w:tcBorders>
              <w:bottom w:val="single" w:sz="4" w:space="0" w:color="auto"/>
            </w:tcBorders>
            <w:shd w:val="clear" w:color="000000" w:fill="FFFFFF"/>
            <w:vAlign w:val="bottom"/>
            <w:hideMark/>
          </w:tcPr>
          <w:p w14:paraId="5A48FA35"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rPr>
                <w:sz w:val="17"/>
                <w:szCs w:val="17"/>
                <w:lang w:val="fr-FR"/>
              </w:rPr>
            </w:pPr>
            <w:r w:rsidRPr="00A66C9F">
              <w:rPr>
                <w:sz w:val="17"/>
                <w:lang w:val="fr-FR"/>
              </w:rPr>
              <w:t>Autres éléments d’actif</w:t>
            </w:r>
          </w:p>
        </w:tc>
        <w:tc>
          <w:tcPr>
            <w:tcW w:w="1170" w:type="dxa"/>
            <w:tcBorders>
              <w:bottom w:val="single" w:sz="4" w:space="0" w:color="auto"/>
            </w:tcBorders>
            <w:shd w:val="clear" w:color="auto" w:fill="auto"/>
            <w:noWrap/>
            <w:vAlign w:val="bottom"/>
          </w:tcPr>
          <w:p w14:paraId="3CB3A64F"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szCs w:val="17"/>
                <w:lang w:val="fr-FR"/>
              </w:rPr>
              <w:t xml:space="preserve"> –</w:t>
            </w:r>
          </w:p>
        </w:tc>
        <w:tc>
          <w:tcPr>
            <w:tcW w:w="1170" w:type="dxa"/>
            <w:tcBorders>
              <w:bottom w:val="single" w:sz="4" w:space="0" w:color="auto"/>
            </w:tcBorders>
            <w:shd w:val="clear" w:color="000000" w:fill="FFFFFF"/>
            <w:vAlign w:val="bottom"/>
          </w:tcPr>
          <w:p w14:paraId="5300037C"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lang w:val="fr-FR"/>
              </w:rPr>
              <w:t xml:space="preserve"> 21 674 </w:t>
            </w:r>
          </w:p>
        </w:tc>
        <w:tc>
          <w:tcPr>
            <w:tcW w:w="990" w:type="dxa"/>
            <w:tcBorders>
              <w:bottom w:val="single" w:sz="4" w:space="0" w:color="auto"/>
            </w:tcBorders>
            <w:shd w:val="clear" w:color="000000" w:fill="FFFFFF"/>
            <w:vAlign w:val="bottom"/>
          </w:tcPr>
          <w:p w14:paraId="42927D45"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szCs w:val="17"/>
                <w:lang w:val="fr-FR"/>
              </w:rPr>
              <w:t xml:space="preserve"> –</w:t>
            </w:r>
          </w:p>
        </w:tc>
      </w:tr>
      <w:tr w:rsidR="00744544" w:rsidRPr="00A66C9F" w14:paraId="618739A6" w14:textId="77777777" w:rsidTr="00107D5D">
        <w:tc>
          <w:tcPr>
            <w:tcW w:w="3960" w:type="dxa"/>
            <w:tcBorders>
              <w:top w:val="single" w:sz="4" w:space="0" w:color="auto"/>
              <w:bottom w:val="single" w:sz="4" w:space="0" w:color="auto"/>
            </w:tcBorders>
            <w:shd w:val="clear" w:color="000000" w:fill="FFFFFF"/>
            <w:vAlign w:val="bottom"/>
            <w:hideMark/>
          </w:tcPr>
          <w:p w14:paraId="1173B1AE"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rPr>
                <w:b/>
                <w:bCs/>
                <w:sz w:val="17"/>
                <w:szCs w:val="17"/>
                <w:lang w:val="fr-FR"/>
              </w:rPr>
            </w:pPr>
            <w:r w:rsidRPr="00A66C9F">
              <w:rPr>
                <w:b/>
                <w:bCs/>
                <w:sz w:val="17"/>
                <w:lang w:val="fr-FR"/>
              </w:rPr>
              <w:tab/>
              <w:t>Total des actifs financiers</w:t>
            </w:r>
            <w:r w:rsidRPr="00A66C9F">
              <w:rPr>
                <w:b/>
                <w:sz w:val="17"/>
                <w:lang w:val="fr-FR"/>
              </w:rPr>
              <w:t xml:space="preserve"> </w:t>
            </w:r>
          </w:p>
        </w:tc>
        <w:tc>
          <w:tcPr>
            <w:tcW w:w="1170" w:type="dxa"/>
            <w:tcBorders>
              <w:top w:val="single" w:sz="4" w:space="0" w:color="auto"/>
              <w:bottom w:val="single" w:sz="4" w:space="0" w:color="auto"/>
            </w:tcBorders>
            <w:shd w:val="clear" w:color="000000" w:fill="FFFFFF"/>
            <w:vAlign w:val="bottom"/>
          </w:tcPr>
          <w:p w14:paraId="1E7429B8"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bCs/>
                <w:sz w:val="17"/>
                <w:szCs w:val="17"/>
                <w:lang w:val="fr-FR"/>
              </w:rPr>
            </w:pPr>
            <w:r w:rsidRPr="00A66C9F">
              <w:rPr>
                <w:b/>
                <w:bCs/>
                <w:sz w:val="17"/>
                <w:lang w:val="fr-FR"/>
              </w:rPr>
              <w:t>71 986 328</w:t>
            </w:r>
            <w:r w:rsidRPr="00A66C9F">
              <w:rPr>
                <w:b/>
                <w:sz w:val="17"/>
                <w:lang w:val="fr-FR"/>
              </w:rPr>
              <w:t xml:space="preserve"> </w:t>
            </w:r>
          </w:p>
        </w:tc>
        <w:tc>
          <w:tcPr>
            <w:tcW w:w="1170" w:type="dxa"/>
            <w:tcBorders>
              <w:top w:val="single" w:sz="4" w:space="0" w:color="auto"/>
              <w:bottom w:val="single" w:sz="4" w:space="0" w:color="auto"/>
            </w:tcBorders>
            <w:shd w:val="clear" w:color="000000" w:fill="FFFFFF"/>
            <w:vAlign w:val="bottom"/>
          </w:tcPr>
          <w:p w14:paraId="69713296"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bCs/>
                <w:sz w:val="17"/>
                <w:szCs w:val="17"/>
                <w:lang w:val="fr-FR"/>
              </w:rPr>
            </w:pPr>
            <w:r w:rsidRPr="00A66C9F">
              <w:rPr>
                <w:b/>
                <w:sz w:val="17"/>
                <w:lang w:val="fr-FR"/>
              </w:rPr>
              <w:t xml:space="preserve"> </w:t>
            </w:r>
            <w:r w:rsidRPr="00A66C9F">
              <w:rPr>
                <w:b/>
                <w:bCs/>
                <w:sz w:val="17"/>
                <w:lang w:val="fr-FR"/>
              </w:rPr>
              <w:t>300 928</w:t>
            </w:r>
            <w:r w:rsidRPr="00A66C9F">
              <w:rPr>
                <w:b/>
                <w:sz w:val="17"/>
                <w:lang w:val="fr-FR"/>
              </w:rPr>
              <w:t xml:space="preserve"> </w:t>
            </w:r>
          </w:p>
        </w:tc>
        <w:tc>
          <w:tcPr>
            <w:tcW w:w="990" w:type="dxa"/>
            <w:tcBorders>
              <w:top w:val="single" w:sz="4" w:space="0" w:color="auto"/>
              <w:bottom w:val="single" w:sz="4" w:space="0" w:color="auto"/>
            </w:tcBorders>
            <w:shd w:val="clear" w:color="000000" w:fill="FFFFFF"/>
            <w:vAlign w:val="bottom"/>
          </w:tcPr>
          <w:p w14:paraId="36AE8DEB"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bCs/>
                <w:sz w:val="17"/>
                <w:szCs w:val="17"/>
                <w:lang w:val="fr-FR"/>
              </w:rPr>
            </w:pPr>
            <w:r w:rsidRPr="00A66C9F">
              <w:rPr>
                <w:b/>
                <w:bCs/>
                <w:sz w:val="17"/>
                <w:szCs w:val="17"/>
                <w:lang w:val="fr-FR"/>
              </w:rPr>
              <w:t xml:space="preserve"> –</w:t>
            </w:r>
          </w:p>
        </w:tc>
      </w:tr>
      <w:tr w:rsidR="00744544" w:rsidRPr="00A66C9F" w14:paraId="28878EAD" w14:textId="77777777" w:rsidTr="00107D5D">
        <w:tc>
          <w:tcPr>
            <w:tcW w:w="3960" w:type="dxa"/>
            <w:tcBorders>
              <w:top w:val="single" w:sz="4" w:space="0" w:color="auto"/>
            </w:tcBorders>
            <w:shd w:val="clear" w:color="000000" w:fill="FFFFFF"/>
            <w:vAlign w:val="bottom"/>
          </w:tcPr>
          <w:p w14:paraId="1BBB87DF" w14:textId="77777777" w:rsidR="00744544" w:rsidRPr="00A66C9F" w:rsidRDefault="00744544" w:rsidP="00107D5D">
            <w:pPr>
              <w:tabs>
                <w:tab w:val="left" w:pos="288"/>
                <w:tab w:val="left" w:pos="576"/>
                <w:tab w:val="left" w:pos="864"/>
                <w:tab w:val="left" w:pos="1152"/>
              </w:tabs>
              <w:suppressAutoHyphens/>
              <w:spacing w:before="81" w:after="40" w:line="210" w:lineRule="exact"/>
              <w:ind w:right="43"/>
              <w:rPr>
                <w:b/>
                <w:bCs/>
                <w:sz w:val="17"/>
                <w:szCs w:val="17"/>
                <w:lang w:val="fr-FR"/>
              </w:rPr>
            </w:pPr>
            <w:r w:rsidRPr="00A66C9F">
              <w:rPr>
                <w:b/>
                <w:bCs/>
                <w:sz w:val="17"/>
                <w:lang w:val="fr-FR"/>
              </w:rPr>
              <w:t>Passifs financiers inscrits dans l’état de l’actif net disponible pour le versement des prestations</w:t>
            </w:r>
          </w:p>
        </w:tc>
        <w:tc>
          <w:tcPr>
            <w:tcW w:w="1170" w:type="dxa"/>
            <w:tcBorders>
              <w:top w:val="single" w:sz="4" w:space="0" w:color="auto"/>
            </w:tcBorders>
            <w:shd w:val="clear" w:color="000000" w:fill="FFFFFF"/>
            <w:vAlign w:val="bottom"/>
          </w:tcPr>
          <w:p w14:paraId="04584571" w14:textId="77777777" w:rsidR="00744544" w:rsidRPr="00A66C9F" w:rsidRDefault="00744544" w:rsidP="00107D5D">
            <w:pPr>
              <w:tabs>
                <w:tab w:val="left" w:pos="288"/>
                <w:tab w:val="left" w:pos="576"/>
                <w:tab w:val="left" w:pos="864"/>
                <w:tab w:val="left" w:pos="1152"/>
              </w:tabs>
              <w:suppressAutoHyphens/>
              <w:spacing w:before="81" w:after="40" w:line="210" w:lineRule="exact"/>
              <w:ind w:right="43"/>
              <w:jc w:val="right"/>
              <w:rPr>
                <w:b/>
                <w:bCs/>
                <w:sz w:val="17"/>
                <w:lang w:val="fr-FR"/>
              </w:rPr>
            </w:pPr>
          </w:p>
        </w:tc>
        <w:tc>
          <w:tcPr>
            <w:tcW w:w="1170" w:type="dxa"/>
            <w:tcBorders>
              <w:top w:val="single" w:sz="4" w:space="0" w:color="auto"/>
            </w:tcBorders>
            <w:shd w:val="clear" w:color="000000" w:fill="FFFFFF"/>
            <w:vAlign w:val="bottom"/>
          </w:tcPr>
          <w:p w14:paraId="496CA1D8" w14:textId="77777777" w:rsidR="00744544" w:rsidRPr="00A66C9F" w:rsidRDefault="00744544" w:rsidP="00107D5D">
            <w:pPr>
              <w:tabs>
                <w:tab w:val="left" w:pos="288"/>
                <w:tab w:val="left" w:pos="576"/>
                <w:tab w:val="left" w:pos="864"/>
                <w:tab w:val="left" w:pos="1152"/>
              </w:tabs>
              <w:suppressAutoHyphens/>
              <w:spacing w:before="81" w:after="40" w:line="210" w:lineRule="exact"/>
              <w:ind w:right="43"/>
              <w:jc w:val="right"/>
              <w:rPr>
                <w:sz w:val="17"/>
                <w:lang w:val="fr-FR"/>
              </w:rPr>
            </w:pPr>
          </w:p>
        </w:tc>
        <w:tc>
          <w:tcPr>
            <w:tcW w:w="990" w:type="dxa"/>
            <w:tcBorders>
              <w:top w:val="single" w:sz="4" w:space="0" w:color="auto"/>
            </w:tcBorders>
            <w:shd w:val="clear" w:color="000000" w:fill="FFFFFF"/>
            <w:vAlign w:val="bottom"/>
          </w:tcPr>
          <w:p w14:paraId="6789B23C" w14:textId="77777777" w:rsidR="00744544" w:rsidRPr="00A66C9F" w:rsidRDefault="00744544" w:rsidP="00107D5D">
            <w:pPr>
              <w:tabs>
                <w:tab w:val="left" w:pos="288"/>
                <w:tab w:val="left" w:pos="576"/>
                <w:tab w:val="left" w:pos="864"/>
                <w:tab w:val="left" w:pos="1152"/>
              </w:tabs>
              <w:suppressAutoHyphens/>
              <w:spacing w:before="81" w:after="40" w:line="210" w:lineRule="exact"/>
              <w:ind w:right="43"/>
              <w:jc w:val="right"/>
              <w:rPr>
                <w:b/>
                <w:bCs/>
                <w:sz w:val="17"/>
                <w:szCs w:val="17"/>
                <w:lang w:val="fr-FR"/>
              </w:rPr>
            </w:pPr>
          </w:p>
        </w:tc>
      </w:tr>
      <w:tr w:rsidR="00744544" w:rsidRPr="00A66C9F" w14:paraId="09949086" w14:textId="77777777" w:rsidTr="00107D5D">
        <w:tc>
          <w:tcPr>
            <w:tcW w:w="3960" w:type="dxa"/>
            <w:shd w:val="clear" w:color="000000" w:fill="FFFFFF"/>
            <w:vAlign w:val="bottom"/>
            <w:hideMark/>
          </w:tcPr>
          <w:p w14:paraId="7379456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rPr>
                <w:sz w:val="17"/>
                <w:szCs w:val="17"/>
                <w:lang w:val="fr-FR"/>
              </w:rPr>
            </w:pPr>
            <w:r w:rsidRPr="00A66C9F">
              <w:rPr>
                <w:sz w:val="17"/>
                <w:lang w:val="fr-FR"/>
              </w:rPr>
              <w:t>Prestations à payer</w:t>
            </w:r>
          </w:p>
        </w:tc>
        <w:tc>
          <w:tcPr>
            <w:tcW w:w="1170" w:type="dxa"/>
            <w:shd w:val="clear" w:color="000000" w:fill="FFFFFF"/>
            <w:vAlign w:val="bottom"/>
          </w:tcPr>
          <w:p w14:paraId="0E67A5D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1170" w:type="dxa"/>
            <w:shd w:val="clear" w:color="000000" w:fill="FFFFFF"/>
            <w:vAlign w:val="bottom"/>
          </w:tcPr>
          <w:p w14:paraId="39519F2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990" w:type="dxa"/>
            <w:shd w:val="clear" w:color="000000" w:fill="FFFFFF"/>
            <w:vAlign w:val="bottom"/>
          </w:tcPr>
          <w:p w14:paraId="0B52FBD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105 970 </w:t>
            </w:r>
          </w:p>
        </w:tc>
      </w:tr>
      <w:tr w:rsidR="00744544" w:rsidRPr="00A66C9F" w14:paraId="0A091B6E" w14:textId="77777777" w:rsidTr="00107D5D">
        <w:tc>
          <w:tcPr>
            <w:tcW w:w="3960" w:type="dxa"/>
            <w:shd w:val="clear" w:color="000000" w:fill="FFFFFF"/>
            <w:vAlign w:val="bottom"/>
            <w:hideMark/>
          </w:tcPr>
          <w:p w14:paraId="23790C3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rPr>
                <w:sz w:val="17"/>
                <w:szCs w:val="17"/>
                <w:lang w:val="fr-FR"/>
              </w:rPr>
            </w:pPr>
            <w:r w:rsidRPr="00A66C9F">
              <w:rPr>
                <w:sz w:val="17"/>
                <w:lang w:val="fr-FR"/>
              </w:rPr>
              <w:t>Montants à payer découlant d’opérations sur titres</w:t>
            </w:r>
          </w:p>
        </w:tc>
        <w:tc>
          <w:tcPr>
            <w:tcW w:w="1170" w:type="dxa"/>
            <w:shd w:val="clear" w:color="000000" w:fill="FFFFFF"/>
            <w:vAlign w:val="bottom"/>
          </w:tcPr>
          <w:p w14:paraId="75D77CC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1170" w:type="dxa"/>
            <w:shd w:val="clear" w:color="000000" w:fill="FFFFFF"/>
            <w:vAlign w:val="bottom"/>
          </w:tcPr>
          <w:p w14:paraId="66DA47A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990" w:type="dxa"/>
            <w:shd w:val="clear" w:color="000000" w:fill="FFFFFF"/>
            <w:vAlign w:val="bottom"/>
          </w:tcPr>
          <w:p w14:paraId="5EFC244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27 191 </w:t>
            </w:r>
          </w:p>
        </w:tc>
      </w:tr>
      <w:tr w:rsidR="00744544" w:rsidRPr="00A66C9F" w14:paraId="26F460ED" w14:textId="77777777" w:rsidTr="00107D5D">
        <w:tc>
          <w:tcPr>
            <w:tcW w:w="3960" w:type="dxa"/>
            <w:shd w:val="clear" w:color="000000" w:fill="FFFFFF"/>
            <w:vAlign w:val="bottom"/>
            <w:hideMark/>
          </w:tcPr>
          <w:p w14:paraId="1A6DF7B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rPr>
                <w:sz w:val="17"/>
                <w:szCs w:val="17"/>
                <w:lang w:val="fr-FR"/>
              </w:rPr>
            </w:pPr>
            <w:r w:rsidRPr="00A66C9F">
              <w:rPr>
                <w:sz w:val="17"/>
                <w:lang w:val="fr-FR"/>
              </w:rPr>
              <w:t>Assurance maladie après la cessation de service et autres avantages du personnel</w:t>
            </w:r>
          </w:p>
        </w:tc>
        <w:tc>
          <w:tcPr>
            <w:tcW w:w="1170" w:type="dxa"/>
            <w:shd w:val="clear" w:color="000000" w:fill="FFFFFF"/>
            <w:vAlign w:val="bottom"/>
          </w:tcPr>
          <w:p w14:paraId="07C42C0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1170" w:type="dxa"/>
            <w:shd w:val="clear" w:color="000000" w:fill="FFFFFF"/>
            <w:vAlign w:val="bottom"/>
          </w:tcPr>
          <w:p w14:paraId="0BD8C8A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990" w:type="dxa"/>
            <w:shd w:val="clear" w:color="000000" w:fill="FFFFFF"/>
            <w:vAlign w:val="bottom"/>
          </w:tcPr>
          <w:p w14:paraId="1696818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103 989 </w:t>
            </w:r>
          </w:p>
        </w:tc>
      </w:tr>
      <w:tr w:rsidR="00744544" w:rsidRPr="00A66C9F" w14:paraId="7C702E93" w14:textId="77777777" w:rsidTr="00107D5D">
        <w:tc>
          <w:tcPr>
            <w:tcW w:w="3960" w:type="dxa"/>
            <w:tcBorders>
              <w:bottom w:val="single" w:sz="4" w:space="0" w:color="auto"/>
            </w:tcBorders>
            <w:shd w:val="clear" w:color="000000" w:fill="FFFFFF"/>
            <w:vAlign w:val="bottom"/>
            <w:hideMark/>
          </w:tcPr>
          <w:p w14:paraId="08373D1E"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rPr>
                <w:sz w:val="17"/>
                <w:szCs w:val="17"/>
                <w:lang w:val="fr-FR"/>
              </w:rPr>
            </w:pPr>
            <w:r w:rsidRPr="00A66C9F">
              <w:rPr>
                <w:sz w:val="17"/>
                <w:lang w:val="fr-FR"/>
              </w:rPr>
              <w:t>Autres passifs et charges à payer</w:t>
            </w:r>
          </w:p>
        </w:tc>
        <w:tc>
          <w:tcPr>
            <w:tcW w:w="1170" w:type="dxa"/>
            <w:tcBorders>
              <w:bottom w:val="single" w:sz="4" w:space="0" w:color="auto"/>
            </w:tcBorders>
            <w:shd w:val="clear" w:color="000000" w:fill="FFFFFF"/>
            <w:vAlign w:val="bottom"/>
          </w:tcPr>
          <w:p w14:paraId="4A305348"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szCs w:val="17"/>
                <w:lang w:val="fr-FR"/>
              </w:rPr>
              <w:t xml:space="preserve"> –</w:t>
            </w:r>
          </w:p>
        </w:tc>
        <w:tc>
          <w:tcPr>
            <w:tcW w:w="1170" w:type="dxa"/>
            <w:tcBorders>
              <w:bottom w:val="single" w:sz="4" w:space="0" w:color="auto"/>
            </w:tcBorders>
            <w:shd w:val="clear" w:color="000000" w:fill="FFFFFF"/>
            <w:vAlign w:val="bottom"/>
          </w:tcPr>
          <w:p w14:paraId="3AF7D184"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szCs w:val="17"/>
                <w:lang w:val="fr-FR"/>
              </w:rPr>
              <w:t xml:space="preserve"> –</w:t>
            </w:r>
          </w:p>
        </w:tc>
        <w:tc>
          <w:tcPr>
            <w:tcW w:w="990" w:type="dxa"/>
            <w:tcBorders>
              <w:bottom w:val="single" w:sz="4" w:space="0" w:color="auto"/>
            </w:tcBorders>
            <w:shd w:val="clear" w:color="000000" w:fill="FFFFFF"/>
            <w:vAlign w:val="bottom"/>
          </w:tcPr>
          <w:p w14:paraId="502D7F0E"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lang w:val="fr-FR"/>
              </w:rPr>
              <w:t xml:space="preserve"> 19 352 </w:t>
            </w:r>
          </w:p>
        </w:tc>
      </w:tr>
      <w:tr w:rsidR="00744544" w:rsidRPr="00A66C9F" w14:paraId="7251E398" w14:textId="77777777" w:rsidTr="00107D5D">
        <w:tc>
          <w:tcPr>
            <w:tcW w:w="3960" w:type="dxa"/>
            <w:tcBorders>
              <w:top w:val="single" w:sz="4" w:space="0" w:color="auto"/>
              <w:bottom w:val="single" w:sz="12" w:space="0" w:color="auto"/>
            </w:tcBorders>
            <w:shd w:val="clear" w:color="000000" w:fill="FFFFFF"/>
            <w:vAlign w:val="bottom"/>
            <w:hideMark/>
          </w:tcPr>
          <w:p w14:paraId="76B7AC38"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rPr>
                <w:b/>
                <w:bCs/>
                <w:sz w:val="17"/>
                <w:szCs w:val="17"/>
                <w:lang w:val="fr-FR"/>
              </w:rPr>
            </w:pPr>
            <w:r w:rsidRPr="00A66C9F">
              <w:rPr>
                <w:b/>
                <w:bCs/>
                <w:sz w:val="17"/>
                <w:lang w:val="fr-FR"/>
              </w:rPr>
              <w:tab/>
              <w:t>Total des passifs financiers</w:t>
            </w:r>
          </w:p>
        </w:tc>
        <w:tc>
          <w:tcPr>
            <w:tcW w:w="1170" w:type="dxa"/>
            <w:tcBorders>
              <w:top w:val="single" w:sz="4" w:space="0" w:color="auto"/>
              <w:bottom w:val="single" w:sz="12" w:space="0" w:color="auto"/>
            </w:tcBorders>
            <w:shd w:val="clear" w:color="000000" w:fill="FFFFFF"/>
            <w:vAlign w:val="bottom"/>
          </w:tcPr>
          <w:p w14:paraId="7F56D30E"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bCs/>
                <w:sz w:val="17"/>
                <w:szCs w:val="17"/>
                <w:lang w:val="fr-FR"/>
              </w:rPr>
            </w:pPr>
            <w:r w:rsidRPr="00A66C9F">
              <w:rPr>
                <w:b/>
                <w:bCs/>
                <w:sz w:val="17"/>
                <w:szCs w:val="17"/>
                <w:lang w:val="fr-FR"/>
              </w:rPr>
              <w:t xml:space="preserve"> –</w:t>
            </w:r>
          </w:p>
        </w:tc>
        <w:tc>
          <w:tcPr>
            <w:tcW w:w="1170" w:type="dxa"/>
            <w:tcBorders>
              <w:top w:val="single" w:sz="4" w:space="0" w:color="auto"/>
              <w:bottom w:val="single" w:sz="12" w:space="0" w:color="auto"/>
            </w:tcBorders>
            <w:shd w:val="clear" w:color="000000" w:fill="FFFFFF"/>
            <w:vAlign w:val="bottom"/>
          </w:tcPr>
          <w:p w14:paraId="40EBC3E3"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bCs/>
                <w:sz w:val="17"/>
                <w:szCs w:val="17"/>
                <w:lang w:val="fr-FR"/>
              </w:rPr>
            </w:pPr>
            <w:r w:rsidRPr="00A66C9F">
              <w:rPr>
                <w:b/>
                <w:bCs/>
                <w:sz w:val="17"/>
                <w:szCs w:val="17"/>
                <w:lang w:val="fr-FR"/>
              </w:rPr>
              <w:t xml:space="preserve"> –</w:t>
            </w:r>
          </w:p>
        </w:tc>
        <w:tc>
          <w:tcPr>
            <w:tcW w:w="990" w:type="dxa"/>
            <w:tcBorders>
              <w:top w:val="single" w:sz="4" w:space="0" w:color="auto"/>
              <w:bottom w:val="single" w:sz="12" w:space="0" w:color="auto"/>
            </w:tcBorders>
            <w:shd w:val="clear" w:color="000000" w:fill="FFFFFF"/>
            <w:vAlign w:val="bottom"/>
          </w:tcPr>
          <w:p w14:paraId="2FC6A26C"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bCs/>
                <w:sz w:val="17"/>
                <w:szCs w:val="17"/>
                <w:lang w:val="fr-FR"/>
              </w:rPr>
            </w:pPr>
            <w:r w:rsidRPr="00A66C9F">
              <w:rPr>
                <w:b/>
                <w:bCs/>
                <w:sz w:val="17"/>
                <w:lang w:val="fr-FR"/>
              </w:rPr>
              <w:t>256 502</w:t>
            </w:r>
          </w:p>
        </w:tc>
      </w:tr>
    </w:tbl>
    <w:p w14:paraId="3817A3AF" w14:textId="77777777" w:rsidR="00744544" w:rsidRPr="00A66C9F" w:rsidRDefault="00744544" w:rsidP="0074454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lastRenderedPageBreak/>
        <w:tab/>
      </w:r>
      <w:r w:rsidRPr="00A66C9F">
        <w:rPr>
          <w:lang w:val="fr-FR"/>
        </w:rPr>
        <w:tab/>
        <w:t>Investissements supérieurs à 5 % de l’actif net</w:t>
      </w:r>
    </w:p>
    <w:p w14:paraId="7DEF4624" w14:textId="77777777" w:rsidR="00744544" w:rsidRPr="00A66C9F" w:rsidRDefault="00744544" w:rsidP="00744544">
      <w:pPr>
        <w:pStyle w:val="SingleTxt"/>
        <w:keepNext/>
        <w:spacing w:after="0" w:line="120" w:lineRule="exact"/>
        <w:rPr>
          <w:sz w:val="10"/>
          <w:lang w:val="fr-FR"/>
        </w:rPr>
      </w:pPr>
    </w:p>
    <w:p w14:paraId="5F62BD8D" w14:textId="77777777" w:rsidR="00744544" w:rsidRPr="00A66C9F" w:rsidRDefault="00744544" w:rsidP="00753AB8">
      <w:pPr>
        <w:pStyle w:val="SingleTxt"/>
        <w:numPr>
          <w:ilvl w:val="0"/>
          <w:numId w:val="14"/>
        </w:numPr>
        <w:spacing w:line="240" w:lineRule="exact"/>
        <w:rPr>
          <w:szCs w:val="20"/>
          <w:lang w:val="fr-FR"/>
        </w:rPr>
      </w:pPr>
      <w:r w:rsidRPr="00A66C9F">
        <w:rPr>
          <w:lang w:val="fr-FR"/>
        </w:rPr>
        <w:t>La Caisse n’avait, au 31 décembre 2019, aucun investissement représentant 5 % au moins de l’actif net disponible pour le versement des prestations.</w:t>
      </w:r>
    </w:p>
    <w:p w14:paraId="6A0EA868" w14:textId="77777777" w:rsidR="00744544" w:rsidRPr="00A66C9F" w:rsidRDefault="00744544" w:rsidP="00753AB8">
      <w:pPr>
        <w:pStyle w:val="SingleTxt"/>
        <w:numPr>
          <w:ilvl w:val="0"/>
          <w:numId w:val="14"/>
        </w:numPr>
        <w:spacing w:line="240" w:lineRule="exact"/>
        <w:rPr>
          <w:szCs w:val="20"/>
          <w:lang w:val="fr-FR"/>
        </w:rPr>
      </w:pPr>
      <w:r w:rsidRPr="00A66C9F">
        <w:rPr>
          <w:lang w:val="fr-FR"/>
        </w:rPr>
        <w:t>La Caisse n’avait, au 31 décembre 2019, aucun investissement représentant 5 % au moins des actions, des valeurs à revenu fixe et des investissements alternatifs et divers ; elle détenait des titres d’un montant total de 651,6 millions de dollars dans deux fonds de placement immobilier, qui représentaient 5 % au moins de la catégorie actifs réel.</w:t>
      </w:r>
    </w:p>
    <w:p w14:paraId="4F5F83FC" w14:textId="77777777" w:rsidR="00744544" w:rsidRPr="00A66C9F" w:rsidRDefault="00744544" w:rsidP="00744544">
      <w:pPr>
        <w:pStyle w:val="SingleTxt"/>
        <w:spacing w:after="0" w:line="120" w:lineRule="exact"/>
        <w:rPr>
          <w:sz w:val="10"/>
          <w:lang w:val="fr-FR"/>
        </w:rPr>
      </w:pPr>
    </w:p>
    <w:p w14:paraId="1E572B19" w14:textId="77777777" w:rsidR="00744544" w:rsidRPr="00A66C9F" w:rsidRDefault="00744544" w:rsidP="0074454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lang w:val="fr-FR"/>
        </w:rPr>
        <w:tab/>
      </w:r>
      <w:r w:rsidRPr="00A66C9F">
        <w:rPr>
          <w:lang w:val="fr-FR"/>
        </w:rPr>
        <w:tab/>
      </w:r>
      <w:r w:rsidRPr="00A66C9F">
        <w:rPr>
          <w:sz w:val="14"/>
          <w:szCs w:val="14"/>
          <w:lang w:val="fr-FR"/>
        </w:rPr>
        <w:t>(En milliers de dollars des États-Unis)</w:t>
      </w:r>
    </w:p>
    <w:p w14:paraId="111D1BAD" w14:textId="77777777" w:rsidR="00744544" w:rsidRPr="00A66C9F" w:rsidRDefault="00744544" w:rsidP="00744544">
      <w:pPr>
        <w:pStyle w:val="SingleTxt"/>
        <w:spacing w:after="0" w:line="120" w:lineRule="exact"/>
        <w:rPr>
          <w:sz w:val="10"/>
          <w:lang w:val="fr-FR"/>
        </w:rPr>
      </w:pPr>
    </w:p>
    <w:p w14:paraId="24BB7B2A" w14:textId="77777777" w:rsidR="00744544" w:rsidRPr="00A66C9F" w:rsidRDefault="00744544" w:rsidP="00744544">
      <w:pPr>
        <w:pStyle w:val="SingleTxt"/>
        <w:spacing w:after="0" w:line="120" w:lineRule="exact"/>
        <w:rPr>
          <w:sz w:val="10"/>
          <w:lang w:val="fr-FR"/>
        </w:rPr>
      </w:pPr>
    </w:p>
    <w:tbl>
      <w:tblPr>
        <w:tblW w:w="7290" w:type="dxa"/>
        <w:tblInd w:w="1260" w:type="dxa"/>
        <w:tblLayout w:type="fixed"/>
        <w:tblCellMar>
          <w:left w:w="0" w:type="dxa"/>
          <w:right w:w="0" w:type="dxa"/>
        </w:tblCellMar>
        <w:tblLook w:val="04A0" w:firstRow="1" w:lastRow="0" w:firstColumn="1" w:lastColumn="0" w:noHBand="0" w:noVBand="1"/>
      </w:tblPr>
      <w:tblGrid>
        <w:gridCol w:w="3870"/>
        <w:gridCol w:w="1260"/>
        <w:gridCol w:w="1170"/>
        <w:gridCol w:w="990"/>
      </w:tblGrid>
      <w:tr w:rsidR="00744544" w:rsidRPr="00A66C9F" w14:paraId="2B51C043" w14:textId="77777777" w:rsidTr="00107D5D">
        <w:trPr>
          <w:trHeight w:val="268"/>
          <w:tblHeader/>
        </w:trPr>
        <w:tc>
          <w:tcPr>
            <w:tcW w:w="3870" w:type="dxa"/>
            <w:tcBorders>
              <w:top w:val="single" w:sz="4" w:space="0" w:color="auto"/>
            </w:tcBorders>
            <w:shd w:val="clear" w:color="000000" w:fill="FFFFFF"/>
            <w:vAlign w:val="bottom"/>
          </w:tcPr>
          <w:p w14:paraId="4770C064" w14:textId="77777777" w:rsidR="00744544" w:rsidRPr="00A66C9F" w:rsidRDefault="00744544" w:rsidP="00107D5D">
            <w:pPr>
              <w:suppressAutoHyphens/>
              <w:spacing w:before="81" w:after="81" w:line="160" w:lineRule="exact"/>
              <w:ind w:left="4839" w:right="40"/>
              <w:jc w:val="center"/>
              <w:rPr>
                <w:i/>
                <w:iCs/>
                <w:sz w:val="14"/>
                <w:lang w:val="fr-FR"/>
              </w:rPr>
            </w:pPr>
          </w:p>
        </w:tc>
        <w:tc>
          <w:tcPr>
            <w:tcW w:w="3420" w:type="dxa"/>
            <w:gridSpan w:val="3"/>
            <w:tcBorders>
              <w:top w:val="single" w:sz="4" w:space="0" w:color="auto"/>
              <w:bottom w:val="single" w:sz="4" w:space="0" w:color="auto"/>
            </w:tcBorders>
            <w:shd w:val="clear" w:color="000000" w:fill="FFFFFF"/>
            <w:vAlign w:val="bottom"/>
          </w:tcPr>
          <w:p w14:paraId="4B9196C4" w14:textId="77777777" w:rsidR="00744544" w:rsidRPr="00A66C9F" w:rsidRDefault="00744544" w:rsidP="00107D5D">
            <w:pPr>
              <w:suppressAutoHyphens/>
              <w:spacing w:before="81" w:after="81" w:line="160" w:lineRule="exact"/>
              <w:ind w:right="43"/>
              <w:jc w:val="center"/>
              <w:rPr>
                <w:i/>
                <w:iCs/>
                <w:sz w:val="14"/>
                <w:lang w:val="fr-FR"/>
              </w:rPr>
            </w:pPr>
            <w:r w:rsidRPr="00A66C9F">
              <w:rPr>
                <w:i/>
                <w:iCs/>
                <w:sz w:val="14"/>
                <w:lang w:val="fr-FR"/>
              </w:rPr>
              <w:t>Reclassement au 31 décembre 2018</w:t>
            </w:r>
          </w:p>
        </w:tc>
      </w:tr>
      <w:tr w:rsidR="00744544" w:rsidRPr="00A66C9F" w14:paraId="780D839F" w14:textId="77777777" w:rsidTr="00107D5D">
        <w:trPr>
          <w:trHeight w:val="704"/>
          <w:tblHeader/>
        </w:trPr>
        <w:tc>
          <w:tcPr>
            <w:tcW w:w="3870" w:type="dxa"/>
            <w:tcBorders>
              <w:bottom w:val="single" w:sz="12" w:space="0" w:color="auto"/>
            </w:tcBorders>
            <w:shd w:val="clear" w:color="000000" w:fill="FFFFFF"/>
            <w:vAlign w:val="bottom"/>
            <w:hideMark/>
          </w:tcPr>
          <w:p w14:paraId="7A4982C2" w14:textId="77777777" w:rsidR="00744544" w:rsidRPr="00A66C9F" w:rsidRDefault="00744544" w:rsidP="00107D5D">
            <w:pPr>
              <w:suppressAutoHyphens/>
              <w:spacing w:before="81" w:after="81" w:line="160" w:lineRule="exact"/>
              <w:ind w:right="40"/>
              <w:rPr>
                <w:i/>
                <w:iCs/>
                <w:sz w:val="14"/>
                <w:lang w:val="fr-FR"/>
              </w:rPr>
            </w:pPr>
          </w:p>
        </w:tc>
        <w:tc>
          <w:tcPr>
            <w:tcW w:w="1260" w:type="dxa"/>
            <w:tcBorders>
              <w:top w:val="single" w:sz="4" w:space="0" w:color="auto"/>
              <w:bottom w:val="single" w:sz="12" w:space="0" w:color="auto"/>
            </w:tcBorders>
            <w:shd w:val="clear" w:color="000000" w:fill="FFFFFF"/>
            <w:vAlign w:val="bottom"/>
            <w:hideMark/>
          </w:tcPr>
          <w:p w14:paraId="712A440F" w14:textId="77777777" w:rsidR="00744544" w:rsidRPr="00A66C9F" w:rsidRDefault="00744544" w:rsidP="00107D5D">
            <w:pPr>
              <w:suppressAutoHyphens/>
              <w:spacing w:before="81" w:after="81" w:line="160" w:lineRule="exact"/>
              <w:ind w:right="40"/>
              <w:jc w:val="right"/>
              <w:rPr>
                <w:i/>
                <w:iCs/>
                <w:sz w:val="14"/>
                <w:lang w:val="fr-FR"/>
              </w:rPr>
            </w:pPr>
            <w:r w:rsidRPr="00A66C9F">
              <w:rPr>
                <w:i/>
                <w:iCs/>
                <w:sz w:val="14"/>
                <w:lang w:val="fr-FR"/>
              </w:rPr>
              <w:t xml:space="preserve">Instruments financiers comptabilisés </w:t>
            </w:r>
            <w:r w:rsidRPr="00A66C9F">
              <w:rPr>
                <w:i/>
                <w:iCs/>
                <w:sz w:val="14"/>
                <w:lang w:val="fr-FR"/>
              </w:rPr>
              <w:br/>
              <w:t>à la juste valeur</w:t>
            </w:r>
          </w:p>
        </w:tc>
        <w:tc>
          <w:tcPr>
            <w:tcW w:w="1170" w:type="dxa"/>
            <w:tcBorders>
              <w:top w:val="single" w:sz="4" w:space="0" w:color="auto"/>
              <w:bottom w:val="single" w:sz="12" w:space="0" w:color="auto"/>
            </w:tcBorders>
            <w:shd w:val="clear" w:color="000000" w:fill="FFFFFF"/>
            <w:vAlign w:val="bottom"/>
            <w:hideMark/>
          </w:tcPr>
          <w:p w14:paraId="7D81EFC0" w14:textId="77777777" w:rsidR="00744544" w:rsidRPr="00A66C9F" w:rsidRDefault="00744544" w:rsidP="00107D5D">
            <w:pPr>
              <w:suppressAutoHyphens/>
              <w:spacing w:before="81" w:after="81" w:line="160" w:lineRule="exact"/>
              <w:ind w:right="43"/>
              <w:jc w:val="right"/>
              <w:rPr>
                <w:i/>
                <w:iCs/>
                <w:sz w:val="14"/>
                <w:lang w:val="fr-FR"/>
              </w:rPr>
            </w:pPr>
            <w:r w:rsidRPr="00A66C9F">
              <w:rPr>
                <w:i/>
                <w:iCs/>
                <w:sz w:val="14"/>
                <w:lang w:val="fr-FR"/>
              </w:rPr>
              <w:t>Prêts et</w:t>
            </w:r>
            <w:r w:rsidRPr="00A66C9F">
              <w:rPr>
                <w:i/>
                <w:iCs/>
                <w:sz w:val="14"/>
                <w:lang w:val="fr-FR"/>
              </w:rPr>
              <w:br/>
              <w:t>créances</w:t>
            </w:r>
          </w:p>
        </w:tc>
        <w:tc>
          <w:tcPr>
            <w:tcW w:w="990" w:type="dxa"/>
            <w:tcBorders>
              <w:top w:val="single" w:sz="4" w:space="0" w:color="auto"/>
              <w:bottom w:val="single" w:sz="12" w:space="0" w:color="auto"/>
            </w:tcBorders>
            <w:shd w:val="clear" w:color="000000" w:fill="FFFFFF"/>
            <w:vAlign w:val="bottom"/>
            <w:hideMark/>
          </w:tcPr>
          <w:p w14:paraId="7CD7A623" w14:textId="77777777" w:rsidR="00744544" w:rsidRPr="00A66C9F" w:rsidRDefault="00744544" w:rsidP="00107D5D">
            <w:pPr>
              <w:suppressAutoHyphens/>
              <w:spacing w:before="81" w:after="81" w:line="160" w:lineRule="exact"/>
              <w:ind w:right="43"/>
              <w:jc w:val="right"/>
              <w:rPr>
                <w:i/>
                <w:iCs/>
                <w:sz w:val="14"/>
                <w:lang w:val="fr-FR"/>
              </w:rPr>
            </w:pPr>
            <w:r w:rsidRPr="00A66C9F">
              <w:rPr>
                <w:i/>
                <w:iCs/>
                <w:sz w:val="14"/>
                <w:lang w:val="fr-FR"/>
              </w:rPr>
              <w:t>Autres passifs financiers</w:t>
            </w:r>
          </w:p>
        </w:tc>
      </w:tr>
      <w:tr w:rsidR="00744544" w:rsidRPr="00A66C9F" w14:paraId="6082BDBC" w14:textId="77777777" w:rsidTr="00107D5D">
        <w:trPr>
          <w:trHeight w:hRule="exact" w:val="115"/>
          <w:tblHeader/>
        </w:trPr>
        <w:tc>
          <w:tcPr>
            <w:tcW w:w="3870" w:type="dxa"/>
            <w:tcBorders>
              <w:top w:val="single" w:sz="12" w:space="0" w:color="auto"/>
            </w:tcBorders>
            <w:shd w:val="clear" w:color="000000" w:fill="FFFFFF"/>
            <w:vAlign w:val="bottom"/>
          </w:tcPr>
          <w:p w14:paraId="397F7528" w14:textId="77777777" w:rsidR="00744544" w:rsidRPr="00A66C9F" w:rsidRDefault="00744544" w:rsidP="00107D5D">
            <w:pPr>
              <w:suppressAutoHyphens/>
              <w:spacing w:before="40" w:after="40" w:line="210" w:lineRule="exact"/>
              <w:ind w:right="40"/>
              <w:rPr>
                <w:b/>
                <w:bCs/>
                <w:sz w:val="17"/>
                <w:lang w:val="fr-FR"/>
              </w:rPr>
            </w:pPr>
          </w:p>
        </w:tc>
        <w:tc>
          <w:tcPr>
            <w:tcW w:w="1260" w:type="dxa"/>
            <w:tcBorders>
              <w:top w:val="single" w:sz="12" w:space="0" w:color="auto"/>
            </w:tcBorders>
            <w:shd w:val="clear" w:color="000000" w:fill="FFFFFF"/>
            <w:vAlign w:val="bottom"/>
          </w:tcPr>
          <w:p w14:paraId="69BE45E3" w14:textId="77777777" w:rsidR="00744544" w:rsidRPr="00A66C9F" w:rsidRDefault="00744544" w:rsidP="00107D5D">
            <w:pPr>
              <w:suppressAutoHyphens/>
              <w:spacing w:before="40" w:after="40" w:line="210" w:lineRule="exact"/>
              <w:ind w:right="40"/>
              <w:jc w:val="center"/>
              <w:rPr>
                <w:sz w:val="17"/>
                <w:szCs w:val="17"/>
                <w:lang w:val="fr-FR"/>
              </w:rPr>
            </w:pPr>
          </w:p>
        </w:tc>
        <w:tc>
          <w:tcPr>
            <w:tcW w:w="1170" w:type="dxa"/>
            <w:tcBorders>
              <w:top w:val="single" w:sz="12" w:space="0" w:color="auto"/>
            </w:tcBorders>
            <w:shd w:val="clear" w:color="000000" w:fill="FFFFFF"/>
            <w:vAlign w:val="bottom"/>
          </w:tcPr>
          <w:p w14:paraId="438C04CF" w14:textId="77777777" w:rsidR="00744544" w:rsidRPr="00A66C9F" w:rsidRDefault="00744544" w:rsidP="00107D5D">
            <w:pPr>
              <w:suppressAutoHyphens/>
              <w:spacing w:before="40" w:after="40" w:line="210" w:lineRule="exact"/>
              <w:ind w:right="40"/>
              <w:jc w:val="center"/>
              <w:rPr>
                <w:sz w:val="17"/>
                <w:szCs w:val="17"/>
                <w:lang w:val="fr-FR"/>
              </w:rPr>
            </w:pPr>
          </w:p>
        </w:tc>
        <w:tc>
          <w:tcPr>
            <w:tcW w:w="990" w:type="dxa"/>
            <w:tcBorders>
              <w:top w:val="single" w:sz="12" w:space="0" w:color="auto"/>
            </w:tcBorders>
            <w:shd w:val="clear" w:color="000000" w:fill="FFFFFF"/>
            <w:noWrap/>
            <w:vAlign w:val="bottom"/>
          </w:tcPr>
          <w:p w14:paraId="6DA14FE4" w14:textId="77777777" w:rsidR="00744544" w:rsidRPr="00A66C9F" w:rsidRDefault="00744544" w:rsidP="00107D5D">
            <w:pPr>
              <w:suppressAutoHyphens/>
              <w:spacing w:before="40" w:after="40" w:line="210" w:lineRule="exact"/>
              <w:ind w:right="40"/>
              <w:rPr>
                <w:sz w:val="17"/>
                <w:szCs w:val="17"/>
                <w:lang w:val="fr-FR"/>
              </w:rPr>
            </w:pPr>
          </w:p>
        </w:tc>
      </w:tr>
      <w:tr w:rsidR="00744544" w:rsidRPr="00A66C9F" w14:paraId="5ED6BDBC" w14:textId="77777777" w:rsidTr="00107D5D">
        <w:tc>
          <w:tcPr>
            <w:tcW w:w="3870" w:type="dxa"/>
            <w:shd w:val="clear" w:color="000000" w:fill="FFFFFF"/>
            <w:vAlign w:val="bottom"/>
            <w:hideMark/>
          </w:tcPr>
          <w:p w14:paraId="12B5C25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b/>
                <w:bCs/>
                <w:sz w:val="17"/>
                <w:szCs w:val="17"/>
                <w:lang w:val="fr-FR"/>
              </w:rPr>
            </w:pPr>
            <w:r w:rsidRPr="00A66C9F">
              <w:rPr>
                <w:b/>
                <w:bCs/>
                <w:sz w:val="17"/>
                <w:lang w:val="fr-FR"/>
              </w:rPr>
              <w:t>Actifs financiers inscrits dans l’état de l’actif net disponible pour le versement des prestations</w:t>
            </w:r>
          </w:p>
        </w:tc>
        <w:tc>
          <w:tcPr>
            <w:tcW w:w="1260" w:type="dxa"/>
            <w:shd w:val="clear" w:color="000000" w:fill="FFFFFF"/>
            <w:vAlign w:val="bottom"/>
          </w:tcPr>
          <w:p w14:paraId="61EC824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p>
        </w:tc>
        <w:tc>
          <w:tcPr>
            <w:tcW w:w="1170" w:type="dxa"/>
            <w:shd w:val="clear" w:color="000000" w:fill="FFFFFF"/>
            <w:vAlign w:val="bottom"/>
          </w:tcPr>
          <w:p w14:paraId="494ECA5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p>
        </w:tc>
        <w:tc>
          <w:tcPr>
            <w:tcW w:w="990" w:type="dxa"/>
            <w:shd w:val="clear" w:color="000000" w:fill="FFFFFF"/>
            <w:noWrap/>
            <w:vAlign w:val="bottom"/>
          </w:tcPr>
          <w:p w14:paraId="6EB6333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p>
        </w:tc>
      </w:tr>
      <w:tr w:rsidR="00744544" w:rsidRPr="00A66C9F" w14:paraId="1B8CC5A0" w14:textId="77777777" w:rsidTr="00107D5D">
        <w:tc>
          <w:tcPr>
            <w:tcW w:w="3870" w:type="dxa"/>
            <w:shd w:val="clear" w:color="000000" w:fill="FFFFFF"/>
            <w:vAlign w:val="bottom"/>
            <w:hideMark/>
          </w:tcPr>
          <w:p w14:paraId="6F39B48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 xml:space="preserve">Trésorerie et équivalents de trésorerie </w:t>
            </w:r>
          </w:p>
        </w:tc>
        <w:tc>
          <w:tcPr>
            <w:tcW w:w="1260" w:type="dxa"/>
            <w:shd w:val="clear" w:color="auto" w:fill="auto"/>
            <w:vAlign w:val="bottom"/>
          </w:tcPr>
          <w:p w14:paraId="13CF9A1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564 891</w:t>
            </w:r>
          </w:p>
        </w:tc>
        <w:tc>
          <w:tcPr>
            <w:tcW w:w="1170" w:type="dxa"/>
            <w:shd w:val="clear" w:color="000000" w:fill="FFFFFF"/>
            <w:vAlign w:val="bottom"/>
          </w:tcPr>
          <w:p w14:paraId="1E56AEA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c>
          <w:tcPr>
            <w:tcW w:w="990" w:type="dxa"/>
            <w:shd w:val="clear" w:color="000000" w:fill="FFFFFF"/>
            <w:vAlign w:val="bottom"/>
          </w:tcPr>
          <w:p w14:paraId="7E764D9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r>
      <w:tr w:rsidR="00744544" w:rsidRPr="00A66C9F" w14:paraId="1F0ACC82" w14:textId="77777777" w:rsidTr="00107D5D">
        <w:tc>
          <w:tcPr>
            <w:tcW w:w="3870" w:type="dxa"/>
            <w:shd w:val="clear" w:color="000000" w:fill="FFFFFF"/>
            <w:vAlign w:val="bottom"/>
            <w:hideMark/>
          </w:tcPr>
          <w:p w14:paraId="02863E2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Investissements</w:t>
            </w:r>
          </w:p>
        </w:tc>
        <w:tc>
          <w:tcPr>
            <w:tcW w:w="1260" w:type="dxa"/>
            <w:shd w:val="clear" w:color="000000" w:fill="FFFFFF"/>
            <w:vAlign w:val="bottom"/>
          </w:tcPr>
          <w:p w14:paraId="730B2C6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p>
        </w:tc>
        <w:tc>
          <w:tcPr>
            <w:tcW w:w="1170" w:type="dxa"/>
            <w:shd w:val="clear" w:color="000000" w:fill="FFFFFF"/>
            <w:vAlign w:val="bottom"/>
          </w:tcPr>
          <w:p w14:paraId="0EB2EA7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p>
        </w:tc>
        <w:tc>
          <w:tcPr>
            <w:tcW w:w="990" w:type="dxa"/>
            <w:shd w:val="clear" w:color="000000" w:fill="FFFFFF"/>
            <w:vAlign w:val="bottom"/>
          </w:tcPr>
          <w:p w14:paraId="00D8FA6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p>
        </w:tc>
      </w:tr>
      <w:tr w:rsidR="00744544" w:rsidRPr="00A66C9F" w14:paraId="41154682" w14:textId="77777777" w:rsidTr="00107D5D">
        <w:tc>
          <w:tcPr>
            <w:tcW w:w="3870" w:type="dxa"/>
            <w:shd w:val="clear" w:color="000000" w:fill="FFFFFF"/>
            <w:vAlign w:val="bottom"/>
            <w:hideMark/>
          </w:tcPr>
          <w:p w14:paraId="7C546C9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ab/>
              <w:t>Actions</w:t>
            </w:r>
          </w:p>
        </w:tc>
        <w:tc>
          <w:tcPr>
            <w:tcW w:w="1260" w:type="dxa"/>
            <w:shd w:val="clear" w:color="000000" w:fill="FFFFFF"/>
            <w:vAlign w:val="bottom"/>
          </w:tcPr>
          <w:p w14:paraId="4DD5FE1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34 401 159</w:t>
            </w:r>
          </w:p>
        </w:tc>
        <w:tc>
          <w:tcPr>
            <w:tcW w:w="1170" w:type="dxa"/>
            <w:shd w:val="clear" w:color="000000" w:fill="FFFFFF"/>
            <w:vAlign w:val="bottom"/>
          </w:tcPr>
          <w:p w14:paraId="25824AF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c>
          <w:tcPr>
            <w:tcW w:w="990" w:type="dxa"/>
            <w:shd w:val="clear" w:color="000000" w:fill="FFFFFF"/>
            <w:vAlign w:val="bottom"/>
          </w:tcPr>
          <w:p w14:paraId="1282DAE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r>
      <w:tr w:rsidR="00744544" w:rsidRPr="00A66C9F" w14:paraId="11AE55E2" w14:textId="77777777" w:rsidTr="00107D5D">
        <w:tc>
          <w:tcPr>
            <w:tcW w:w="3870" w:type="dxa"/>
            <w:shd w:val="clear" w:color="000000" w:fill="FFFFFF"/>
            <w:vAlign w:val="bottom"/>
            <w:hideMark/>
          </w:tcPr>
          <w:p w14:paraId="683EBA9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firstLineChars="2" w:firstLine="4"/>
              <w:rPr>
                <w:sz w:val="17"/>
                <w:szCs w:val="17"/>
                <w:lang w:val="fr-FR"/>
              </w:rPr>
            </w:pPr>
            <w:r w:rsidRPr="00A66C9F">
              <w:rPr>
                <w:sz w:val="17"/>
                <w:lang w:val="fr-FR"/>
              </w:rPr>
              <w:tab/>
              <w:t>Valeurs à revenu fixe</w:t>
            </w:r>
          </w:p>
        </w:tc>
        <w:tc>
          <w:tcPr>
            <w:tcW w:w="1260" w:type="dxa"/>
            <w:shd w:val="clear" w:color="000000" w:fill="FFFFFF"/>
            <w:vAlign w:val="bottom"/>
          </w:tcPr>
          <w:p w14:paraId="4989637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18 824 833</w:t>
            </w:r>
          </w:p>
        </w:tc>
        <w:tc>
          <w:tcPr>
            <w:tcW w:w="1170" w:type="dxa"/>
            <w:shd w:val="clear" w:color="000000" w:fill="FFFFFF"/>
            <w:vAlign w:val="bottom"/>
          </w:tcPr>
          <w:p w14:paraId="36B9849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c>
          <w:tcPr>
            <w:tcW w:w="990" w:type="dxa"/>
            <w:shd w:val="clear" w:color="000000" w:fill="FFFFFF"/>
            <w:vAlign w:val="bottom"/>
          </w:tcPr>
          <w:p w14:paraId="061FEC0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r>
      <w:tr w:rsidR="00744544" w:rsidRPr="00A66C9F" w14:paraId="7C0B6A40" w14:textId="77777777" w:rsidTr="00107D5D">
        <w:tc>
          <w:tcPr>
            <w:tcW w:w="3870" w:type="dxa"/>
            <w:shd w:val="clear" w:color="000000" w:fill="FFFFFF"/>
            <w:vAlign w:val="bottom"/>
            <w:hideMark/>
          </w:tcPr>
          <w:p w14:paraId="68217F5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ab/>
              <w:t>Actifs réels</w:t>
            </w:r>
          </w:p>
        </w:tc>
        <w:tc>
          <w:tcPr>
            <w:tcW w:w="1260" w:type="dxa"/>
            <w:shd w:val="clear" w:color="000000" w:fill="FFFFFF"/>
            <w:vAlign w:val="bottom"/>
          </w:tcPr>
          <w:p w14:paraId="681E137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4 340 466</w:t>
            </w:r>
          </w:p>
        </w:tc>
        <w:tc>
          <w:tcPr>
            <w:tcW w:w="1170" w:type="dxa"/>
            <w:shd w:val="clear" w:color="000000" w:fill="FFFFFF"/>
            <w:vAlign w:val="bottom"/>
          </w:tcPr>
          <w:p w14:paraId="64DD187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c>
          <w:tcPr>
            <w:tcW w:w="990" w:type="dxa"/>
            <w:shd w:val="clear" w:color="000000" w:fill="FFFFFF"/>
            <w:vAlign w:val="bottom"/>
          </w:tcPr>
          <w:p w14:paraId="11015AF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r>
      <w:tr w:rsidR="00744544" w:rsidRPr="00A66C9F" w14:paraId="01CCEFC4" w14:textId="77777777" w:rsidTr="00107D5D">
        <w:tc>
          <w:tcPr>
            <w:tcW w:w="3870" w:type="dxa"/>
            <w:shd w:val="clear" w:color="000000" w:fill="FFFFFF"/>
            <w:vAlign w:val="bottom"/>
            <w:hideMark/>
          </w:tcPr>
          <w:p w14:paraId="5CF8261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ab/>
              <w:t>Investissements alternatifs et divers</w:t>
            </w:r>
          </w:p>
        </w:tc>
        <w:tc>
          <w:tcPr>
            <w:tcW w:w="1260" w:type="dxa"/>
            <w:shd w:val="clear" w:color="000000" w:fill="FFFFFF"/>
            <w:vAlign w:val="bottom"/>
          </w:tcPr>
          <w:p w14:paraId="36DB12F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2 743 377</w:t>
            </w:r>
          </w:p>
        </w:tc>
        <w:tc>
          <w:tcPr>
            <w:tcW w:w="1170" w:type="dxa"/>
            <w:shd w:val="clear" w:color="000000" w:fill="FFFFFF"/>
            <w:vAlign w:val="bottom"/>
          </w:tcPr>
          <w:p w14:paraId="0D73147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c>
          <w:tcPr>
            <w:tcW w:w="990" w:type="dxa"/>
            <w:shd w:val="clear" w:color="000000" w:fill="FFFFFF"/>
            <w:vAlign w:val="bottom"/>
          </w:tcPr>
          <w:p w14:paraId="12E54D2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r>
      <w:tr w:rsidR="00744544" w:rsidRPr="00A66C9F" w14:paraId="4FE69B18" w14:textId="77777777" w:rsidTr="00107D5D">
        <w:tc>
          <w:tcPr>
            <w:tcW w:w="3870" w:type="dxa"/>
            <w:shd w:val="clear" w:color="000000" w:fill="FFFFFF"/>
            <w:vAlign w:val="bottom"/>
            <w:hideMark/>
          </w:tcPr>
          <w:p w14:paraId="2E16E09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 xml:space="preserve">Contributions à recevoir </w:t>
            </w:r>
          </w:p>
        </w:tc>
        <w:tc>
          <w:tcPr>
            <w:tcW w:w="1260" w:type="dxa"/>
            <w:shd w:val="clear" w:color="000000" w:fill="FFFFFF"/>
            <w:vAlign w:val="bottom"/>
          </w:tcPr>
          <w:p w14:paraId="3EB29EA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c>
          <w:tcPr>
            <w:tcW w:w="1170" w:type="dxa"/>
            <w:shd w:val="clear" w:color="000000" w:fill="FFFFFF"/>
            <w:vAlign w:val="bottom"/>
          </w:tcPr>
          <w:p w14:paraId="657E4EE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55 889</w:t>
            </w:r>
          </w:p>
        </w:tc>
        <w:tc>
          <w:tcPr>
            <w:tcW w:w="990" w:type="dxa"/>
            <w:shd w:val="clear" w:color="000000" w:fill="FFFFFF"/>
            <w:vAlign w:val="bottom"/>
          </w:tcPr>
          <w:p w14:paraId="39A6D28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r>
      <w:tr w:rsidR="00744544" w:rsidRPr="00A66C9F" w14:paraId="240FD9B4" w14:textId="77777777" w:rsidTr="00107D5D">
        <w:tc>
          <w:tcPr>
            <w:tcW w:w="3870" w:type="dxa"/>
            <w:shd w:val="clear" w:color="000000" w:fill="FFFFFF"/>
            <w:vAlign w:val="bottom"/>
            <w:hideMark/>
          </w:tcPr>
          <w:p w14:paraId="5CD8C7B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Produits à recevoir sur les investissements</w:t>
            </w:r>
          </w:p>
        </w:tc>
        <w:tc>
          <w:tcPr>
            <w:tcW w:w="1260" w:type="dxa"/>
            <w:shd w:val="clear" w:color="000000" w:fill="FFFFFF"/>
            <w:noWrap/>
            <w:vAlign w:val="bottom"/>
          </w:tcPr>
          <w:p w14:paraId="0372120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c>
          <w:tcPr>
            <w:tcW w:w="1170" w:type="dxa"/>
            <w:shd w:val="clear" w:color="000000" w:fill="FFFFFF"/>
            <w:noWrap/>
            <w:vAlign w:val="bottom"/>
          </w:tcPr>
          <w:p w14:paraId="4A2A042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158 251</w:t>
            </w:r>
          </w:p>
        </w:tc>
        <w:tc>
          <w:tcPr>
            <w:tcW w:w="990" w:type="dxa"/>
            <w:shd w:val="clear" w:color="000000" w:fill="FFFFFF"/>
            <w:vAlign w:val="bottom"/>
          </w:tcPr>
          <w:p w14:paraId="48EF6C0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r>
      <w:tr w:rsidR="00744544" w:rsidRPr="00A66C9F" w14:paraId="06AE3E7D" w14:textId="77777777" w:rsidTr="00107D5D">
        <w:tc>
          <w:tcPr>
            <w:tcW w:w="3870" w:type="dxa"/>
            <w:shd w:val="clear" w:color="000000" w:fill="FFFFFF"/>
            <w:vAlign w:val="bottom"/>
            <w:hideMark/>
          </w:tcPr>
          <w:p w14:paraId="0F1F98B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Produits à recevoir sur la cession de titres</w:t>
            </w:r>
          </w:p>
        </w:tc>
        <w:tc>
          <w:tcPr>
            <w:tcW w:w="1260" w:type="dxa"/>
            <w:shd w:val="clear" w:color="000000" w:fill="FFFFFF"/>
            <w:noWrap/>
            <w:vAlign w:val="bottom"/>
          </w:tcPr>
          <w:p w14:paraId="4A32ABE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c>
          <w:tcPr>
            <w:tcW w:w="1170" w:type="dxa"/>
            <w:shd w:val="clear" w:color="000000" w:fill="FFFFFF"/>
            <w:noWrap/>
            <w:vAlign w:val="bottom"/>
          </w:tcPr>
          <w:p w14:paraId="14F892D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7 869</w:t>
            </w:r>
          </w:p>
        </w:tc>
        <w:tc>
          <w:tcPr>
            <w:tcW w:w="990" w:type="dxa"/>
            <w:shd w:val="clear" w:color="000000" w:fill="FFFFFF"/>
            <w:vAlign w:val="bottom"/>
          </w:tcPr>
          <w:p w14:paraId="1F25C2C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r>
      <w:tr w:rsidR="00744544" w:rsidRPr="00A66C9F" w14:paraId="67852B13" w14:textId="77777777" w:rsidTr="00107D5D">
        <w:tc>
          <w:tcPr>
            <w:tcW w:w="3870" w:type="dxa"/>
            <w:shd w:val="clear" w:color="000000" w:fill="FFFFFF"/>
            <w:vAlign w:val="bottom"/>
            <w:hideMark/>
          </w:tcPr>
          <w:p w14:paraId="659FEDF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Créances sur des administrations fiscales</w:t>
            </w:r>
          </w:p>
        </w:tc>
        <w:tc>
          <w:tcPr>
            <w:tcW w:w="1260" w:type="dxa"/>
            <w:shd w:val="clear" w:color="000000" w:fill="FFFFFF"/>
            <w:noWrap/>
            <w:vAlign w:val="bottom"/>
          </w:tcPr>
          <w:p w14:paraId="437A060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c>
          <w:tcPr>
            <w:tcW w:w="1170" w:type="dxa"/>
            <w:shd w:val="clear" w:color="000000" w:fill="FFFFFF"/>
            <w:vAlign w:val="bottom"/>
          </w:tcPr>
          <w:p w14:paraId="3B465C2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20 133</w:t>
            </w:r>
          </w:p>
        </w:tc>
        <w:tc>
          <w:tcPr>
            <w:tcW w:w="990" w:type="dxa"/>
            <w:shd w:val="clear" w:color="000000" w:fill="FFFFFF"/>
            <w:vAlign w:val="bottom"/>
          </w:tcPr>
          <w:p w14:paraId="154A896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r>
      <w:tr w:rsidR="00744544" w:rsidRPr="00A66C9F" w14:paraId="0CEC7D8B" w14:textId="77777777" w:rsidTr="00107D5D">
        <w:tc>
          <w:tcPr>
            <w:tcW w:w="3870" w:type="dxa"/>
            <w:tcBorders>
              <w:bottom w:val="single" w:sz="4" w:space="0" w:color="auto"/>
            </w:tcBorders>
            <w:shd w:val="clear" w:color="000000" w:fill="FFFFFF"/>
            <w:vAlign w:val="bottom"/>
            <w:hideMark/>
          </w:tcPr>
          <w:p w14:paraId="7AD253C3" w14:textId="77777777" w:rsidR="00744544" w:rsidRPr="00A66C9F" w:rsidRDefault="00744544" w:rsidP="00107D5D">
            <w:pPr>
              <w:tabs>
                <w:tab w:val="left" w:pos="288"/>
                <w:tab w:val="left" w:pos="576"/>
                <w:tab w:val="left" w:pos="864"/>
                <w:tab w:val="left" w:pos="1152"/>
              </w:tabs>
              <w:suppressAutoHyphens/>
              <w:spacing w:before="40" w:after="81" w:line="210" w:lineRule="exact"/>
              <w:ind w:right="40"/>
              <w:rPr>
                <w:sz w:val="17"/>
                <w:szCs w:val="17"/>
                <w:lang w:val="fr-FR"/>
              </w:rPr>
            </w:pPr>
            <w:r w:rsidRPr="00A66C9F">
              <w:rPr>
                <w:sz w:val="17"/>
                <w:lang w:val="fr-FR"/>
              </w:rPr>
              <w:t>Autres éléments d’actif</w:t>
            </w:r>
          </w:p>
        </w:tc>
        <w:tc>
          <w:tcPr>
            <w:tcW w:w="1260" w:type="dxa"/>
            <w:tcBorders>
              <w:bottom w:val="single" w:sz="4" w:space="0" w:color="auto"/>
            </w:tcBorders>
            <w:shd w:val="clear" w:color="auto" w:fill="auto"/>
            <w:noWrap/>
            <w:vAlign w:val="bottom"/>
          </w:tcPr>
          <w:p w14:paraId="71E45433" w14:textId="77777777" w:rsidR="00744544" w:rsidRPr="00A66C9F" w:rsidRDefault="00744544" w:rsidP="00107D5D">
            <w:pPr>
              <w:tabs>
                <w:tab w:val="left" w:pos="288"/>
                <w:tab w:val="left" w:pos="576"/>
                <w:tab w:val="left" w:pos="864"/>
                <w:tab w:val="left" w:pos="1152"/>
              </w:tabs>
              <w:suppressAutoHyphens/>
              <w:spacing w:before="40" w:after="81" w:line="210" w:lineRule="exact"/>
              <w:ind w:right="40"/>
              <w:jc w:val="right"/>
              <w:rPr>
                <w:sz w:val="17"/>
                <w:szCs w:val="17"/>
                <w:lang w:val="fr-FR"/>
              </w:rPr>
            </w:pPr>
            <w:r w:rsidRPr="00A66C9F">
              <w:rPr>
                <w:sz w:val="17"/>
                <w:szCs w:val="17"/>
                <w:lang w:val="fr-FR"/>
              </w:rPr>
              <w:t xml:space="preserve"> –</w:t>
            </w:r>
          </w:p>
        </w:tc>
        <w:tc>
          <w:tcPr>
            <w:tcW w:w="1170" w:type="dxa"/>
            <w:tcBorders>
              <w:bottom w:val="single" w:sz="4" w:space="0" w:color="auto"/>
            </w:tcBorders>
            <w:shd w:val="clear" w:color="000000" w:fill="FFFFFF"/>
            <w:vAlign w:val="bottom"/>
          </w:tcPr>
          <w:p w14:paraId="5F7F2C2D" w14:textId="77777777" w:rsidR="00744544" w:rsidRPr="00A66C9F" w:rsidRDefault="00744544" w:rsidP="00107D5D">
            <w:pPr>
              <w:tabs>
                <w:tab w:val="left" w:pos="288"/>
                <w:tab w:val="left" w:pos="576"/>
                <w:tab w:val="left" w:pos="864"/>
                <w:tab w:val="left" w:pos="1152"/>
              </w:tabs>
              <w:suppressAutoHyphens/>
              <w:spacing w:before="40" w:after="81" w:line="210" w:lineRule="exact"/>
              <w:ind w:right="40"/>
              <w:jc w:val="right"/>
              <w:rPr>
                <w:sz w:val="17"/>
                <w:szCs w:val="17"/>
                <w:lang w:val="fr-FR"/>
              </w:rPr>
            </w:pPr>
            <w:r w:rsidRPr="00A66C9F">
              <w:rPr>
                <w:sz w:val="17"/>
                <w:lang w:val="fr-FR"/>
              </w:rPr>
              <w:t>18 102</w:t>
            </w:r>
          </w:p>
        </w:tc>
        <w:tc>
          <w:tcPr>
            <w:tcW w:w="990" w:type="dxa"/>
            <w:tcBorders>
              <w:bottom w:val="single" w:sz="4" w:space="0" w:color="auto"/>
            </w:tcBorders>
            <w:shd w:val="clear" w:color="000000" w:fill="FFFFFF"/>
            <w:vAlign w:val="bottom"/>
          </w:tcPr>
          <w:p w14:paraId="2CCE99BC" w14:textId="77777777" w:rsidR="00744544" w:rsidRPr="00A66C9F" w:rsidRDefault="00744544" w:rsidP="00107D5D">
            <w:pPr>
              <w:tabs>
                <w:tab w:val="left" w:pos="288"/>
                <w:tab w:val="left" w:pos="576"/>
                <w:tab w:val="left" w:pos="864"/>
                <w:tab w:val="left" w:pos="1152"/>
              </w:tabs>
              <w:suppressAutoHyphens/>
              <w:spacing w:before="40" w:after="81" w:line="210" w:lineRule="exact"/>
              <w:ind w:right="40"/>
              <w:jc w:val="right"/>
              <w:rPr>
                <w:sz w:val="17"/>
                <w:szCs w:val="17"/>
                <w:lang w:val="fr-FR"/>
              </w:rPr>
            </w:pPr>
            <w:r w:rsidRPr="00A66C9F">
              <w:rPr>
                <w:sz w:val="17"/>
                <w:szCs w:val="17"/>
                <w:lang w:val="fr-FR"/>
              </w:rPr>
              <w:t xml:space="preserve"> –</w:t>
            </w:r>
          </w:p>
        </w:tc>
      </w:tr>
      <w:tr w:rsidR="00744544" w:rsidRPr="00A66C9F" w14:paraId="3558EC3C" w14:textId="77777777" w:rsidTr="00107D5D">
        <w:tc>
          <w:tcPr>
            <w:tcW w:w="3870" w:type="dxa"/>
            <w:tcBorders>
              <w:top w:val="single" w:sz="4" w:space="0" w:color="auto"/>
              <w:bottom w:val="single" w:sz="4" w:space="0" w:color="auto"/>
            </w:tcBorders>
            <w:shd w:val="clear" w:color="000000" w:fill="FFFFFF"/>
            <w:vAlign w:val="bottom"/>
            <w:hideMark/>
          </w:tcPr>
          <w:p w14:paraId="6798F278" w14:textId="77777777" w:rsidR="00744544" w:rsidRPr="00A66C9F" w:rsidRDefault="00744544" w:rsidP="00107D5D">
            <w:pPr>
              <w:tabs>
                <w:tab w:val="left" w:pos="288"/>
                <w:tab w:val="left" w:pos="576"/>
                <w:tab w:val="left" w:pos="864"/>
                <w:tab w:val="left" w:pos="1152"/>
              </w:tabs>
              <w:suppressAutoHyphens/>
              <w:spacing w:before="81" w:after="81" w:line="210" w:lineRule="exact"/>
              <w:ind w:left="229" w:right="40" w:hanging="229"/>
              <w:rPr>
                <w:b/>
                <w:bCs/>
                <w:sz w:val="17"/>
                <w:szCs w:val="17"/>
                <w:lang w:val="fr-FR"/>
              </w:rPr>
            </w:pPr>
            <w:r w:rsidRPr="00A66C9F">
              <w:rPr>
                <w:b/>
                <w:bCs/>
                <w:sz w:val="17"/>
                <w:lang w:val="fr-FR"/>
              </w:rPr>
              <w:tab/>
              <w:t>Total des actifs financiers</w:t>
            </w:r>
            <w:r w:rsidRPr="00A66C9F">
              <w:rPr>
                <w:b/>
                <w:sz w:val="17"/>
                <w:lang w:val="fr-FR"/>
              </w:rPr>
              <w:t xml:space="preserve"> </w:t>
            </w:r>
          </w:p>
        </w:tc>
        <w:tc>
          <w:tcPr>
            <w:tcW w:w="1260" w:type="dxa"/>
            <w:tcBorders>
              <w:top w:val="single" w:sz="4" w:space="0" w:color="auto"/>
              <w:bottom w:val="single" w:sz="4" w:space="0" w:color="auto"/>
            </w:tcBorders>
            <w:shd w:val="clear" w:color="000000" w:fill="FFFFFF"/>
            <w:vAlign w:val="bottom"/>
          </w:tcPr>
          <w:p w14:paraId="719ACF8A" w14:textId="77777777" w:rsidR="00744544" w:rsidRPr="00A66C9F" w:rsidRDefault="00744544" w:rsidP="00107D5D">
            <w:pPr>
              <w:tabs>
                <w:tab w:val="left" w:pos="288"/>
                <w:tab w:val="left" w:pos="576"/>
                <w:tab w:val="left" w:pos="864"/>
                <w:tab w:val="left" w:pos="1152"/>
              </w:tabs>
              <w:suppressAutoHyphens/>
              <w:spacing w:before="81" w:after="81" w:line="210" w:lineRule="exact"/>
              <w:ind w:right="40"/>
              <w:jc w:val="right"/>
              <w:rPr>
                <w:b/>
                <w:bCs/>
                <w:sz w:val="17"/>
                <w:szCs w:val="17"/>
                <w:lang w:val="fr-FR"/>
              </w:rPr>
            </w:pPr>
            <w:r w:rsidRPr="00A66C9F">
              <w:rPr>
                <w:b/>
                <w:bCs/>
                <w:sz w:val="17"/>
                <w:lang w:val="fr-FR"/>
              </w:rPr>
              <w:t>60 874 726</w:t>
            </w:r>
          </w:p>
        </w:tc>
        <w:tc>
          <w:tcPr>
            <w:tcW w:w="1170" w:type="dxa"/>
            <w:tcBorders>
              <w:top w:val="single" w:sz="4" w:space="0" w:color="auto"/>
              <w:bottom w:val="single" w:sz="4" w:space="0" w:color="auto"/>
            </w:tcBorders>
            <w:shd w:val="clear" w:color="000000" w:fill="FFFFFF"/>
            <w:vAlign w:val="bottom"/>
          </w:tcPr>
          <w:p w14:paraId="5B18DB31" w14:textId="77777777" w:rsidR="00744544" w:rsidRPr="00A66C9F" w:rsidRDefault="00744544" w:rsidP="00107D5D">
            <w:pPr>
              <w:tabs>
                <w:tab w:val="left" w:pos="288"/>
                <w:tab w:val="left" w:pos="576"/>
                <w:tab w:val="left" w:pos="864"/>
                <w:tab w:val="left" w:pos="1152"/>
              </w:tabs>
              <w:suppressAutoHyphens/>
              <w:spacing w:before="81" w:after="81" w:line="210" w:lineRule="exact"/>
              <w:ind w:right="40"/>
              <w:jc w:val="right"/>
              <w:rPr>
                <w:b/>
                <w:bCs/>
                <w:sz w:val="17"/>
                <w:szCs w:val="17"/>
                <w:lang w:val="fr-FR"/>
              </w:rPr>
            </w:pPr>
            <w:r w:rsidRPr="00A66C9F">
              <w:rPr>
                <w:b/>
                <w:bCs/>
                <w:sz w:val="17"/>
                <w:lang w:val="fr-FR"/>
              </w:rPr>
              <w:t>260 244</w:t>
            </w:r>
          </w:p>
        </w:tc>
        <w:tc>
          <w:tcPr>
            <w:tcW w:w="990" w:type="dxa"/>
            <w:tcBorders>
              <w:top w:val="single" w:sz="4" w:space="0" w:color="auto"/>
              <w:bottom w:val="single" w:sz="4" w:space="0" w:color="auto"/>
            </w:tcBorders>
            <w:shd w:val="clear" w:color="000000" w:fill="FFFFFF"/>
            <w:vAlign w:val="bottom"/>
          </w:tcPr>
          <w:p w14:paraId="639DBC98" w14:textId="77777777" w:rsidR="00744544" w:rsidRPr="00A66C9F" w:rsidRDefault="00744544" w:rsidP="00107D5D">
            <w:pPr>
              <w:tabs>
                <w:tab w:val="left" w:pos="288"/>
                <w:tab w:val="left" w:pos="576"/>
                <w:tab w:val="left" w:pos="864"/>
                <w:tab w:val="left" w:pos="1152"/>
              </w:tabs>
              <w:suppressAutoHyphens/>
              <w:spacing w:before="81" w:after="81" w:line="210" w:lineRule="exact"/>
              <w:ind w:right="40"/>
              <w:jc w:val="right"/>
              <w:rPr>
                <w:b/>
                <w:bCs/>
                <w:sz w:val="17"/>
                <w:szCs w:val="17"/>
                <w:lang w:val="fr-FR"/>
              </w:rPr>
            </w:pPr>
            <w:r w:rsidRPr="00A66C9F">
              <w:rPr>
                <w:b/>
                <w:bCs/>
                <w:sz w:val="17"/>
                <w:szCs w:val="17"/>
                <w:lang w:val="fr-FR"/>
              </w:rPr>
              <w:t xml:space="preserve"> –</w:t>
            </w:r>
          </w:p>
        </w:tc>
      </w:tr>
      <w:tr w:rsidR="00744544" w:rsidRPr="00A66C9F" w14:paraId="61938FEB" w14:textId="77777777" w:rsidTr="00107D5D">
        <w:tc>
          <w:tcPr>
            <w:tcW w:w="3870" w:type="dxa"/>
            <w:tcBorders>
              <w:top w:val="single" w:sz="4" w:space="0" w:color="auto"/>
            </w:tcBorders>
            <w:shd w:val="clear" w:color="000000" w:fill="FFFFFF"/>
            <w:vAlign w:val="bottom"/>
          </w:tcPr>
          <w:p w14:paraId="2F6B8B8C" w14:textId="77777777" w:rsidR="00744544" w:rsidRPr="00A66C9F" w:rsidRDefault="00744544" w:rsidP="00107D5D">
            <w:pPr>
              <w:tabs>
                <w:tab w:val="left" w:pos="288"/>
                <w:tab w:val="left" w:pos="576"/>
                <w:tab w:val="left" w:pos="864"/>
                <w:tab w:val="left" w:pos="1152"/>
              </w:tabs>
              <w:suppressAutoHyphens/>
              <w:spacing w:before="81" w:after="40" w:line="210" w:lineRule="exact"/>
              <w:ind w:right="43"/>
              <w:rPr>
                <w:b/>
                <w:bCs/>
                <w:sz w:val="17"/>
                <w:lang w:val="fr-FR"/>
              </w:rPr>
            </w:pPr>
            <w:r w:rsidRPr="00A66C9F">
              <w:rPr>
                <w:b/>
                <w:bCs/>
                <w:sz w:val="17"/>
                <w:lang w:val="fr-FR"/>
              </w:rPr>
              <w:t>Passifs financiers inscrits dans l’état de l’actif net disponible pour le versement des prestations</w:t>
            </w:r>
          </w:p>
        </w:tc>
        <w:tc>
          <w:tcPr>
            <w:tcW w:w="1260" w:type="dxa"/>
            <w:tcBorders>
              <w:top w:val="single" w:sz="4" w:space="0" w:color="auto"/>
            </w:tcBorders>
            <w:shd w:val="clear" w:color="000000" w:fill="FFFFFF"/>
            <w:vAlign w:val="bottom"/>
          </w:tcPr>
          <w:p w14:paraId="4BD533DA" w14:textId="77777777" w:rsidR="00744544" w:rsidRPr="00A66C9F" w:rsidRDefault="00744544" w:rsidP="00107D5D">
            <w:pPr>
              <w:tabs>
                <w:tab w:val="left" w:pos="288"/>
                <w:tab w:val="left" w:pos="576"/>
                <w:tab w:val="left" w:pos="864"/>
                <w:tab w:val="left" w:pos="1152"/>
              </w:tabs>
              <w:suppressAutoHyphens/>
              <w:spacing w:before="81" w:after="40" w:line="210" w:lineRule="exact"/>
              <w:ind w:right="40"/>
              <w:jc w:val="right"/>
              <w:rPr>
                <w:b/>
                <w:bCs/>
                <w:sz w:val="17"/>
                <w:lang w:val="fr-FR"/>
              </w:rPr>
            </w:pPr>
          </w:p>
        </w:tc>
        <w:tc>
          <w:tcPr>
            <w:tcW w:w="1170" w:type="dxa"/>
            <w:tcBorders>
              <w:top w:val="single" w:sz="4" w:space="0" w:color="auto"/>
            </w:tcBorders>
            <w:shd w:val="clear" w:color="000000" w:fill="FFFFFF"/>
            <w:vAlign w:val="bottom"/>
          </w:tcPr>
          <w:p w14:paraId="4D3322AA" w14:textId="77777777" w:rsidR="00744544" w:rsidRPr="00A66C9F" w:rsidRDefault="00744544" w:rsidP="00107D5D">
            <w:pPr>
              <w:tabs>
                <w:tab w:val="left" w:pos="288"/>
                <w:tab w:val="left" w:pos="576"/>
                <w:tab w:val="left" w:pos="864"/>
                <w:tab w:val="left" w:pos="1152"/>
              </w:tabs>
              <w:suppressAutoHyphens/>
              <w:spacing w:before="81" w:after="40" w:line="210" w:lineRule="exact"/>
              <w:ind w:right="40"/>
              <w:jc w:val="right"/>
              <w:rPr>
                <w:b/>
                <w:bCs/>
                <w:sz w:val="17"/>
                <w:lang w:val="fr-FR"/>
              </w:rPr>
            </w:pPr>
          </w:p>
        </w:tc>
        <w:tc>
          <w:tcPr>
            <w:tcW w:w="990" w:type="dxa"/>
            <w:tcBorders>
              <w:top w:val="single" w:sz="4" w:space="0" w:color="auto"/>
            </w:tcBorders>
            <w:shd w:val="clear" w:color="000000" w:fill="FFFFFF"/>
            <w:vAlign w:val="bottom"/>
          </w:tcPr>
          <w:p w14:paraId="3DC59FE3" w14:textId="77777777" w:rsidR="00744544" w:rsidRPr="00A66C9F" w:rsidRDefault="00744544" w:rsidP="00107D5D">
            <w:pPr>
              <w:tabs>
                <w:tab w:val="left" w:pos="288"/>
                <w:tab w:val="left" w:pos="576"/>
                <w:tab w:val="left" w:pos="864"/>
                <w:tab w:val="left" w:pos="1152"/>
              </w:tabs>
              <w:suppressAutoHyphens/>
              <w:spacing w:before="81" w:after="40" w:line="210" w:lineRule="exact"/>
              <w:ind w:right="40"/>
              <w:jc w:val="right"/>
              <w:rPr>
                <w:bCs/>
                <w:sz w:val="17"/>
                <w:szCs w:val="17"/>
                <w:lang w:val="fr-FR"/>
              </w:rPr>
            </w:pPr>
          </w:p>
        </w:tc>
      </w:tr>
      <w:tr w:rsidR="00744544" w:rsidRPr="00A66C9F" w14:paraId="601B59CF" w14:textId="77777777" w:rsidTr="00107D5D">
        <w:tc>
          <w:tcPr>
            <w:tcW w:w="3870" w:type="dxa"/>
            <w:shd w:val="clear" w:color="000000" w:fill="FFFFFF"/>
            <w:vAlign w:val="bottom"/>
            <w:hideMark/>
          </w:tcPr>
          <w:p w14:paraId="75051D0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Prestations à payer</w:t>
            </w:r>
          </w:p>
        </w:tc>
        <w:tc>
          <w:tcPr>
            <w:tcW w:w="1260" w:type="dxa"/>
            <w:shd w:val="clear" w:color="000000" w:fill="FFFFFF"/>
            <w:vAlign w:val="bottom"/>
          </w:tcPr>
          <w:p w14:paraId="6036D27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c>
          <w:tcPr>
            <w:tcW w:w="1170" w:type="dxa"/>
            <w:shd w:val="clear" w:color="000000" w:fill="FFFFFF"/>
            <w:vAlign w:val="bottom"/>
          </w:tcPr>
          <w:p w14:paraId="3235A32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c>
          <w:tcPr>
            <w:tcW w:w="990" w:type="dxa"/>
            <w:shd w:val="clear" w:color="000000" w:fill="FFFFFF"/>
            <w:vAlign w:val="bottom"/>
          </w:tcPr>
          <w:p w14:paraId="4EC113A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102 488</w:t>
            </w:r>
          </w:p>
        </w:tc>
      </w:tr>
      <w:tr w:rsidR="00744544" w:rsidRPr="00A66C9F" w14:paraId="51248154" w14:textId="77777777" w:rsidTr="00107D5D">
        <w:tc>
          <w:tcPr>
            <w:tcW w:w="3870" w:type="dxa"/>
            <w:shd w:val="clear" w:color="000000" w:fill="FFFFFF"/>
            <w:vAlign w:val="bottom"/>
            <w:hideMark/>
          </w:tcPr>
          <w:p w14:paraId="1451553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Montants à payer découlant d’opérations sur titres</w:t>
            </w:r>
          </w:p>
        </w:tc>
        <w:tc>
          <w:tcPr>
            <w:tcW w:w="1260" w:type="dxa"/>
            <w:shd w:val="clear" w:color="000000" w:fill="FFFFFF"/>
            <w:vAlign w:val="bottom"/>
          </w:tcPr>
          <w:p w14:paraId="0F3F9C0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c>
          <w:tcPr>
            <w:tcW w:w="1170" w:type="dxa"/>
            <w:shd w:val="clear" w:color="000000" w:fill="FFFFFF"/>
            <w:vAlign w:val="bottom"/>
          </w:tcPr>
          <w:p w14:paraId="1651084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c>
          <w:tcPr>
            <w:tcW w:w="990" w:type="dxa"/>
            <w:shd w:val="clear" w:color="000000" w:fill="FFFFFF"/>
            <w:vAlign w:val="bottom"/>
          </w:tcPr>
          <w:p w14:paraId="3DB7D99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159 913</w:t>
            </w:r>
          </w:p>
        </w:tc>
      </w:tr>
      <w:tr w:rsidR="00744544" w:rsidRPr="00A66C9F" w14:paraId="5DACC050" w14:textId="77777777" w:rsidTr="00107D5D">
        <w:tc>
          <w:tcPr>
            <w:tcW w:w="3870" w:type="dxa"/>
            <w:shd w:val="clear" w:color="000000" w:fill="FFFFFF"/>
            <w:vAlign w:val="bottom"/>
            <w:hideMark/>
          </w:tcPr>
          <w:p w14:paraId="008241D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Assurance maladie après la cessation de service et autres avantages du personnel</w:t>
            </w:r>
          </w:p>
        </w:tc>
        <w:tc>
          <w:tcPr>
            <w:tcW w:w="1260" w:type="dxa"/>
            <w:shd w:val="clear" w:color="000000" w:fill="FFFFFF"/>
            <w:vAlign w:val="bottom"/>
          </w:tcPr>
          <w:p w14:paraId="2023C1A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c>
          <w:tcPr>
            <w:tcW w:w="1170" w:type="dxa"/>
            <w:shd w:val="clear" w:color="000000" w:fill="FFFFFF"/>
            <w:vAlign w:val="bottom"/>
          </w:tcPr>
          <w:p w14:paraId="16C8C52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c>
          <w:tcPr>
            <w:tcW w:w="990" w:type="dxa"/>
            <w:shd w:val="clear" w:color="000000" w:fill="FFFFFF"/>
            <w:vAlign w:val="bottom"/>
          </w:tcPr>
          <w:p w14:paraId="2F40A2A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87 891</w:t>
            </w:r>
          </w:p>
        </w:tc>
      </w:tr>
      <w:tr w:rsidR="00744544" w:rsidRPr="00A66C9F" w14:paraId="5EEA1060" w14:textId="77777777" w:rsidTr="00107D5D">
        <w:tc>
          <w:tcPr>
            <w:tcW w:w="3870" w:type="dxa"/>
            <w:tcBorders>
              <w:bottom w:val="single" w:sz="4" w:space="0" w:color="auto"/>
            </w:tcBorders>
            <w:shd w:val="clear" w:color="000000" w:fill="FFFFFF"/>
            <w:vAlign w:val="bottom"/>
            <w:hideMark/>
          </w:tcPr>
          <w:p w14:paraId="475AA4E0"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rPr>
                <w:sz w:val="17"/>
                <w:szCs w:val="17"/>
                <w:lang w:val="fr-FR"/>
              </w:rPr>
            </w:pPr>
            <w:r w:rsidRPr="00A66C9F">
              <w:rPr>
                <w:sz w:val="17"/>
                <w:lang w:val="fr-FR"/>
              </w:rPr>
              <w:t>Autres passifs et charges à payer</w:t>
            </w:r>
          </w:p>
        </w:tc>
        <w:tc>
          <w:tcPr>
            <w:tcW w:w="1260" w:type="dxa"/>
            <w:tcBorders>
              <w:bottom w:val="single" w:sz="4" w:space="0" w:color="auto"/>
            </w:tcBorders>
            <w:shd w:val="clear" w:color="000000" w:fill="FFFFFF"/>
            <w:vAlign w:val="bottom"/>
          </w:tcPr>
          <w:p w14:paraId="7B74056E"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szCs w:val="17"/>
                <w:lang w:val="fr-FR"/>
              </w:rPr>
              <w:t xml:space="preserve"> –</w:t>
            </w:r>
          </w:p>
        </w:tc>
        <w:tc>
          <w:tcPr>
            <w:tcW w:w="1170" w:type="dxa"/>
            <w:tcBorders>
              <w:bottom w:val="single" w:sz="4" w:space="0" w:color="auto"/>
            </w:tcBorders>
            <w:shd w:val="clear" w:color="000000" w:fill="FFFFFF"/>
            <w:vAlign w:val="bottom"/>
          </w:tcPr>
          <w:p w14:paraId="2D0147EB"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szCs w:val="17"/>
                <w:lang w:val="fr-FR"/>
              </w:rPr>
              <w:t xml:space="preserve"> –</w:t>
            </w:r>
          </w:p>
        </w:tc>
        <w:tc>
          <w:tcPr>
            <w:tcW w:w="990" w:type="dxa"/>
            <w:tcBorders>
              <w:bottom w:val="single" w:sz="4" w:space="0" w:color="auto"/>
            </w:tcBorders>
            <w:shd w:val="clear" w:color="000000" w:fill="FFFFFF"/>
            <w:vAlign w:val="bottom"/>
          </w:tcPr>
          <w:p w14:paraId="2530DF0F"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lang w:val="fr-FR"/>
              </w:rPr>
              <w:t>12 597</w:t>
            </w:r>
          </w:p>
        </w:tc>
      </w:tr>
      <w:tr w:rsidR="00744544" w:rsidRPr="00A66C9F" w14:paraId="35A6EF64" w14:textId="77777777" w:rsidTr="00107D5D">
        <w:tc>
          <w:tcPr>
            <w:tcW w:w="3870" w:type="dxa"/>
            <w:tcBorders>
              <w:top w:val="single" w:sz="4" w:space="0" w:color="auto"/>
              <w:bottom w:val="single" w:sz="12" w:space="0" w:color="auto"/>
            </w:tcBorders>
            <w:shd w:val="clear" w:color="000000" w:fill="FFFFFF"/>
            <w:vAlign w:val="bottom"/>
            <w:hideMark/>
          </w:tcPr>
          <w:p w14:paraId="5483091E"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rPr>
                <w:b/>
                <w:bCs/>
                <w:sz w:val="17"/>
                <w:szCs w:val="17"/>
                <w:lang w:val="fr-FR"/>
              </w:rPr>
            </w:pPr>
            <w:r w:rsidRPr="00A66C9F">
              <w:rPr>
                <w:b/>
                <w:bCs/>
                <w:sz w:val="17"/>
                <w:lang w:val="fr-FR"/>
              </w:rPr>
              <w:tab/>
              <w:t>Total des passifs financiers</w:t>
            </w:r>
          </w:p>
        </w:tc>
        <w:tc>
          <w:tcPr>
            <w:tcW w:w="1260" w:type="dxa"/>
            <w:tcBorders>
              <w:top w:val="single" w:sz="4" w:space="0" w:color="auto"/>
              <w:bottom w:val="single" w:sz="12" w:space="0" w:color="auto"/>
            </w:tcBorders>
            <w:shd w:val="clear" w:color="000000" w:fill="FFFFFF"/>
            <w:vAlign w:val="bottom"/>
          </w:tcPr>
          <w:p w14:paraId="4201A05C"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bCs/>
                <w:sz w:val="17"/>
                <w:szCs w:val="17"/>
                <w:lang w:val="fr-FR"/>
              </w:rPr>
            </w:pPr>
            <w:r w:rsidRPr="00A66C9F">
              <w:rPr>
                <w:b/>
                <w:bCs/>
                <w:sz w:val="17"/>
                <w:szCs w:val="17"/>
                <w:lang w:val="fr-FR"/>
              </w:rPr>
              <w:t xml:space="preserve"> –</w:t>
            </w:r>
          </w:p>
        </w:tc>
        <w:tc>
          <w:tcPr>
            <w:tcW w:w="1170" w:type="dxa"/>
            <w:tcBorders>
              <w:top w:val="single" w:sz="4" w:space="0" w:color="auto"/>
              <w:bottom w:val="single" w:sz="12" w:space="0" w:color="auto"/>
            </w:tcBorders>
            <w:shd w:val="clear" w:color="000000" w:fill="FFFFFF"/>
            <w:vAlign w:val="bottom"/>
          </w:tcPr>
          <w:p w14:paraId="5371C8CE"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bCs/>
                <w:sz w:val="17"/>
                <w:szCs w:val="17"/>
                <w:lang w:val="fr-FR"/>
              </w:rPr>
            </w:pPr>
            <w:r w:rsidRPr="00A66C9F">
              <w:rPr>
                <w:b/>
                <w:bCs/>
                <w:sz w:val="17"/>
                <w:szCs w:val="17"/>
                <w:lang w:val="fr-FR"/>
              </w:rPr>
              <w:t xml:space="preserve"> –</w:t>
            </w:r>
          </w:p>
        </w:tc>
        <w:tc>
          <w:tcPr>
            <w:tcW w:w="990" w:type="dxa"/>
            <w:tcBorders>
              <w:top w:val="single" w:sz="4" w:space="0" w:color="auto"/>
              <w:bottom w:val="single" w:sz="12" w:space="0" w:color="auto"/>
            </w:tcBorders>
            <w:shd w:val="clear" w:color="000000" w:fill="FFFFFF"/>
            <w:vAlign w:val="bottom"/>
          </w:tcPr>
          <w:p w14:paraId="4F316971"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bCs/>
                <w:sz w:val="17"/>
                <w:szCs w:val="17"/>
                <w:lang w:val="fr-FR"/>
              </w:rPr>
            </w:pPr>
            <w:r w:rsidRPr="00A66C9F">
              <w:rPr>
                <w:b/>
                <w:bCs/>
                <w:sz w:val="17"/>
                <w:lang w:val="fr-FR"/>
              </w:rPr>
              <w:t>362 889</w:t>
            </w:r>
          </w:p>
        </w:tc>
      </w:tr>
    </w:tbl>
    <w:p w14:paraId="603A92E9" w14:textId="77777777" w:rsidR="00744544" w:rsidRPr="00A66C9F" w:rsidRDefault="00744544" w:rsidP="00744544">
      <w:pPr>
        <w:pStyle w:val="SingleTxt"/>
        <w:spacing w:after="0" w:line="120" w:lineRule="exact"/>
        <w:rPr>
          <w:sz w:val="10"/>
          <w:lang w:val="fr-FR"/>
        </w:rPr>
      </w:pPr>
    </w:p>
    <w:p w14:paraId="4222EEB4" w14:textId="77777777" w:rsidR="00744544" w:rsidRPr="00A66C9F" w:rsidRDefault="00744544" w:rsidP="00744544">
      <w:pPr>
        <w:pStyle w:val="SingleTxt"/>
        <w:spacing w:after="0" w:line="120" w:lineRule="exact"/>
        <w:rPr>
          <w:sz w:val="10"/>
          <w:lang w:val="fr-FR"/>
        </w:rPr>
      </w:pPr>
    </w:p>
    <w:p w14:paraId="512C451C" w14:textId="77777777" w:rsidR="00744544" w:rsidRPr="00A66C9F" w:rsidRDefault="00744544" w:rsidP="00744544">
      <w:pPr>
        <w:pStyle w:val="SingleTxt"/>
        <w:spacing w:after="0" w:line="120" w:lineRule="exact"/>
        <w:rPr>
          <w:sz w:val="10"/>
          <w:lang w:val="fr-FR"/>
        </w:rPr>
      </w:pPr>
    </w:p>
    <w:p w14:paraId="2A641538" w14:textId="77777777" w:rsidR="00744544" w:rsidRPr="00A66C9F" w:rsidRDefault="00744544" w:rsidP="0074454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Investissements supérieurs à 5 % de l’actif net</w:t>
      </w:r>
    </w:p>
    <w:p w14:paraId="5C8EDB36" w14:textId="77777777" w:rsidR="00744544" w:rsidRPr="00A66C9F" w:rsidRDefault="00744544" w:rsidP="00744544">
      <w:pPr>
        <w:pStyle w:val="SingleTxt"/>
        <w:spacing w:after="0" w:line="120" w:lineRule="exact"/>
        <w:rPr>
          <w:sz w:val="10"/>
          <w:lang w:val="fr-FR"/>
        </w:rPr>
      </w:pPr>
    </w:p>
    <w:p w14:paraId="6F7C8699" w14:textId="77777777" w:rsidR="00744544" w:rsidRPr="00A66C9F" w:rsidRDefault="00744544" w:rsidP="00753AB8">
      <w:pPr>
        <w:pStyle w:val="SingleTxt"/>
        <w:numPr>
          <w:ilvl w:val="0"/>
          <w:numId w:val="15"/>
        </w:numPr>
        <w:spacing w:line="240" w:lineRule="exact"/>
        <w:rPr>
          <w:szCs w:val="20"/>
          <w:lang w:val="fr-FR"/>
        </w:rPr>
      </w:pPr>
      <w:r w:rsidRPr="00A66C9F">
        <w:rPr>
          <w:lang w:val="fr-FR"/>
        </w:rPr>
        <w:t>La Caisse n’avait, au 31 décembre 2018, aucun investissement représentant 5 % au moins de l’actif net disponible pour le versement des prestations.</w:t>
      </w:r>
    </w:p>
    <w:p w14:paraId="17448F93" w14:textId="77777777" w:rsidR="00744544" w:rsidRPr="00A66C9F" w:rsidRDefault="00744544" w:rsidP="00753AB8">
      <w:pPr>
        <w:pStyle w:val="SingleTxt"/>
        <w:numPr>
          <w:ilvl w:val="0"/>
          <w:numId w:val="15"/>
        </w:numPr>
        <w:spacing w:line="240" w:lineRule="exact"/>
        <w:rPr>
          <w:szCs w:val="20"/>
          <w:lang w:val="fr-FR"/>
        </w:rPr>
      </w:pPr>
      <w:r w:rsidRPr="00A66C9F">
        <w:rPr>
          <w:lang w:val="fr-FR"/>
        </w:rPr>
        <w:t>La Caisse n’avait, au 31 décembre 2018, aucun investissement représentant 5 % au moins des actions, des valeurs à revenu fixe et des investissements alternatifs et divers ; elle détenait des titres d’un montant total de 216,8 millions de dollars dans un fonds de placement immobilier, qui représentaient 5 % au moins de la catégorie des actifs réels.</w:t>
      </w:r>
    </w:p>
    <w:p w14:paraId="3C44B4C6"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lastRenderedPageBreak/>
        <w:tab/>
      </w:r>
      <w:r w:rsidRPr="00A66C9F">
        <w:rPr>
          <w:lang w:val="fr-FR"/>
        </w:rPr>
        <w:tab/>
        <w:t>Note 6</w:t>
      </w:r>
    </w:p>
    <w:p w14:paraId="32D7D683"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Évaluation de la juste valeur</w:t>
      </w:r>
    </w:p>
    <w:p w14:paraId="1D4D3D7A" w14:textId="77777777" w:rsidR="00744544" w:rsidRPr="00A66C9F" w:rsidRDefault="00744544" w:rsidP="00744544">
      <w:pPr>
        <w:pStyle w:val="SingleTxt"/>
        <w:spacing w:after="0" w:line="120" w:lineRule="exact"/>
        <w:rPr>
          <w:sz w:val="10"/>
          <w:lang w:val="fr-FR"/>
        </w:rPr>
      </w:pPr>
    </w:p>
    <w:p w14:paraId="373C3BA6" w14:textId="77777777" w:rsidR="00744544" w:rsidRPr="00A66C9F" w:rsidRDefault="00744544" w:rsidP="00753AB8">
      <w:pPr>
        <w:pStyle w:val="SingleTxt"/>
        <w:numPr>
          <w:ilvl w:val="0"/>
          <w:numId w:val="15"/>
        </w:numPr>
        <w:spacing w:line="240" w:lineRule="exact"/>
        <w:rPr>
          <w:szCs w:val="20"/>
          <w:lang w:val="fr-FR"/>
        </w:rPr>
      </w:pPr>
      <w:bookmarkStart w:id="166" w:name="_Toc462327248"/>
      <w:bookmarkStart w:id="167" w:name="_Toc462327295"/>
      <w:bookmarkStart w:id="168" w:name="_Toc462327343"/>
      <w:bookmarkStart w:id="169" w:name="_Toc462327390"/>
      <w:bookmarkStart w:id="170" w:name="_Toc462327488"/>
      <w:bookmarkStart w:id="171" w:name="_Toc301946137"/>
      <w:bookmarkStart w:id="172" w:name="_Toc301946138"/>
      <w:bookmarkEnd w:id="166"/>
      <w:bookmarkEnd w:id="167"/>
      <w:bookmarkEnd w:id="168"/>
      <w:bookmarkEnd w:id="169"/>
      <w:bookmarkEnd w:id="170"/>
      <w:bookmarkEnd w:id="171"/>
      <w:bookmarkEnd w:id="172"/>
      <w:r w:rsidRPr="00A66C9F">
        <w:rPr>
          <w:lang w:val="fr-FR"/>
        </w:rPr>
        <w:t xml:space="preserve">Le référentiel IPSAS établit une hiérarchie des justes valeurs à trois niveaux, dans laquelle les instruments financiers sont classés selon le degré de fiabilité des éléments d’évaluation. Le niveau 1 comprend les titres pour lesquels on dispose de cours sur des marchés actifs, non corrigés, d’actifs ou de passifs identiques. Le niveau 2 correspond aux titres pour lesquels on dispose d’éléments d’évaluation autres que les cours de marché relevant du niveau 1, qui sont observables soit directement (cours) soit indirectement (dérivés de cours) pour l’actif ou le passif considéré. Le niveau 3 correspond aux titres pour lesquels on dispose d’éléments d’évaluation de l’actif ou du passif qui ne reposent pas sur des données de marché observables (éléments non attestés). Le niveau attribué à une juste valeur correspond au niveau de l’élément d’information le moins fiable retenu aux fins de la mesure. Si l’évaluation de la juste valeur d’un investissement est fondée sur des données observables qui nécessitent un ajustement important compte tenu d’éléments non attestés, cet investissement est classé au niveau 3. </w:t>
      </w:r>
    </w:p>
    <w:p w14:paraId="1CC93057" w14:textId="77777777" w:rsidR="00744544" w:rsidRPr="00A66C9F" w:rsidRDefault="00744544" w:rsidP="00753AB8">
      <w:pPr>
        <w:pStyle w:val="SingleTxt"/>
        <w:numPr>
          <w:ilvl w:val="0"/>
          <w:numId w:val="15"/>
        </w:numPr>
        <w:spacing w:line="240" w:lineRule="exact"/>
        <w:rPr>
          <w:szCs w:val="20"/>
          <w:lang w:val="fr-FR"/>
        </w:rPr>
      </w:pPr>
      <w:r w:rsidRPr="00A66C9F">
        <w:rPr>
          <w:lang w:val="fr-FR"/>
        </w:rPr>
        <w:t>Pour apprécier le poids relatif de tel ou tel élément dans l’évaluation globale de la juste valeur d’un investissement, il faut faire preuve de discernement et prendre en compte des facteurs spécifiques à l’investissement considéré.</w:t>
      </w:r>
    </w:p>
    <w:p w14:paraId="6D5035B2" w14:textId="77777777" w:rsidR="00744544" w:rsidRPr="00A66C9F" w:rsidRDefault="00744544" w:rsidP="00753AB8">
      <w:pPr>
        <w:pStyle w:val="SingleTxt"/>
        <w:numPr>
          <w:ilvl w:val="0"/>
          <w:numId w:val="15"/>
        </w:numPr>
        <w:spacing w:line="240" w:lineRule="exact"/>
        <w:rPr>
          <w:szCs w:val="20"/>
          <w:lang w:val="fr-FR"/>
        </w:rPr>
      </w:pPr>
      <w:r w:rsidRPr="00A66C9F">
        <w:rPr>
          <w:lang w:val="fr-FR"/>
        </w:rPr>
        <w:t xml:space="preserve">Les tableaux ci-dessous présentent la fiabilité de l’estimation de la juste valeur pour les investissements financiers de la Caisse, par catégorie et tels que mesurés à la juste valeur au 31 décembre 2019 et au 31 décembre 2018. </w:t>
      </w:r>
    </w:p>
    <w:p w14:paraId="3928E16E" w14:textId="77777777" w:rsidR="00744544" w:rsidRPr="00A66C9F" w:rsidRDefault="00744544" w:rsidP="00744544">
      <w:pPr>
        <w:pStyle w:val="SingleTxt"/>
        <w:spacing w:after="0" w:line="120" w:lineRule="exact"/>
        <w:rPr>
          <w:sz w:val="10"/>
          <w:lang w:val="fr-FR"/>
        </w:rPr>
      </w:pPr>
    </w:p>
    <w:p w14:paraId="705D04DC" w14:textId="77777777" w:rsidR="00744544" w:rsidRPr="00A66C9F" w:rsidRDefault="00744544" w:rsidP="0074454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lang w:val="fr-FR"/>
        </w:rPr>
        <w:tab/>
      </w:r>
      <w:r w:rsidRPr="00A66C9F">
        <w:rPr>
          <w:lang w:val="fr-FR"/>
        </w:rPr>
        <w:tab/>
      </w:r>
      <w:r w:rsidRPr="00A66C9F">
        <w:rPr>
          <w:sz w:val="14"/>
          <w:szCs w:val="14"/>
          <w:lang w:val="fr-FR"/>
        </w:rPr>
        <w:t>(En milliers de dollars des États-Unis)</w:t>
      </w:r>
    </w:p>
    <w:p w14:paraId="3B906C33" w14:textId="77777777" w:rsidR="00744544" w:rsidRPr="00A66C9F" w:rsidRDefault="00744544" w:rsidP="00744544">
      <w:pPr>
        <w:pStyle w:val="SingleTxt"/>
        <w:spacing w:after="0" w:line="120" w:lineRule="exact"/>
        <w:rPr>
          <w:sz w:val="10"/>
          <w:szCs w:val="14"/>
          <w:lang w:val="fr-FR"/>
        </w:rPr>
      </w:pPr>
    </w:p>
    <w:p w14:paraId="2E93B92B" w14:textId="77777777" w:rsidR="00744544" w:rsidRPr="00A66C9F" w:rsidRDefault="00744544" w:rsidP="00744544">
      <w:pPr>
        <w:pStyle w:val="SingleTxt"/>
        <w:spacing w:after="0" w:line="120" w:lineRule="exact"/>
        <w:rPr>
          <w:sz w:val="10"/>
          <w:szCs w:val="14"/>
          <w:lang w:val="fr-FR"/>
        </w:rPr>
      </w:pPr>
    </w:p>
    <w:tbl>
      <w:tblPr>
        <w:tblW w:w="7320" w:type="dxa"/>
        <w:tblInd w:w="1260" w:type="dxa"/>
        <w:shd w:val="clear" w:color="auto" w:fill="FFFFFF"/>
        <w:tblLayout w:type="fixed"/>
        <w:tblCellMar>
          <w:left w:w="0" w:type="dxa"/>
          <w:right w:w="0" w:type="dxa"/>
        </w:tblCellMar>
        <w:tblLook w:val="04A0" w:firstRow="1" w:lastRow="0" w:firstColumn="1" w:lastColumn="0" w:noHBand="0" w:noVBand="1"/>
      </w:tblPr>
      <w:tblGrid>
        <w:gridCol w:w="2700"/>
        <w:gridCol w:w="1155"/>
        <w:gridCol w:w="1155"/>
        <w:gridCol w:w="1155"/>
        <w:gridCol w:w="1155"/>
      </w:tblGrid>
      <w:tr w:rsidR="00744544" w:rsidRPr="00A66C9F" w14:paraId="3ACC32FE" w14:textId="77777777" w:rsidTr="00107D5D">
        <w:trPr>
          <w:trHeight w:val="315"/>
          <w:tblHeader/>
        </w:trPr>
        <w:tc>
          <w:tcPr>
            <w:tcW w:w="2700" w:type="dxa"/>
            <w:tcBorders>
              <w:top w:val="single" w:sz="4" w:space="0" w:color="auto"/>
              <w:bottom w:val="single" w:sz="12" w:space="0" w:color="auto"/>
            </w:tcBorders>
            <w:shd w:val="clear" w:color="auto" w:fill="FFFFFF"/>
            <w:noWrap/>
            <w:vAlign w:val="bottom"/>
            <w:hideMark/>
          </w:tcPr>
          <w:p w14:paraId="74337BE3" w14:textId="77777777" w:rsidR="00744544" w:rsidRPr="00A66C9F" w:rsidRDefault="00744544" w:rsidP="00107D5D">
            <w:pPr>
              <w:suppressAutoHyphens/>
              <w:spacing w:before="81" w:after="81" w:line="160" w:lineRule="exact"/>
              <w:ind w:right="40"/>
              <w:rPr>
                <w:i/>
                <w:iCs/>
                <w:sz w:val="14"/>
                <w:szCs w:val="18"/>
                <w:lang w:val="fr-FR"/>
              </w:rPr>
            </w:pPr>
            <w:r w:rsidRPr="00A66C9F">
              <w:rPr>
                <w:i/>
                <w:iCs/>
                <w:sz w:val="14"/>
                <w:lang w:val="fr-FR"/>
              </w:rPr>
              <w:t xml:space="preserve">Fiabilité de l’estimation de la juste valeur </w:t>
            </w:r>
            <w:r w:rsidRPr="00A66C9F">
              <w:rPr>
                <w:i/>
                <w:iCs/>
                <w:sz w:val="14"/>
                <w:lang w:val="fr-FR"/>
              </w:rPr>
              <w:br/>
              <w:t>au 31 décembre 2019</w:t>
            </w:r>
          </w:p>
        </w:tc>
        <w:tc>
          <w:tcPr>
            <w:tcW w:w="1155" w:type="dxa"/>
            <w:tcBorders>
              <w:top w:val="single" w:sz="4" w:space="0" w:color="auto"/>
              <w:bottom w:val="single" w:sz="12" w:space="0" w:color="auto"/>
            </w:tcBorders>
            <w:shd w:val="clear" w:color="auto" w:fill="FFFFFF"/>
            <w:noWrap/>
            <w:vAlign w:val="bottom"/>
            <w:hideMark/>
          </w:tcPr>
          <w:p w14:paraId="7624A86D" w14:textId="77777777" w:rsidR="00744544" w:rsidRPr="00A66C9F" w:rsidRDefault="00744544" w:rsidP="00107D5D">
            <w:pPr>
              <w:suppressAutoHyphens/>
              <w:spacing w:before="81" w:after="81" w:line="160" w:lineRule="exact"/>
              <w:ind w:right="43"/>
              <w:jc w:val="right"/>
              <w:rPr>
                <w:i/>
                <w:iCs/>
                <w:sz w:val="14"/>
                <w:szCs w:val="18"/>
                <w:lang w:val="fr-FR"/>
              </w:rPr>
            </w:pPr>
            <w:r w:rsidRPr="00A66C9F">
              <w:rPr>
                <w:i/>
                <w:iCs/>
                <w:sz w:val="14"/>
                <w:lang w:val="fr-FR"/>
              </w:rPr>
              <w:t>Niveau 1</w:t>
            </w:r>
          </w:p>
        </w:tc>
        <w:tc>
          <w:tcPr>
            <w:tcW w:w="1155" w:type="dxa"/>
            <w:tcBorders>
              <w:top w:val="single" w:sz="4" w:space="0" w:color="auto"/>
              <w:bottom w:val="single" w:sz="12" w:space="0" w:color="auto"/>
            </w:tcBorders>
            <w:shd w:val="clear" w:color="auto" w:fill="FFFFFF"/>
            <w:noWrap/>
            <w:vAlign w:val="bottom"/>
            <w:hideMark/>
          </w:tcPr>
          <w:p w14:paraId="775E4C44" w14:textId="77777777" w:rsidR="00744544" w:rsidRPr="00A66C9F" w:rsidRDefault="00744544" w:rsidP="00107D5D">
            <w:pPr>
              <w:suppressAutoHyphens/>
              <w:spacing w:before="81" w:after="81" w:line="160" w:lineRule="exact"/>
              <w:ind w:right="43"/>
              <w:jc w:val="right"/>
              <w:rPr>
                <w:i/>
                <w:iCs/>
                <w:sz w:val="14"/>
                <w:szCs w:val="18"/>
                <w:lang w:val="fr-FR"/>
              </w:rPr>
            </w:pPr>
            <w:r w:rsidRPr="00A66C9F">
              <w:rPr>
                <w:i/>
                <w:iCs/>
                <w:sz w:val="14"/>
                <w:lang w:val="fr-FR"/>
              </w:rPr>
              <w:t>Niveau 2</w:t>
            </w:r>
          </w:p>
        </w:tc>
        <w:tc>
          <w:tcPr>
            <w:tcW w:w="1155" w:type="dxa"/>
            <w:tcBorders>
              <w:top w:val="single" w:sz="4" w:space="0" w:color="auto"/>
              <w:bottom w:val="single" w:sz="12" w:space="0" w:color="auto"/>
            </w:tcBorders>
            <w:shd w:val="clear" w:color="auto" w:fill="FFFFFF"/>
            <w:noWrap/>
            <w:vAlign w:val="bottom"/>
            <w:hideMark/>
          </w:tcPr>
          <w:p w14:paraId="77A0B17B" w14:textId="77777777" w:rsidR="00744544" w:rsidRPr="00A66C9F" w:rsidRDefault="00744544" w:rsidP="00107D5D">
            <w:pPr>
              <w:suppressAutoHyphens/>
              <w:spacing w:before="81" w:after="81" w:line="160" w:lineRule="exact"/>
              <w:ind w:right="43"/>
              <w:jc w:val="right"/>
              <w:rPr>
                <w:i/>
                <w:iCs/>
                <w:sz w:val="14"/>
                <w:szCs w:val="18"/>
                <w:lang w:val="fr-FR"/>
              </w:rPr>
            </w:pPr>
            <w:r w:rsidRPr="00A66C9F">
              <w:rPr>
                <w:i/>
                <w:iCs/>
                <w:sz w:val="14"/>
                <w:lang w:val="fr-FR"/>
              </w:rPr>
              <w:t>Niveau 3</w:t>
            </w:r>
          </w:p>
        </w:tc>
        <w:tc>
          <w:tcPr>
            <w:tcW w:w="1155" w:type="dxa"/>
            <w:tcBorders>
              <w:top w:val="single" w:sz="4" w:space="0" w:color="auto"/>
              <w:bottom w:val="single" w:sz="12" w:space="0" w:color="auto"/>
            </w:tcBorders>
            <w:shd w:val="clear" w:color="auto" w:fill="FFFFFF"/>
            <w:noWrap/>
            <w:vAlign w:val="bottom"/>
            <w:hideMark/>
          </w:tcPr>
          <w:p w14:paraId="6AC5A15C" w14:textId="77777777" w:rsidR="00744544" w:rsidRPr="00A66C9F" w:rsidRDefault="00744544" w:rsidP="00107D5D">
            <w:pPr>
              <w:suppressAutoHyphens/>
              <w:spacing w:before="81" w:after="81" w:line="160" w:lineRule="exact"/>
              <w:ind w:right="43"/>
              <w:jc w:val="right"/>
              <w:rPr>
                <w:i/>
                <w:iCs/>
                <w:sz w:val="14"/>
                <w:szCs w:val="18"/>
                <w:lang w:val="fr-FR"/>
              </w:rPr>
            </w:pPr>
            <w:r w:rsidRPr="00A66C9F">
              <w:rPr>
                <w:i/>
                <w:iCs/>
                <w:sz w:val="14"/>
                <w:lang w:val="fr-FR"/>
              </w:rPr>
              <w:t>Total</w:t>
            </w:r>
          </w:p>
        </w:tc>
      </w:tr>
      <w:tr w:rsidR="00744544" w:rsidRPr="00A66C9F" w14:paraId="6571884F" w14:textId="77777777" w:rsidTr="00107D5D">
        <w:trPr>
          <w:trHeight w:hRule="exact" w:val="115"/>
          <w:tblHeader/>
        </w:trPr>
        <w:tc>
          <w:tcPr>
            <w:tcW w:w="2700" w:type="dxa"/>
            <w:tcBorders>
              <w:top w:val="single" w:sz="12" w:space="0" w:color="auto"/>
            </w:tcBorders>
            <w:shd w:val="clear" w:color="auto" w:fill="FFFFFF"/>
            <w:noWrap/>
            <w:vAlign w:val="bottom"/>
          </w:tcPr>
          <w:p w14:paraId="46CD1BC1" w14:textId="77777777" w:rsidR="00744544" w:rsidRPr="00A66C9F" w:rsidRDefault="00744544" w:rsidP="00107D5D">
            <w:pPr>
              <w:suppressAutoHyphens/>
              <w:spacing w:before="40" w:after="40" w:line="210" w:lineRule="exact"/>
              <w:ind w:right="40"/>
              <w:rPr>
                <w:b/>
                <w:bCs/>
                <w:sz w:val="17"/>
                <w:lang w:val="fr-FR"/>
              </w:rPr>
            </w:pPr>
          </w:p>
        </w:tc>
        <w:tc>
          <w:tcPr>
            <w:tcW w:w="1155" w:type="dxa"/>
            <w:tcBorders>
              <w:top w:val="single" w:sz="12" w:space="0" w:color="auto"/>
            </w:tcBorders>
            <w:shd w:val="clear" w:color="auto" w:fill="FFFFFF"/>
            <w:noWrap/>
            <w:vAlign w:val="bottom"/>
          </w:tcPr>
          <w:p w14:paraId="45AEA104" w14:textId="77777777" w:rsidR="00744544" w:rsidRPr="00A66C9F" w:rsidRDefault="00744544" w:rsidP="00107D5D">
            <w:pPr>
              <w:suppressAutoHyphens/>
              <w:spacing w:before="40" w:after="40" w:line="210" w:lineRule="exact"/>
              <w:ind w:right="43"/>
              <w:jc w:val="right"/>
              <w:rPr>
                <w:sz w:val="17"/>
                <w:szCs w:val="17"/>
                <w:lang w:val="fr-FR"/>
              </w:rPr>
            </w:pPr>
          </w:p>
        </w:tc>
        <w:tc>
          <w:tcPr>
            <w:tcW w:w="1155" w:type="dxa"/>
            <w:tcBorders>
              <w:top w:val="single" w:sz="12" w:space="0" w:color="auto"/>
            </w:tcBorders>
            <w:shd w:val="clear" w:color="auto" w:fill="FFFFFF"/>
            <w:noWrap/>
            <w:vAlign w:val="bottom"/>
          </w:tcPr>
          <w:p w14:paraId="5763F17D" w14:textId="77777777" w:rsidR="00744544" w:rsidRPr="00A66C9F" w:rsidRDefault="00744544" w:rsidP="00107D5D">
            <w:pPr>
              <w:suppressAutoHyphens/>
              <w:spacing w:before="40" w:after="40" w:line="210" w:lineRule="exact"/>
              <w:ind w:right="43"/>
              <w:jc w:val="right"/>
              <w:rPr>
                <w:sz w:val="17"/>
                <w:szCs w:val="17"/>
                <w:lang w:val="fr-FR"/>
              </w:rPr>
            </w:pPr>
          </w:p>
        </w:tc>
        <w:tc>
          <w:tcPr>
            <w:tcW w:w="1155" w:type="dxa"/>
            <w:tcBorders>
              <w:top w:val="single" w:sz="12" w:space="0" w:color="auto"/>
            </w:tcBorders>
            <w:shd w:val="clear" w:color="auto" w:fill="FFFFFF"/>
            <w:noWrap/>
            <w:vAlign w:val="bottom"/>
          </w:tcPr>
          <w:p w14:paraId="30343CDA" w14:textId="77777777" w:rsidR="00744544" w:rsidRPr="00A66C9F" w:rsidRDefault="00744544" w:rsidP="00107D5D">
            <w:pPr>
              <w:suppressAutoHyphens/>
              <w:spacing w:before="40" w:after="40" w:line="210" w:lineRule="exact"/>
              <w:ind w:right="43"/>
              <w:jc w:val="right"/>
              <w:rPr>
                <w:sz w:val="17"/>
                <w:szCs w:val="17"/>
                <w:lang w:val="fr-FR"/>
              </w:rPr>
            </w:pPr>
          </w:p>
        </w:tc>
        <w:tc>
          <w:tcPr>
            <w:tcW w:w="1155" w:type="dxa"/>
            <w:tcBorders>
              <w:top w:val="single" w:sz="12" w:space="0" w:color="auto"/>
            </w:tcBorders>
            <w:shd w:val="clear" w:color="auto" w:fill="FFFFFF"/>
            <w:noWrap/>
            <w:vAlign w:val="bottom"/>
          </w:tcPr>
          <w:p w14:paraId="5F0F3502" w14:textId="77777777" w:rsidR="00744544" w:rsidRPr="00A66C9F" w:rsidRDefault="00744544" w:rsidP="00107D5D">
            <w:pPr>
              <w:suppressAutoHyphens/>
              <w:spacing w:before="40" w:after="40" w:line="210" w:lineRule="exact"/>
              <w:ind w:right="43"/>
              <w:jc w:val="right"/>
              <w:rPr>
                <w:sz w:val="17"/>
                <w:szCs w:val="17"/>
                <w:lang w:val="fr-FR"/>
              </w:rPr>
            </w:pPr>
          </w:p>
        </w:tc>
      </w:tr>
      <w:tr w:rsidR="00744544" w:rsidRPr="00A66C9F" w14:paraId="2CCCF8E8" w14:textId="77777777" w:rsidTr="00107D5D">
        <w:tc>
          <w:tcPr>
            <w:tcW w:w="2700" w:type="dxa"/>
            <w:shd w:val="clear" w:color="auto" w:fill="FFFFFF"/>
            <w:noWrap/>
            <w:vAlign w:val="bottom"/>
            <w:hideMark/>
          </w:tcPr>
          <w:p w14:paraId="4F871ED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b/>
                <w:bCs/>
                <w:sz w:val="17"/>
                <w:lang w:val="fr-FR"/>
              </w:rPr>
              <w:t>Actions</w:t>
            </w:r>
          </w:p>
        </w:tc>
        <w:tc>
          <w:tcPr>
            <w:tcW w:w="1155" w:type="dxa"/>
            <w:shd w:val="clear" w:color="auto" w:fill="FFFFFF"/>
            <w:noWrap/>
            <w:vAlign w:val="bottom"/>
          </w:tcPr>
          <w:p w14:paraId="0DB6ACF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1155" w:type="dxa"/>
            <w:shd w:val="clear" w:color="auto" w:fill="FFFFFF"/>
            <w:noWrap/>
            <w:vAlign w:val="bottom"/>
          </w:tcPr>
          <w:p w14:paraId="3415720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1155" w:type="dxa"/>
            <w:shd w:val="clear" w:color="auto" w:fill="FFFFFF"/>
            <w:noWrap/>
            <w:vAlign w:val="bottom"/>
          </w:tcPr>
          <w:p w14:paraId="35C4D75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1155" w:type="dxa"/>
            <w:shd w:val="clear" w:color="auto" w:fill="FFFFFF"/>
            <w:noWrap/>
            <w:vAlign w:val="bottom"/>
          </w:tcPr>
          <w:p w14:paraId="5B85885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p>
        </w:tc>
      </w:tr>
      <w:tr w:rsidR="00744544" w:rsidRPr="00A66C9F" w14:paraId="17F2ABF3" w14:textId="77777777" w:rsidTr="00107D5D">
        <w:tc>
          <w:tcPr>
            <w:tcW w:w="2700" w:type="dxa"/>
            <w:shd w:val="clear" w:color="auto" w:fill="FFFFFF"/>
            <w:noWrap/>
            <w:vAlign w:val="bottom"/>
            <w:hideMark/>
          </w:tcPr>
          <w:p w14:paraId="4E759AB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Actions ordinaires et privilégiées</w:t>
            </w:r>
          </w:p>
        </w:tc>
        <w:tc>
          <w:tcPr>
            <w:tcW w:w="1155" w:type="dxa"/>
            <w:shd w:val="clear" w:color="auto" w:fill="FFFFFF"/>
            <w:noWrap/>
            <w:vAlign w:val="bottom"/>
            <w:hideMark/>
          </w:tcPr>
          <w:p w14:paraId="10BC844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40 686 191 </w:t>
            </w:r>
          </w:p>
        </w:tc>
        <w:tc>
          <w:tcPr>
            <w:tcW w:w="1155" w:type="dxa"/>
            <w:shd w:val="clear" w:color="auto" w:fill="FFFFFF"/>
            <w:noWrap/>
            <w:vAlign w:val="bottom"/>
            <w:hideMark/>
          </w:tcPr>
          <w:p w14:paraId="2B2B0A3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1155" w:type="dxa"/>
            <w:shd w:val="clear" w:color="auto" w:fill="FFFFFF"/>
            <w:noWrap/>
            <w:vAlign w:val="bottom"/>
            <w:hideMark/>
          </w:tcPr>
          <w:p w14:paraId="2D3457F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1155" w:type="dxa"/>
            <w:shd w:val="clear" w:color="auto" w:fill="FFFFFF"/>
            <w:noWrap/>
            <w:vAlign w:val="bottom"/>
            <w:hideMark/>
          </w:tcPr>
          <w:p w14:paraId="4C208DF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40 686 191 </w:t>
            </w:r>
          </w:p>
        </w:tc>
      </w:tr>
      <w:tr w:rsidR="00744544" w:rsidRPr="00A66C9F" w14:paraId="6E68C0C9" w14:textId="77777777" w:rsidTr="00107D5D">
        <w:tc>
          <w:tcPr>
            <w:tcW w:w="2700" w:type="dxa"/>
            <w:shd w:val="clear" w:color="auto" w:fill="FFFFFF"/>
            <w:noWrap/>
            <w:vAlign w:val="bottom"/>
            <w:hideMark/>
          </w:tcPr>
          <w:p w14:paraId="53BB48B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Fonds – fonds indiciels cotés</w:t>
            </w:r>
          </w:p>
        </w:tc>
        <w:tc>
          <w:tcPr>
            <w:tcW w:w="1155" w:type="dxa"/>
            <w:shd w:val="clear" w:color="auto" w:fill="FFFFFF"/>
            <w:noWrap/>
            <w:vAlign w:val="bottom"/>
            <w:hideMark/>
          </w:tcPr>
          <w:p w14:paraId="52E2751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1 388 880 </w:t>
            </w:r>
          </w:p>
        </w:tc>
        <w:tc>
          <w:tcPr>
            <w:tcW w:w="1155" w:type="dxa"/>
            <w:shd w:val="clear" w:color="auto" w:fill="FFFFFF"/>
            <w:noWrap/>
            <w:vAlign w:val="bottom"/>
            <w:hideMark/>
          </w:tcPr>
          <w:p w14:paraId="54B2EBE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1155" w:type="dxa"/>
            <w:shd w:val="clear" w:color="auto" w:fill="FFFFFF"/>
            <w:noWrap/>
            <w:vAlign w:val="bottom"/>
            <w:hideMark/>
          </w:tcPr>
          <w:p w14:paraId="6F1153C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1155" w:type="dxa"/>
            <w:shd w:val="clear" w:color="auto" w:fill="FFFFFF"/>
            <w:noWrap/>
            <w:vAlign w:val="bottom"/>
            <w:hideMark/>
          </w:tcPr>
          <w:p w14:paraId="06C92A4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1 388 880 </w:t>
            </w:r>
          </w:p>
        </w:tc>
      </w:tr>
      <w:tr w:rsidR="00744544" w:rsidRPr="00A66C9F" w14:paraId="02441FE8" w14:textId="77777777" w:rsidTr="00107D5D">
        <w:tc>
          <w:tcPr>
            <w:tcW w:w="2700" w:type="dxa"/>
            <w:shd w:val="clear" w:color="auto" w:fill="FFFFFF"/>
            <w:noWrap/>
            <w:vAlign w:val="bottom"/>
            <w:hideMark/>
          </w:tcPr>
          <w:p w14:paraId="43B8BFA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Fonds – actions ordinaires</w:t>
            </w:r>
          </w:p>
        </w:tc>
        <w:tc>
          <w:tcPr>
            <w:tcW w:w="1155" w:type="dxa"/>
            <w:shd w:val="clear" w:color="auto" w:fill="FFFFFF"/>
            <w:noWrap/>
            <w:vAlign w:val="bottom"/>
            <w:hideMark/>
          </w:tcPr>
          <w:p w14:paraId="219E35F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1155" w:type="dxa"/>
            <w:shd w:val="clear" w:color="auto" w:fill="FFFFFF"/>
            <w:noWrap/>
            <w:vAlign w:val="bottom"/>
            <w:hideMark/>
          </w:tcPr>
          <w:p w14:paraId="4D89816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1155" w:type="dxa"/>
            <w:shd w:val="clear" w:color="auto" w:fill="FFFFFF"/>
            <w:noWrap/>
            <w:vAlign w:val="bottom"/>
            <w:hideMark/>
          </w:tcPr>
          <w:p w14:paraId="2F360E2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138 935</w:t>
            </w:r>
          </w:p>
        </w:tc>
        <w:tc>
          <w:tcPr>
            <w:tcW w:w="1155" w:type="dxa"/>
            <w:shd w:val="clear" w:color="auto" w:fill="FFFFFF"/>
            <w:noWrap/>
            <w:vAlign w:val="bottom"/>
            <w:hideMark/>
          </w:tcPr>
          <w:p w14:paraId="47C8ED4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138 935 </w:t>
            </w:r>
          </w:p>
        </w:tc>
      </w:tr>
      <w:tr w:rsidR="00744544" w:rsidRPr="00A66C9F" w14:paraId="7039B59E" w14:textId="77777777" w:rsidTr="00107D5D">
        <w:tc>
          <w:tcPr>
            <w:tcW w:w="2700" w:type="dxa"/>
            <w:tcBorders>
              <w:bottom w:val="single" w:sz="4" w:space="0" w:color="auto"/>
            </w:tcBorders>
            <w:shd w:val="clear" w:color="auto" w:fill="FFFFFF"/>
            <w:noWrap/>
            <w:vAlign w:val="bottom"/>
            <w:hideMark/>
          </w:tcPr>
          <w:p w14:paraId="0A88A99A" w14:textId="77777777" w:rsidR="00744544" w:rsidRPr="00A66C9F" w:rsidRDefault="00744544" w:rsidP="00107D5D">
            <w:pPr>
              <w:tabs>
                <w:tab w:val="left" w:pos="288"/>
                <w:tab w:val="left" w:pos="576"/>
                <w:tab w:val="left" w:pos="864"/>
                <w:tab w:val="left" w:pos="1152"/>
              </w:tabs>
              <w:suppressAutoHyphens/>
              <w:spacing w:before="40" w:after="81" w:line="210" w:lineRule="exact"/>
              <w:ind w:right="40"/>
              <w:rPr>
                <w:b/>
                <w:bCs/>
                <w:sz w:val="17"/>
                <w:szCs w:val="17"/>
                <w:u w:val="single"/>
                <w:lang w:val="fr-FR"/>
              </w:rPr>
            </w:pPr>
            <w:r w:rsidRPr="00A66C9F">
              <w:rPr>
                <w:sz w:val="17"/>
                <w:lang w:val="fr-FR"/>
              </w:rPr>
              <w:t>Titres composés</w:t>
            </w:r>
          </w:p>
        </w:tc>
        <w:tc>
          <w:tcPr>
            <w:tcW w:w="1155" w:type="dxa"/>
            <w:tcBorders>
              <w:bottom w:val="single" w:sz="4" w:space="0" w:color="auto"/>
            </w:tcBorders>
            <w:shd w:val="clear" w:color="auto" w:fill="FFFFFF"/>
            <w:noWrap/>
            <w:vAlign w:val="bottom"/>
            <w:hideMark/>
          </w:tcPr>
          <w:p w14:paraId="37DF33C4"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b/>
                <w:bCs/>
                <w:sz w:val="17"/>
                <w:szCs w:val="17"/>
                <w:lang w:val="fr-FR"/>
              </w:rPr>
            </w:pPr>
            <w:r w:rsidRPr="00A66C9F">
              <w:rPr>
                <w:sz w:val="17"/>
                <w:lang w:val="fr-FR"/>
              </w:rPr>
              <w:t xml:space="preserve"> 95 135 </w:t>
            </w:r>
          </w:p>
        </w:tc>
        <w:tc>
          <w:tcPr>
            <w:tcW w:w="1155" w:type="dxa"/>
            <w:tcBorders>
              <w:bottom w:val="single" w:sz="4" w:space="0" w:color="auto"/>
            </w:tcBorders>
            <w:shd w:val="clear" w:color="auto" w:fill="FFFFFF"/>
            <w:noWrap/>
            <w:vAlign w:val="bottom"/>
            <w:hideMark/>
          </w:tcPr>
          <w:p w14:paraId="08D1C73B"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b/>
                <w:sz w:val="17"/>
                <w:szCs w:val="17"/>
                <w:lang w:val="fr-FR"/>
              </w:rPr>
            </w:pPr>
            <w:r w:rsidRPr="00A66C9F">
              <w:rPr>
                <w:sz w:val="17"/>
                <w:szCs w:val="17"/>
                <w:lang w:val="fr-FR"/>
              </w:rPr>
              <w:t xml:space="preserve"> –</w:t>
            </w:r>
          </w:p>
        </w:tc>
        <w:tc>
          <w:tcPr>
            <w:tcW w:w="1155" w:type="dxa"/>
            <w:tcBorders>
              <w:bottom w:val="single" w:sz="4" w:space="0" w:color="auto"/>
            </w:tcBorders>
            <w:shd w:val="clear" w:color="auto" w:fill="FFFFFF"/>
            <w:noWrap/>
            <w:vAlign w:val="bottom"/>
            <w:hideMark/>
          </w:tcPr>
          <w:p w14:paraId="72D4CF3D"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b/>
                <w:bCs/>
                <w:sz w:val="17"/>
                <w:szCs w:val="17"/>
                <w:lang w:val="fr-FR"/>
              </w:rPr>
            </w:pPr>
            <w:r w:rsidRPr="00A66C9F">
              <w:rPr>
                <w:sz w:val="17"/>
                <w:szCs w:val="17"/>
                <w:lang w:val="fr-FR"/>
              </w:rPr>
              <w:t xml:space="preserve"> –</w:t>
            </w:r>
          </w:p>
        </w:tc>
        <w:tc>
          <w:tcPr>
            <w:tcW w:w="1155" w:type="dxa"/>
            <w:tcBorders>
              <w:bottom w:val="single" w:sz="4" w:space="0" w:color="auto"/>
            </w:tcBorders>
            <w:shd w:val="clear" w:color="auto" w:fill="FFFFFF"/>
            <w:noWrap/>
            <w:vAlign w:val="bottom"/>
            <w:hideMark/>
          </w:tcPr>
          <w:p w14:paraId="691F48D3"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b/>
                <w:bCs/>
                <w:sz w:val="17"/>
                <w:szCs w:val="17"/>
                <w:lang w:val="fr-FR"/>
              </w:rPr>
            </w:pPr>
            <w:r w:rsidRPr="00A66C9F">
              <w:rPr>
                <w:sz w:val="17"/>
                <w:lang w:val="fr-FR"/>
              </w:rPr>
              <w:t xml:space="preserve"> 95 135 </w:t>
            </w:r>
          </w:p>
        </w:tc>
      </w:tr>
      <w:tr w:rsidR="00744544" w:rsidRPr="00A66C9F" w14:paraId="5578104F" w14:textId="77777777" w:rsidTr="00107D5D">
        <w:tc>
          <w:tcPr>
            <w:tcW w:w="2700" w:type="dxa"/>
            <w:tcBorders>
              <w:top w:val="single" w:sz="4" w:space="0" w:color="auto"/>
              <w:bottom w:val="single" w:sz="4" w:space="0" w:color="auto"/>
            </w:tcBorders>
            <w:shd w:val="clear" w:color="auto" w:fill="FFFFFF"/>
            <w:noWrap/>
            <w:vAlign w:val="bottom"/>
            <w:hideMark/>
          </w:tcPr>
          <w:p w14:paraId="70F96EF9"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rPr>
                <w:b/>
                <w:sz w:val="17"/>
                <w:szCs w:val="17"/>
                <w:lang w:val="fr-FR"/>
              </w:rPr>
            </w:pPr>
            <w:r w:rsidRPr="00A66C9F">
              <w:rPr>
                <w:b/>
                <w:bCs/>
                <w:sz w:val="17"/>
                <w:lang w:val="fr-FR"/>
              </w:rPr>
              <w:tab/>
              <w:t>Total des actions</w:t>
            </w:r>
          </w:p>
        </w:tc>
        <w:tc>
          <w:tcPr>
            <w:tcW w:w="1155" w:type="dxa"/>
            <w:tcBorders>
              <w:top w:val="single" w:sz="4" w:space="0" w:color="auto"/>
              <w:bottom w:val="single" w:sz="4" w:space="0" w:color="auto"/>
            </w:tcBorders>
            <w:shd w:val="clear" w:color="auto" w:fill="FFFFFF"/>
            <w:noWrap/>
            <w:vAlign w:val="bottom"/>
          </w:tcPr>
          <w:p w14:paraId="2C233AF9"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bCs/>
                <w:sz w:val="17"/>
                <w:szCs w:val="17"/>
                <w:lang w:val="fr-FR"/>
              </w:rPr>
            </w:pPr>
            <w:r w:rsidRPr="00A66C9F">
              <w:rPr>
                <w:b/>
                <w:sz w:val="17"/>
                <w:lang w:val="fr-FR"/>
              </w:rPr>
              <w:t xml:space="preserve"> </w:t>
            </w:r>
            <w:r w:rsidRPr="00A66C9F">
              <w:rPr>
                <w:b/>
                <w:bCs/>
                <w:sz w:val="17"/>
                <w:lang w:val="fr-FR"/>
              </w:rPr>
              <w:t>42 170 206</w:t>
            </w:r>
          </w:p>
        </w:tc>
        <w:tc>
          <w:tcPr>
            <w:tcW w:w="1155" w:type="dxa"/>
            <w:tcBorders>
              <w:top w:val="single" w:sz="4" w:space="0" w:color="auto"/>
              <w:bottom w:val="single" w:sz="4" w:space="0" w:color="auto"/>
            </w:tcBorders>
            <w:shd w:val="clear" w:color="auto" w:fill="FFFFFF"/>
            <w:noWrap/>
            <w:vAlign w:val="bottom"/>
          </w:tcPr>
          <w:p w14:paraId="5E9A2751"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bCs/>
                <w:sz w:val="17"/>
                <w:szCs w:val="17"/>
                <w:lang w:val="fr-FR"/>
              </w:rPr>
            </w:pPr>
            <w:r w:rsidRPr="00A66C9F">
              <w:rPr>
                <w:b/>
                <w:bCs/>
                <w:sz w:val="17"/>
                <w:szCs w:val="17"/>
                <w:lang w:val="fr-FR"/>
              </w:rPr>
              <w:t xml:space="preserve"> –</w:t>
            </w:r>
          </w:p>
        </w:tc>
        <w:tc>
          <w:tcPr>
            <w:tcW w:w="1155" w:type="dxa"/>
            <w:tcBorders>
              <w:top w:val="single" w:sz="4" w:space="0" w:color="auto"/>
              <w:bottom w:val="single" w:sz="4" w:space="0" w:color="auto"/>
            </w:tcBorders>
            <w:shd w:val="clear" w:color="auto" w:fill="FFFFFF"/>
            <w:noWrap/>
            <w:vAlign w:val="bottom"/>
          </w:tcPr>
          <w:p w14:paraId="5AE3257E"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bCs/>
                <w:sz w:val="17"/>
                <w:szCs w:val="17"/>
                <w:lang w:val="fr-FR"/>
              </w:rPr>
            </w:pPr>
            <w:r w:rsidRPr="00A66C9F">
              <w:rPr>
                <w:b/>
                <w:sz w:val="17"/>
                <w:lang w:val="fr-FR"/>
              </w:rPr>
              <w:t xml:space="preserve"> </w:t>
            </w:r>
            <w:r w:rsidRPr="00A66C9F">
              <w:rPr>
                <w:b/>
                <w:bCs/>
                <w:sz w:val="17"/>
                <w:lang w:val="fr-FR"/>
              </w:rPr>
              <w:t>138 935</w:t>
            </w:r>
          </w:p>
        </w:tc>
        <w:tc>
          <w:tcPr>
            <w:tcW w:w="1155" w:type="dxa"/>
            <w:tcBorders>
              <w:top w:val="single" w:sz="4" w:space="0" w:color="auto"/>
              <w:bottom w:val="single" w:sz="4" w:space="0" w:color="auto"/>
            </w:tcBorders>
            <w:shd w:val="clear" w:color="auto" w:fill="FFFFFF"/>
            <w:noWrap/>
            <w:vAlign w:val="bottom"/>
          </w:tcPr>
          <w:p w14:paraId="57222F29"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bCs/>
                <w:sz w:val="17"/>
                <w:szCs w:val="17"/>
                <w:lang w:val="fr-FR"/>
              </w:rPr>
            </w:pPr>
            <w:r w:rsidRPr="00A66C9F">
              <w:rPr>
                <w:b/>
                <w:sz w:val="17"/>
                <w:lang w:val="fr-FR"/>
              </w:rPr>
              <w:t xml:space="preserve"> </w:t>
            </w:r>
            <w:r w:rsidRPr="00A66C9F">
              <w:rPr>
                <w:b/>
                <w:bCs/>
                <w:sz w:val="17"/>
                <w:lang w:val="fr-FR"/>
              </w:rPr>
              <w:t>42 309 141</w:t>
            </w:r>
          </w:p>
        </w:tc>
      </w:tr>
      <w:tr w:rsidR="00744544" w:rsidRPr="00A66C9F" w14:paraId="7DB5A0E3" w14:textId="77777777" w:rsidTr="00107D5D">
        <w:tc>
          <w:tcPr>
            <w:tcW w:w="2700" w:type="dxa"/>
            <w:shd w:val="clear" w:color="auto" w:fill="FFFFFF"/>
            <w:noWrap/>
            <w:vAlign w:val="bottom"/>
            <w:hideMark/>
          </w:tcPr>
          <w:p w14:paraId="7A168D6C" w14:textId="77777777" w:rsidR="00744544" w:rsidRPr="00A66C9F" w:rsidRDefault="00744544" w:rsidP="00107D5D">
            <w:pPr>
              <w:tabs>
                <w:tab w:val="left" w:pos="288"/>
                <w:tab w:val="left" w:pos="576"/>
                <w:tab w:val="left" w:pos="864"/>
                <w:tab w:val="left" w:pos="1152"/>
              </w:tabs>
              <w:suppressAutoHyphens/>
              <w:spacing w:before="81" w:after="40" w:line="210" w:lineRule="exact"/>
              <w:ind w:right="40"/>
              <w:rPr>
                <w:sz w:val="17"/>
                <w:szCs w:val="17"/>
                <w:lang w:val="fr-FR"/>
              </w:rPr>
            </w:pPr>
            <w:r w:rsidRPr="00A66C9F">
              <w:rPr>
                <w:b/>
                <w:bCs/>
                <w:sz w:val="17"/>
                <w:lang w:val="fr-FR"/>
              </w:rPr>
              <w:t>Valeurs à revenu fixe</w:t>
            </w:r>
          </w:p>
        </w:tc>
        <w:tc>
          <w:tcPr>
            <w:tcW w:w="1155" w:type="dxa"/>
            <w:shd w:val="clear" w:color="auto" w:fill="FFFFFF"/>
            <w:noWrap/>
            <w:vAlign w:val="bottom"/>
            <w:hideMark/>
          </w:tcPr>
          <w:p w14:paraId="4E3C698F" w14:textId="77777777" w:rsidR="00744544" w:rsidRPr="00A66C9F" w:rsidRDefault="00744544" w:rsidP="00107D5D">
            <w:pPr>
              <w:tabs>
                <w:tab w:val="left" w:pos="288"/>
                <w:tab w:val="left" w:pos="576"/>
                <w:tab w:val="left" w:pos="864"/>
                <w:tab w:val="left" w:pos="1152"/>
              </w:tabs>
              <w:suppressAutoHyphens/>
              <w:spacing w:before="81" w:after="40" w:line="210" w:lineRule="exact"/>
              <w:ind w:right="43"/>
              <w:jc w:val="right"/>
              <w:rPr>
                <w:sz w:val="17"/>
                <w:szCs w:val="17"/>
                <w:lang w:val="fr-FR"/>
              </w:rPr>
            </w:pPr>
          </w:p>
        </w:tc>
        <w:tc>
          <w:tcPr>
            <w:tcW w:w="1155" w:type="dxa"/>
            <w:shd w:val="clear" w:color="auto" w:fill="FFFFFF"/>
            <w:noWrap/>
            <w:vAlign w:val="bottom"/>
            <w:hideMark/>
          </w:tcPr>
          <w:p w14:paraId="7EAA8091" w14:textId="77777777" w:rsidR="00744544" w:rsidRPr="00A66C9F" w:rsidRDefault="00744544" w:rsidP="00107D5D">
            <w:pPr>
              <w:tabs>
                <w:tab w:val="left" w:pos="288"/>
                <w:tab w:val="left" w:pos="576"/>
                <w:tab w:val="left" w:pos="864"/>
                <w:tab w:val="left" w:pos="1152"/>
              </w:tabs>
              <w:suppressAutoHyphens/>
              <w:spacing w:before="81" w:after="40" w:line="210" w:lineRule="exact"/>
              <w:ind w:right="43"/>
              <w:jc w:val="right"/>
              <w:rPr>
                <w:sz w:val="17"/>
                <w:szCs w:val="17"/>
                <w:lang w:val="fr-FR"/>
              </w:rPr>
            </w:pPr>
          </w:p>
        </w:tc>
        <w:tc>
          <w:tcPr>
            <w:tcW w:w="1155" w:type="dxa"/>
            <w:shd w:val="clear" w:color="auto" w:fill="FFFFFF"/>
            <w:noWrap/>
            <w:vAlign w:val="bottom"/>
            <w:hideMark/>
          </w:tcPr>
          <w:p w14:paraId="6E1330E9" w14:textId="77777777" w:rsidR="00744544" w:rsidRPr="00A66C9F" w:rsidRDefault="00744544" w:rsidP="00107D5D">
            <w:pPr>
              <w:tabs>
                <w:tab w:val="left" w:pos="288"/>
                <w:tab w:val="left" w:pos="576"/>
                <w:tab w:val="left" w:pos="864"/>
                <w:tab w:val="left" w:pos="1152"/>
              </w:tabs>
              <w:suppressAutoHyphens/>
              <w:spacing w:before="81" w:after="40" w:line="210" w:lineRule="exact"/>
              <w:ind w:right="43"/>
              <w:jc w:val="right"/>
              <w:rPr>
                <w:sz w:val="17"/>
                <w:szCs w:val="17"/>
                <w:lang w:val="fr-FR"/>
              </w:rPr>
            </w:pPr>
          </w:p>
        </w:tc>
        <w:tc>
          <w:tcPr>
            <w:tcW w:w="1155" w:type="dxa"/>
            <w:shd w:val="clear" w:color="auto" w:fill="FFFFFF"/>
            <w:noWrap/>
            <w:vAlign w:val="bottom"/>
            <w:hideMark/>
          </w:tcPr>
          <w:p w14:paraId="71484CC2" w14:textId="77777777" w:rsidR="00744544" w:rsidRPr="00A66C9F" w:rsidRDefault="00744544" w:rsidP="00107D5D">
            <w:pPr>
              <w:tabs>
                <w:tab w:val="left" w:pos="288"/>
                <w:tab w:val="left" w:pos="576"/>
                <w:tab w:val="left" w:pos="864"/>
                <w:tab w:val="left" w:pos="1152"/>
              </w:tabs>
              <w:suppressAutoHyphens/>
              <w:spacing w:before="81" w:after="40" w:line="210" w:lineRule="exact"/>
              <w:ind w:right="43"/>
              <w:jc w:val="right"/>
              <w:rPr>
                <w:sz w:val="17"/>
                <w:szCs w:val="17"/>
                <w:lang w:val="fr-FR"/>
              </w:rPr>
            </w:pPr>
          </w:p>
        </w:tc>
      </w:tr>
      <w:tr w:rsidR="00744544" w:rsidRPr="00A66C9F" w14:paraId="510454F7" w14:textId="77777777" w:rsidTr="00107D5D">
        <w:tc>
          <w:tcPr>
            <w:tcW w:w="2700" w:type="dxa"/>
            <w:shd w:val="clear" w:color="auto" w:fill="FFFFFF"/>
            <w:noWrap/>
            <w:vAlign w:val="bottom"/>
            <w:hideMark/>
          </w:tcPr>
          <w:p w14:paraId="3BEA32C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Obligations d’État et d’organismes publics</w:t>
            </w:r>
          </w:p>
        </w:tc>
        <w:tc>
          <w:tcPr>
            <w:tcW w:w="1155" w:type="dxa"/>
            <w:shd w:val="clear" w:color="auto" w:fill="FFFFFF"/>
            <w:noWrap/>
            <w:vAlign w:val="bottom"/>
            <w:hideMark/>
          </w:tcPr>
          <w:p w14:paraId="22A9ED8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1155" w:type="dxa"/>
            <w:shd w:val="clear" w:color="auto" w:fill="FFFFFF"/>
            <w:noWrap/>
            <w:vAlign w:val="bottom"/>
            <w:hideMark/>
          </w:tcPr>
          <w:p w14:paraId="6C0B397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18 863 212 </w:t>
            </w:r>
          </w:p>
        </w:tc>
        <w:tc>
          <w:tcPr>
            <w:tcW w:w="1155" w:type="dxa"/>
            <w:shd w:val="clear" w:color="auto" w:fill="FFFFFF"/>
            <w:noWrap/>
            <w:vAlign w:val="bottom"/>
            <w:hideMark/>
          </w:tcPr>
          <w:p w14:paraId="05A7DAF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1155" w:type="dxa"/>
            <w:shd w:val="clear" w:color="auto" w:fill="FFFFFF"/>
            <w:noWrap/>
            <w:vAlign w:val="bottom"/>
            <w:hideMark/>
          </w:tcPr>
          <w:p w14:paraId="138784F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18 863 212 </w:t>
            </w:r>
          </w:p>
        </w:tc>
      </w:tr>
      <w:tr w:rsidR="00744544" w:rsidRPr="00A66C9F" w14:paraId="2C9FDEA5" w14:textId="77777777" w:rsidTr="00107D5D">
        <w:tc>
          <w:tcPr>
            <w:tcW w:w="2700" w:type="dxa"/>
            <w:shd w:val="clear" w:color="auto" w:fill="FFFFFF"/>
            <w:noWrap/>
            <w:vAlign w:val="bottom"/>
          </w:tcPr>
          <w:p w14:paraId="2E3C56C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Titres adossés à des actifs</w:t>
            </w:r>
          </w:p>
        </w:tc>
        <w:tc>
          <w:tcPr>
            <w:tcW w:w="1155" w:type="dxa"/>
            <w:shd w:val="clear" w:color="auto" w:fill="FFFFFF"/>
            <w:noWrap/>
            <w:vAlign w:val="bottom"/>
          </w:tcPr>
          <w:p w14:paraId="5BDA025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1155" w:type="dxa"/>
            <w:shd w:val="clear" w:color="auto" w:fill="FFFFFF"/>
            <w:noWrap/>
            <w:vAlign w:val="bottom"/>
          </w:tcPr>
          <w:p w14:paraId="5598624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153 402</w:t>
            </w:r>
          </w:p>
        </w:tc>
        <w:tc>
          <w:tcPr>
            <w:tcW w:w="1155" w:type="dxa"/>
            <w:shd w:val="clear" w:color="auto" w:fill="FFFFFF"/>
            <w:noWrap/>
            <w:vAlign w:val="bottom"/>
          </w:tcPr>
          <w:p w14:paraId="51FE164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4 183</w:t>
            </w:r>
          </w:p>
        </w:tc>
        <w:tc>
          <w:tcPr>
            <w:tcW w:w="1155" w:type="dxa"/>
            <w:shd w:val="clear" w:color="auto" w:fill="FFFFFF"/>
            <w:noWrap/>
            <w:vAlign w:val="bottom"/>
          </w:tcPr>
          <w:p w14:paraId="1BA88FC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157 585</w:t>
            </w:r>
          </w:p>
        </w:tc>
      </w:tr>
      <w:tr w:rsidR="00744544" w:rsidRPr="00A66C9F" w14:paraId="2A3BE5C4" w14:textId="77777777" w:rsidTr="00107D5D">
        <w:tc>
          <w:tcPr>
            <w:tcW w:w="2700" w:type="dxa"/>
            <w:shd w:val="clear" w:color="auto" w:fill="FFFFFF"/>
            <w:noWrap/>
            <w:vAlign w:val="bottom"/>
          </w:tcPr>
          <w:p w14:paraId="0C2D194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Obligations de sociétés</w:t>
            </w:r>
          </w:p>
        </w:tc>
        <w:tc>
          <w:tcPr>
            <w:tcW w:w="1155" w:type="dxa"/>
            <w:shd w:val="clear" w:color="auto" w:fill="FFFFFF"/>
            <w:noWrap/>
            <w:vAlign w:val="bottom"/>
          </w:tcPr>
          <w:p w14:paraId="392EF77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1155" w:type="dxa"/>
            <w:shd w:val="clear" w:color="auto" w:fill="FFFFFF"/>
            <w:noWrap/>
            <w:vAlign w:val="bottom"/>
          </w:tcPr>
          <w:p w14:paraId="59D80E5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552 610 </w:t>
            </w:r>
          </w:p>
        </w:tc>
        <w:tc>
          <w:tcPr>
            <w:tcW w:w="1155" w:type="dxa"/>
            <w:shd w:val="clear" w:color="auto" w:fill="FFFFFF"/>
            <w:noWrap/>
            <w:vAlign w:val="bottom"/>
          </w:tcPr>
          <w:p w14:paraId="50ABA48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42 856</w:t>
            </w:r>
          </w:p>
        </w:tc>
        <w:tc>
          <w:tcPr>
            <w:tcW w:w="1155" w:type="dxa"/>
            <w:shd w:val="clear" w:color="auto" w:fill="FFFFFF"/>
            <w:noWrap/>
            <w:vAlign w:val="bottom"/>
          </w:tcPr>
          <w:p w14:paraId="63D2D4D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595 466 </w:t>
            </w:r>
          </w:p>
        </w:tc>
      </w:tr>
      <w:tr w:rsidR="00744544" w:rsidRPr="00A66C9F" w14:paraId="25679374" w14:textId="77777777" w:rsidTr="00107D5D">
        <w:tc>
          <w:tcPr>
            <w:tcW w:w="2700" w:type="dxa"/>
            <w:shd w:val="clear" w:color="auto" w:fill="FFFFFF"/>
            <w:noWrap/>
            <w:vAlign w:val="bottom"/>
            <w:hideMark/>
          </w:tcPr>
          <w:p w14:paraId="56EA69B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Obligations de collectivités locales</w:t>
            </w:r>
          </w:p>
        </w:tc>
        <w:tc>
          <w:tcPr>
            <w:tcW w:w="1155" w:type="dxa"/>
            <w:shd w:val="clear" w:color="auto" w:fill="FFFFFF"/>
            <w:noWrap/>
            <w:vAlign w:val="bottom"/>
            <w:hideMark/>
          </w:tcPr>
          <w:p w14:paraId="79E77A2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1155" w:type="dxa"/>
            <w:shd w:val="clear" w:color="auto" w:fill="FFFFFF"/>
            <w:noWrap/>
            <w:vAlign w:val="bottom"/>
            <w:hideMark/>
          </w:tcPr>
          <w:p w14:paraId="404746F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37 873 </w:t>
            </w:r>
          </w:p>
        </w:tc>
        <w:tc>
          <w:tcPr>
            <w:tcW w:w="1155" w:type="dxa"/>
            <w:shd w:val="clear" w:color="auto" w:fill="FFFFFF"/>
            <w:noWrap/>
            <w:vAlign w:val="bottom"/>
            <w:hideMark/>
          </w:tcPr>
          <w:p w14:paraId="0979A51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1155" w:type="dxa"/>
            <w:shd w:val="clear" w:color="auto" w:fill="FFFFFF"/>
            <w:noWrap/>
            <w:vAlign w:val="bottom"/>
            <w:hideMark/>
          </w:tcPr>
          <w:p w14:paraId="1ABED11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37 873 </w:t>
            </w:r>
          </w:p>
        </w:tc>
      </w:tr>
      <w:tr w:rsidR="00744544" w:rsidRPr="00A66C9F" w14:paraId="1129C858" w14:textId="77777777" w:rsidTr="00107D5D">
        <w:tc>
          <w:tcPr>
            <w:tcW w:w="2700" w:type="dxa"/>
            <w:shd w:val="clear" w:color="auto" w:fill="FFFFFF"/>
            <w:noWrap/>
            <w:vAlign w:val="bottom"/>
            <w:hideMark/>
          </w:tcPr>
          <w:p w14:paraId="1190A2E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Titres adossés à des crédits hypothécaires</w:t>
            </w:r>
          </w:p>
        </w:tc>
        <w:tc>
          <w:tcPr>
            <w:tcW w:w="1155" w:type="dxa"/>
            <w:shd w:val="clear" w:color="auto" w:fill="FFFFFF"/>
            <w:noWrap/>
            <w:vAlign w:val="bottom"/>
            <w:hideMark/>
          </w:tcPr>
          <w:p w14:paraId="74C668F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b/>
                <w:bCs/>
                <w:sz w:val="17"/>
                <w:szCs w:val="17"/>
                <w:lang w:val="fr-FR"/>
              </w:rPr>
            </w:pPr>
            <w:r w:rsidRPr="00A66C9F">
              <w:rPr>
                <w:sz w:val="17"/>
                <w:szCs w:val="17"/>
                <w:lang w:val="fr-FR"/>
              </w:rPr>
              <w:t xml:space="preserve"> –</w:t>
            </w:r>
          </w:p>
        </w:tc>
        <w:tc>
          <w:tcPr>
            <w:tcW w:w="1155" w:type="dxa"/>
            <w:shd w:val="clear" w:color="auto" w:fill="FFFFFF"/>
            <w:noWrap/>
            <w:vAlign w:val="bottom"/>
            <w:hideMark/>
          </w:tcPr>
          <w:p w14:paraId="7AB6690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b/>
                <w:bCs/>
                <w:sz w:val="17"/>
                <w:szCs w:val="17"/>
                <w:lang w:val="fr-FR"/>
              </w:rPr>
            </w:pPr>
            <w:r w:rsidRPr="00A66C9F">
              <w:rPr>
                <w:sz w:val="17"/>
                <w:lang w:val="fr-FR"/>
              </w:rPr>
              <w:t xml:space="preserve">704 655 </w:t>
            </w:r>
          </w:p>
        </w:tc>
        <w:tc>
          <w:tcPr>
            <w:tcW w:w="1155" w:type="dxa"/>
            <w:shd w:val="clear" w:color="auto" w:fill="FFFFFF"/>
            <w:noWrap/>
            <w:vAlign w:val="bottom"/>
            <w:hideMark/>
          </w:tcPr>
          <w:p w14:paraId="42E9324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b/>
                <w:bCs/>
                <w:sz w:val="17"/>
                <w:szCs w:val="17"/>
                <w:lang w:val="fr-FR"/>
              </w:rPr>
            </w:pPr>
            <w:r w:rsidRPr="00A66C9F">
              <w:rPr>
                <w:sz w:val="17"/>
                <w:szCs w:val="17"/>
                <w:lang w:val="fr-FR"/>
              </w:rPr>
              <w:t xml:space="preserve"> –</w:t>
            </w:r>
          </w:p>
        </w:tc>
        <w:tc>
          <w:tcPr>
            <w:tcW w:w="1155" w:type="dxa"/>
            <w:shd w:val="clear" w:color="auto" w:fill="FFFFFF"/>
            <w:noWrap/>
            <w:vAlign w:val="bottom"/>
            <w:hideMark/>
          </w:tcPr>
          <w:p w14:paraId="073B835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b/>
                <w:bCs/>
                <w:sz w:val="17"/>
                <w:szCs w:val="17"/>
                <w:lang w:val="fr-FR"/>
              </w:rPr>
            </w:pPr>
            <w:r w:rsidRPr="00A66C9F">
              <w:rPr>
                <w:sz w:val="17"/>
                <w:lang w:val="fr-FR"/>
              </w:rPr>
              <w:t xml:space="preserve">704 655 </w:t>
            </w:r>
          </w:p>
        </w:tc>
      </w:tr>
      <w:tr w:rsidR="00744544" w:rsidRPr="00A66C9F" w14:paraId="7E037BDE" w14:textId="77777777" w:rsidTr="00107D5D">
        <w:tc>
          <w:tcPr>
            <w:tcW w:w="2700" w:type="dxa"/>
            <w:tcBorders>
              <w:bottom w:val="single" w:sz="4" w:space="0" w:color="auto"/>
            </w:tcBorders>
            <w:shd w:val="clear" w:color="auto" w:fill="FFFFFF"/>
            <w:noWrap/>
            <w:vAlign w:val="bottom"/>
            <w:hideMark/>
          </w:tcPr>
          <w:p w14:paraId="0AF78C7F" w14:textId="77777777" w:rsidR="00744544" w:rsidRPr="00A66C9F" w:rsidRDefault="00744544" w:rsidP="00107D5D">
            <w:pPr>
              <w:tabs>
                <w:tab w:val="left" w:pos="288"/>
                <w:tab w:val="left" w:pos="576"/>
                <w:tab w:val="left" w:pos="864"/>
                <w:tab w:val="left" w:pos="1152"/>
              </w:tabs>
              <w:suppressAutoHyphens/>
              <w:spacing w:before="40" w:after="81" w:line="210" w:lineRule="exact"/>
              <w:ind w:right="40"/>
              <w:rPr>
                <w:sz w:val="17"/>
                <w:szCs w:val="17"/>
                <w:lang w:val="fr-FR"/>
              </w:rPr>
            </w:pPr>
            <w:r w:rsidRPr="00A66C9F">
              <w:rPr>
                <w:sz w:val="17"/>
                <w:lang w:val="fr-FR"/>
              </w:rPr>
              <w:t>Fonds – obligations de sociétés</w:t>
            </w:r>
          </w:p>
        </w:tc>
        <w:tc>
          <w:tcPr>
            <w:tcW w:w="1155" w:type="dxa"/>
            <w:tcBorders>
              <w:bottom w:val="single" w:sz="4" w:space="0" w:color="auto"/>
            </w:tcBorders>
            <w:shd w:val="clear" w:color="auto" w:fill="FFFFFF"/>
            <w:noWrap/>
            <w:vAlign w:val="bottom"/>
          </w:tcPr>
          <w:p w14:paraId="55D5A446"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szCs w:val="17"/>
                <w:lang w:val="fr-FR"/>
              </w:rPr>
              <w:t xml:space="preserve"> –</w:t>
            </w:r>
          </w:p>
        </w:tc>
        <w:tc>
          <w:tcPr>
            <w:tcW w:w="1155" w:type="dxa"/>
            <w:tcBorders>
              <w:bottom w:val="single" w:sz="4" w:space="0" w:color="auto"/>
            </w:tcBorders>
            <w:shd w:val="clear" w:color="auto" w:fill="FFFFFF"/>
            <w:noWrap/>
            <w:vAlign w:val="bottom"/>
          </w:tcPr>
          <w:p w14:paraId="000BFDDB"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szCs w:val="17"/>
                <w:lang w:val="fr-FR"/>
              </w:rPr>
              <w:t xml:space="preserve"> –</w:t>
            </w:r>
          </w:p>
        </w:tc>
        <w:tc>
          <w:tcPr>
            <w:tcW w:w="1155" w:type="dxa"/>
            <w:tcBorders>
              <w:bottom w:val="single" w:sz="4" w:space="0" w:color="auto"/>
            </w:tcBorders>
            <w:shd w:val="clear" w:color="auto" w:fill="FFFFFF"/>
            <w:noWrap/>
            <w:vAlign w:val="bottom"/>
          </w:tcPr>
          <w:p w14:paraId="671667AA"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lang w:val="fr-FR"/>
              </w:rPr>
              <w:t>53 740</w:t>
            </w:r>
          </w:p>
        </w:tc>
        <w:tc>
          <w:tcPr>
            <w:tcW w:w="1155" w:type="dxa"/>
            <w:tcBorders>
              <w:bottom w:val="single" w:sz="4" w:space="0" w:color="auto"/>
            </w:tcBorders>
            <w:shd w:val="clear" w:color="auto" w:fill="FFFFFF"/>
            <w:noWrap/>
            <w:vAlign w:val="bottom"/>
          </w:tcPr>
          <w:p w14:paraId="6193CBEF"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lang w:val="fr-FR"/>
              </w:rPr>
              <w:t xml:space="preserve"> 53 740 </w:t>
            </w:r>
          </w:p>
        </w:tc>
      </w:tr>
      <w:tr w:rsidR="00744544" w:rsidRPr="00A66C9F" w14:paraId="78A7B6BF" w14:textId="77777777" w:rsidTr="00107D5D">
        <w:tc>
          <w:tcPr>
            <w:tcW w:w="2700" w:type="dxa"/>
            <w:tcBorders>
              <w:top w:val="single" w:sz="4" w:space="0" w:color="auto"/>
              <w:bottom w:val="single" w:sz="4" w:space="0" w:color="auto"/>
            </w:tcBorders>
            <w:shd w:val="clear" w:color="auto" w:fill="FFFFFF"/>
            <w:noWrap/>
            <w:vAlign w:val="bottom"/>
            <w:hideMark/>
          </w:tcPr>
          <w:p w14:paraId="66B3F100" w14:textId="77777777" w:rsidR="00744544" w:rsidRPr="00A66C9F" w:rsidRDefault="00744544" w:rsidP="00107D5D">
            <w:pPr>
              <w:tabs>
                <w:tab w:val="left" w:pos="288"/>
                <w:tab w:val="left" w:pos="576"/>
                <w:tab w:val="left" w:pos="864"/>
                <w:tab w:val="left" w:pos="1152"/>
              </w:tabs>
              <w:suppressAutoHyphens/>
              <w:spacing w:before="81" w:after="81" w:line="210" w:lineRule="exact"/>
              <w:ind w:left="220" w:right="40" w:hanging="220"/>
              <w:rPr>
                <w:b/>
                <w:bCs/>
                <w:sz w:val="17"/>
                <w:szCs w:val="17"/>
                <w:u w:val="single"/>
                <w:lang w:val="fr-FR"/>
              </w:rPr>
            </w:pPr>
            <w:r w:rsidRPr="00A66C9F">
              <w:rPr>
                <w:b/>
                <w:bCs/>
                <w:sz w:val="17"/>
                <w:lang w:val="fr-FR"/>
              </w:rPr>
              <w:tab/>
              <w:t>Total des valeurs à revenu fixe</w:t>
            </w:r>
          </w:p>
        </w:tc>
        <w:tc>
          <w:tcPr>
            <w:tcW w:w="1155" w:type="dxa"/>
            <w:tcBorders>
              <w:top w:val="single" w:sz="4" w:space="0" w:color="auto"/>
              <w:bottom w:val="single" w:sz="4" w:space="0" w:color="auto"/>
            </w:tcBorders>
            <w:shd w:val="clear" w:color="auto" w:fill="FFFFFF"/>
            <w:noWrap/>
            <w:vAlign w:val="bottom"/>
          </w:tcPr>
          <w:p w14:paraId="203188DC"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szCs w:val="17"/>
                <w:lang w:val="fr-FR"/>
              </w:rPr>
            </w:pPr>
            <w:r w:rsidRPr="00A66C9F">
              <w:rPr>
                <w:b/>
                <w:bCs/>
                <w:sz w:val="17"/>
                <w:szCs w:val="17"/>
                <w:lang w:val="fr-FR"/>
              </w:rPr>
              <w:t xml:space="preserve"> –</w:t>
            </w:r>
          </w:p>
        </w:tc>
        <w:tc>
          <w:tcPr>
            <w:tcW w:w="1155" w:type="dxa"/>
            <w:tcBorders>
              <w:top w:val="single" w:sz="4" w:space="0" w:color="auto"/>
              <w:bottom w:val="single" w:sz="4" w:space="0" w:color="auto"/>
            </w:tcBorders>
            <w:shd w:val="clear" w:color="auto" w:fill="FFFFFF"/>
            <w:noWrap/>
            <w:vAlign w:val="bottom"/>
          </w:tcPr>
          <w:p w14:paraId="275C1D11"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szCs w:val="17"/>
                <w:lang w:val="fr-FR"/>
              </w:rPr>
            </w:pPr>
            <w:r w:rsidRPr="00A66C9F">
              <w:rPr>
                <w:b/>
                <w:bCs/>
                <w:sz w:val="17"/>
                <w:lang w:val="fr-FR"/>
              </w:rPr>
              <w:t>20 311 752</w:t>
            </w:r>
          </w:p>
        </w:tc>
        <w:tc>
          <w:tcPr>
            <w:tcW w:w="1155" w:type="dxa"/>
            <w:tcBorders>
              <w:top w:val="single" w:sz="4" w:space="0" w:color="auto"/>
              <w:bottom w:val="single" w:sz="4" w:space="0" w:color="auto"/>
            </w:tcBorders>
            <w:shd w:val="clear" w:color="auto" w:fill="FFFFFF"/>
            <w:noWrap/>
            <w:vAlign w:val="bottom"/>
          </w:tcPr>
          <w:p w14:paraId="13D3D10C"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szCs w:val="17"/>
                <w:lang w:val="fr-FR"/>
              </w:rPr>
            </w:pPr>
            <w:r w:rsidRPr="00A66C9F">
              <w:rPr>
                <w:b/>
                <w:bCs/>
                <w:sz w:val="17"/>
                <w:lang w:val="fr-FR"/>
              </w:rPr>
              <w:t>100 779</w:t>
            </w:r>
          </w:p>
        </w:tc>
        <w:tc>
          <w:tcPr>
            <w:tcW w:w="1155" w:type="dxa"/>
            <w:tcBorders>
              <w:top w:val="single" w:sz="4" w:space="0" w:color="auto"/>
              <w:bottom w:val="single" w:sz="4" w:space="0" w:color="auto"/>
            </w:tcBorders>
            <w:shd w:val="clear" w:color="auto" w:fill="FFFFFF"/>
            <w:noWrap/>
            <w:vAlign w:val="bottom"/>
          </w:tcPr>
          <w:p w14:paraId="400771DB"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szCs w:val="17"/>
                <w:lang w:val="fr-FR"/>
              </w:rPr>
            </w:pPr>
            <w:r w:rsidRPr="00A66C9F">
              <w:rPr>
                <w:b/>
                <w:bCs/>
                <w:sz w:val="17"/>
                <w:lang w:val="fr-FR"/>
              </w:rPr>
              <w:t>20 412 531</w:t>
            </w:r>
          </w:p>
        </w:tc>
      </w:tr>
      <w:tr w:rsidR="00744544" w:rsidRPr="00A66C9F" w14:paraId="17C93A98" w14:textId="77777777" w:rsidTr="00107D5D">
        <w:tc>
          <w:tcPr>
            <w:tcW w:w="2700" w:type="dxa"/>
            <w:tcBorders>
              <w:top w:val="single" w:sz="4" w:space="0" w:color="auto"/>
            </w:tcBorders>
            <w:shd w:val="clear" w:color="auto" w:fill="FFFFFF"/>
            <w:noWrap/>
            <w:vAlign w:val="bottom"/>
            <w:hideMark/>
          </w:tcPr>
          <w:p w14:paraId="551AB592" w14:textId="77777777" w:rsidR="00744544" w:rsidRPr="00A66C9F" w:rsidRDefault="00744544" w:rsidP="00107D5D">
            <w:pPr>
              <w:tabs>
                <w:tab w:val="left" w:pos="288"/>
                <w:tab w:val="left" w:pos="576"/>
                <w:tab w:val="left" w:pos="864"/>
                <w:tab w:val="left" w:pos="1152"/>
              </w:tabs>
              <w:suppressAutoHyphens/>
              <w:spacing w:before="81" w:after="40" w:line="210" w:lineRule="exact"/>
              <w:ind w:right="40"/>
              <w:rPr>
                <w:sz w:val="17"/>
                <w:szCs w:val="17"/>
                <w:lang w:val="fr-FR"/>
              </w:rPr>
            </w:pPr>
            <w:r w:rsidRPr="00A66C9F">
              <w:rPr>
                <w:b/>
                <w:bCs/>
                <w:sz w:val="17"/>
                <w:lang w:val="fr-FR"/>
              </w:rPr>
              <w:t>Actifs réels</w:t>
            </w:r>
          </w:p>
        </w:tc>
        <w:tc>
          <w:tcPr>
            <w:tcW w:w="1155" w:type="dxa"/>
            <w:tcBorders>
              <w:top w:val="single" w:sz="4" w:space="0" w:color="auto"/>
            </w:tcBorders>
            <w:shd w:val="clear" w:color="auto" w:fill="FFFFFF"/>
            <w:noWrap/>
            <w:vAlign w:val="bottom"/>
            <w:hideMark/>
          </w:tcPr>
          <w:p w14:paraId="7CB4895D" w14:textId="77777777" w:rsidR="00744544" w:rsidRPr="00A66C9F" w:rsidRDefault="00744544" w:rsidP="00107D5D">
            <w:pPr>
              <w:tabs>
                <w:tab w:val="left" w:pos="288"/>
                <w:tab w:val="left" w:pos="576"/>
                <w:tab w:val="left" w:pos="864"/>
                <w:tab w:val="left" w:pos="1152"/>
              </w:tabs>
              <w:suppressAutoHyphens/>
              <w:spacing w:before="81" w:after="40" w:line="210" w:lineRule="exact"/>
              <w:ind w:right="43"/>
              <w:jc w:val="right"/>
              <w:rPr>
                <w:sz w:val="17"/>
                <w:szCs w:val="17"/>
                <w:lang w:val="fr-FR"/>
              </w:rPr>
            </w:pPr>
          </w:p>
        </w:tc>
        <w:tc>
          <w:tcPr>
            <w:tcW w:w="1155" w:type="dxa"/>
            <w:tcBorders>
              <w:top w:val="single" w:sz="4" w:space="0" w:color="auto"/>
            </w:tcBorders>
            <w:shd w:val="clear" w:color="auto" w:fill="FFFFFF"/>
            <w:noWrap/>
            <w:vAlign w:val="bottom"/>
            <w:hideMark/>
          </w:tcPr>
          <w:p w14:paraId="3506A122" w14:textId="77777777" w:rsidR="00744544" w:rsidRPr="00A66C9F" w:rsidRDefault="00744544" w:rsidP="00107D5D">
            <w:pPr>
              <w:tabs>
                <w:tab w:val="left" w:pos="288"/>
                <w:tab w:val="left" w:pos="576"/>
                <w:tab w:val="left" w:pos="864"/>
                <w:tab w:val="left" w:pos="1152"/>
              </w:tabs>
              <w:suppressAutoHyphens/>
              <w:spacing w:before="81" w:after="40" w:line="210" w:lineRule="exact"/>
              <w:ind w:right="43"/>
              <w:jc w:val="right"/>
              <w:rPr>
                <w:sz w:val="17"/>
                <w:szCs w:val="17"/>
                <w:lang w:val="fr-FR"/>
              </w:rPr>
            </w:pPr>
          </w:p>
        </w:tc>
        <w:tc>
          <w:tcPr>
            <w:tcW w:w="1155" w:type="dxa"/>
            <w:tcBorders>
              <w:top w:val="single" w:sz="4" w:space="0" w:color="auto"/>
            </w:tcBorders>
            <w:shd w:val="clear" w:color="auto" w:fill="FFFFFF"/>
            <w:noWrap/>
            <w:vAlign w:val="bottom"/>
            <w:hideMark/>
          </w:tcPr>
          <w:p w14:paraId="5A606200" w14:textId="77777777" w:rsidR="00744544" w:rsidRPr="00A66C9F" w:rsidRDefault="00744544" w:rsidP="00107D5D">
            <w:pPr>
              <w:tabs>
                <w:tab w:val="left" w:pos="288"/>
                <w:tab w:val="left" w:pos="576"/>
                <w:tab w:val="left" w:pos="864"/>
                <w:tab w:val="left" w:pos="1152"/>
              </w:tabs>
              <w:suppressAutoHyphens/>
              <w:spacing w:before="81" w:after="40" w:line="210" w:lineRule="exact"/>
              <w:ind w:right="43"/>
              <w:jc w:val="right"/>
              <w:rPr>
                <w:sz w:val="17"/>
                <w:szCs w:val="17"/>
                <w:lang w:val="fr-FR"/>
              </w:rPr>
            </w:pPr>
          </w:p>
        </w:tc>
        <w:tc>
          <w:tcPr>
            <w:tcW w:w="1155" w:type="dxa"/>
            <w:tcBorders>
              <w:top w:val="single" w:sz="4" w:space="0" w:color="auto"/>
            </w:tcBorders>
            <w:shd w:val="clear" w:color="auto" w:fill="FFFFFF"/>
            <w:noWrap/>
            <w:vAlign w:val="bottom"/>
            <w:hideMark/>
          </w:tcPr>
          <w:p w14:paraId="3E9C933C" w14:textId="77777777" w:rsidR="00744544" w:rsidRPr="00A66C9F" w:rsidRDefault="00744544" w:rsidP="00107D5D">
            <w:pPr>
              <w:tabs>
                <w:tab w:val="left" w:pos="288"/>
                <w:tab w:val="left" w:pos="576"/>
                <w:tab w:val="left" w:pos="864"/>
                <w:tab w:val="left" w:pos="1152"/>
              </w:tabs>
              <w:suppressAutoHyphens/>
              <w:spacing w:before="81" w:after="40" w:line="210" w:lineRule="exact"/>
              <w:ind w:right="43"/>
              <w:jc w:val="right"/>
              <w:rPr>
                <w:sz w:val="17"/>
                <w:szCs w:val="17"/>
                <w:lang w:val="fr-FR"/>
              </w:rPr>
            </w:pPr>
          </w:p>
        </w:tc>
      </w:tr>
      <w:tr w:rsidR="00744544" w:rsidRPr="00A66C9F" w14:paraId="79AD0DD2" w14:textId="77777777" w:rsidTr="00107D5D">
        <w:tc>
          <w:tcPr>
            <w:tcW w:w="2700" w:type="dxa"/>
            <w:shd w:val="clear" w:color="auto" w:fill="FFFFFF"/>
            <w:noWrap/>
            <w:vAlign w:val="bottom"/>
            <w:hideMark/>
          </w:tcPr>
          <w:p w14:paraId="1DD98BD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Fonds de placement immobilier</w:t>
            </w:r>
          </w:p>
        </w:tc>
        <w:tc>
          <w:tcPr>
            <w:tcW w:w="1155" w:type="dxa"/>
            <w:shd w:val="clear" w:color="auto" w:fill="FFFFFF"/>
            <w:noWrap/>
            <w:vAlign w:val="bottom"/>
            <w:hideMark/>
          </w:tcPr>
          <w:p w14:paraId="3DD7BBC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1155" w:type="dxa"/>
            <w:shd w:val="clear" w:color="auto" w:fill="FFFFFF"/>
            <w:noWrap/>
            <w:vAlign w:val="bottom"/>
            <w:hideMark/>
          </w:tcPr>
          <w:p w14:paraId="184AE1D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229 906</w:t>
            </w:r>
          </w:p>
        </w:tc>
        <w:tc>
          <w:tcPr>
            <w:tcW w:w="1155" w:type="dxa"/>
            <w:shd w:val="clear" w:color="auto" w:fill="FFFFFF"/>
            <w:noWrap/>
            <w:vAlign w:val="bottom"/>
            <w:hideMark/>
          </w:tcPr>
          <w:p w14:paraId="0BC698D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4 818 178 </w:t>
            </w:r>
          </w:p>
        </w:tc>
        <w:tc>
          <w:tcPr>
            <w:tcW w:w="1155" w:type="dxa"/>
            <w:shd w:val="clear" w:color="auto" w:fill="FFFFFF"/>
            <w:noWrap/>
            <w:vAlign w:val="bottom"/>
            <w:hideMark/>
          </w:tcPr>
          <w:p w14:paraId="5CE288F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5 048 084 </w:t>
            </w:r>
          </w:p>
        </w:tc>
      </w:tr>
      <w:tr w:rsidR="00744544" w:rsidRPr="00A66C9F" w14:paraId="2F5EFF9B" w14:textId="77777777" w:rsidTr="00107D5D">
        <w:tc>
          <w:tcPr>
            <w:tcW w:w="2700" w:type="dxa"/>
            <w:shd w:val="clear" w:color="auto" w:fill="FFFFFF"/>
            <w:noWrap/>
            <w:vAlign w:val="bottom"/>
            <w:hideMark/>
          </w:tcPr>
          <w:p w14:paraId="7EF823E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Infrastructures</w:t>
            </w:r>
          </w:p>
        </w:tc>
        <w:tc>
          <w:tcPr>
            <w:tcW w:w="1155" w:type="dxa"/>
            <w:shd w:val="clear" w:color="auto" w:fill="FFFFFF"/>
            <w:noWrap/>
            <w:vAlign w:val="bottom"/>
            <w:hideMark/>
          </w:tcPr>
          <w:p w14:paraId="1087380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1155" w:type="dxa"/>
            <w:shd w:val="clear" w:color="auto" w:fill="FFFFFF"/>
            <w:noWrap/>
            <w:vAlign w:val="bottom"/>
            <w:hideMark/>
          </w:tcPr>
          <w:p w14:paraId="2E7C506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1155" w:type="dxa"/>
            <w:shd w:val="clear" w:color="auto" w:fill="FFFFFF"/>
            <w:noWrap/>
            <w:vAlign w:val="bottom"/>
            <w:hideMark/>
          </w:tcPr>
          <w:p w14:paraId="7225A20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137 037 </w:t>
            </w:r>
          </w:p>
        </w:tc>
        <w:tc>
          <w:tcPr>
            <w:tcW w:w="1155" w:type="dxa"/>
            <w:shd w:val="clear" w:color="auto" w:fill="FFFFFF"/>
            <w:noWrap/>
            <w:vAlign w:val="bottom"/>
            <w:hideMark/>
          </w:tcPr>
          <w:p w14:paraId="28C52D1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137 037 </w:t>
            </w:r>
          </w:p>
        </w:tc>
      </w:tr>
      <w:tr w:rsidR="00744544" w:rsidRPr="00A66C9F" w14:paraId="2439F4C8" w14:textId="77777777" w:rsidTr="00107D5D">
        <w:tc>
          <w:tcPr>
            <w:tcW w:w="2700" w:type="dxa"/>
            <w:tcBorders>
              <w:bottom w:val="single" w:sz="4" w:space="0" w:color="auto"/>
            </w:tcBorders>
            <w:shd w:val="clear" w:color="auto" w:fill="FFFFFF"/>
            <w:noWrap/>
            <w:vAlign w:val="bottom"/>
            <w:hideMark/>
          </w:tcPr>
          <w:p w14:paraId="6A809EA5" w14:textId="77777777" w:rsidR="00744544" w:rsidRPr="00A66C9F" w:rsidRDefault="00744544" w:rsidP="00107D5D">
            <w:pPr>
              <w:keepNext/>
              <w:tabs>
                <w:tab w:val="left" w:pos="288"/>
                <w:tab w:val="left" w:pos="576"/>
                <w:tab w:val="left" w:pos="864"/>
                <w:tab w:val="left" w:pos="1152"/>
              </w:tabs>
              <w:suppressAutoHyphens/>
              <w:spacing w:before="40" w:after="81" w:line="210" w:lineRule="exact"/>
              <w:ind w:right="40"/>
              <w:rPr>
                <w:sz w:val="17"/>
                <w:szCs w:val="17"/>
                <w:lang w:val="fr-FR"/>
              </w:rPr>
            </w:pPr>
            <w:r w:rsidRPr="00A66C9F">
              <w:rPr>
                <w:sz w:val="17"/>
                <w:lang w:val="fr-FR"/>
              </w:rPr>
              <w:lastRenderedPageBreak/>
              <w:t>Forêts exploitables</w:t>
            </w:r>
          </w:p>
        </w:tc>
        <w:tc>
          <w:tcPr>
            <w:tcW w:w="1155" w:type="dxa"/>
            <w:tcBorders>
              <w:bottom w:val="single" w:sz="4" w:space="0" w:color="auto"/>
            </w:tcBorders>
            <w:shd w:val="clear" w:color="auto" w:fill="FFFFFF"/>
            <w:noWrap/>
            <w:vAlign w:val="bottom"/>
            <w:hideMark/>
          </w:tcPr>
          <w:p w14:paraId="635308C4" w14:textId="77777777" w:rsidR="00744544" w:rsidRPr="00A66C9F" w:rsidRDefault="00744544" w:rsidP="00107D5D">
            <w:pPr>
              <w:keepNext/>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szCs w:val="17"/>
                <w:lang w:val="fr-FR"/>
              </w:rPr>
              <w:t xml:space="preserve"> –</w:t>
            </w:r>
          </w:p>
        </w:tc>
        <w:tc>
          <w:tcPr>
            <w:tcW w:w="1155" w:type="dxa"/>
            <w:tcBorders>
              <w:bottom w:val="single" w:sz="4" w:space="0" w:color="auto"/>
            </w:tcBorders>
            <w:shd w:val="clear" w:color="auto" w:fill="FFFFFF"/>
            <w:noWrap/>
            <w:vAlign w:val="bottom"/>
            <w:hideMark/>
          </w:tcPr>
          <w:p w14:paraId="03842578" w14:textId="77777777" w:rsidR="00744544" w:rsidRPr="00A66C9F" w:rsidRDefault="00744544" w:rsidP="00107D5D">
            <w:pPr>
              <w:keepNext/>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szCs w:val="17"/>
                <w:lang w:val="fr-FR"/>
              </w:rPr>
              <w:t xml:space="preserve"> –</w:t>
            </w:r>
          </w:p>
        </w:tc>
        <w:tc>
          <w:tcPr>
            <w:tcW w:w="1155" w:type="dxa"/>
            <w:tcBorders>
              <w:bottom w:val="single" w:sz="4" w:space="0" w:color="auto"/>
            </w:tcBorders>
            <w:shd w:val="clear" w:color="auto" w:fill="FFFFFF"/>
            <w:noWrap/>
            <w:vAlign w:val="bottom"/>
            <w:hideMark/>
          </w:tcPr>
          <w:p w14:paraId="7F9E0D09" w14:textId="77777777" w:rsidR="00744544" w:rsidRPr="00A66C9F" w:rsidRDefault="00744544" w:rsidP="00107D5D">
            <w:pPr>
              <w:keepNext/>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lang w:val="fr-FR"/>
              </w:rPr>
              <w:t xml:space="preserve"> 16 714 </w:t>
            </w:r>
          </w:p>
        </w:tc>
        <w:tc>
          <w:tcPr>
            <w:tcW w:w="1155" w:type="dxa"/>
            <w:tcBorders>
              <w:bottom w:val="single" w:sz="4" w:space="0" w:color="auto"/>
            </w:tcBorders>
            <w:shd w:val="clear" w:color="auto" w:fill="FFFFFF"/>
            <w:noWrap/>
            <w:vAlign w:val="bottom"/>
            <w:hideMark/>
          </w:tcPr>
          <w:p w14:paraId="6D67050F" w14:textId="77777777" w:rsidR="00744544" w:rsidRPr="00A66C9F" w:rsidRDefault="00744544" w:rsidP="00107D5D">
            <w:pPr>
              <w:keepNext/>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lang w:val="fr-FR"/>
              </w:rPr>
              <w:t xml:space="preserve"> 16 714 </w:t>
            </w:r>
          </w:p>
        </w:tc>
      </w:tr>
      <w:tr w:rsidR="00744544" w:rsidRPr="00A66C9F" w14:paraId="0C086202" w14:textId="77777777" w:rsidTr="00107D5D">
        <w:tc>
          <w:tcPr>
            <w:tcW w:w="2700" w:type="dxa"/>
            <w:tcBorders>
              <w:top w:val="single" w:sz="4" w:space="0" w:color="auto"/>
              <w:bottom w:val="single" w:sz="4" w:space="0" w:color="auto"/>
            </w:tcBorders>
            <w:shd w:val="clear" w:color="auto" w:fill="FFFFFF"/>
            <w:noWrap/>
            <w:vAlign w:val="bottom"/>
          </w:tcPr>
          <w:p w14:paraId="5E705886" w14:textId="77777777" w:rsidR="00744544" w:rsidRPr="00A66C9F" w:rsidRDefault="00744544" w:rsidP="00107D5D">
            <w:pPr>
              <w:tabs>
                <w:tab w:val="left" w:pos="288"/>
                <w:tab w:val="left" w:pos="576"/>
                <w:tab w:val="left" w:pos="864"/>
                <w:tab w:val="left" w:pos="1152"/>
              </w:tabs>
              <w:suppressAutoHyphens/>
              <w:spacing w:before="81" w:after="81" w:line="210" w:lineRule="exact"/>
              <w:ind w:left="220" w:right="40" w:hanging="216"/>
              <w:rPr>
                <w:b/>
                <w:bCs/>
                <w:sz w:val="17"/>
                <w:szCs w:val="17"/>
                <w:lang w:val="fr-FR"/>
              </w:rPr>
            </w:pPr>
            <w:r w:rsidRPr="00A66C9F">
              <w:rPr>
                <w:b/>
                <w:bCs/>
                <w:sz w:val="17"/>
                <w:lang w:val="fr-FR"/>
              </w:rPr>
              <w:tab/>
              <w:t>Total des actifs réels</w:t>
            </w:r>
          </w:p>
        </w:tc>
        <w:tc>
          <w:tcPr>
            <w:tcW w:w="1155" w:type="dxa"/>
            <w:tcBorders>
              <w:top w:val="single" w:sz="4" w:space="0" w:color="auto"/>
              <w:bottom w:val="single" w:sz="4" w:space="0" w:color="auto"/>
            </w:tcBorders>
            <w:shd w:val="clear" w:color="auto" w:fill="FFFFFF"/>
            <w:noWrap/>
            <w:vAlign w:val="bottom"/>
            <w:hideMark/>
          </w:tcPr>
          <w:p w14:paraId="1700EB8B"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bCs/>
                <w:sz w:val="17"/>
                <w:szCs w:val="17"/>
                <w:lang w:val="fr-FR"/>
              </w:rPr>
            </w:pPr>
            <w:r w:rsidRPr="00A66C9F">
              <w:rPr>
                <w:b/>
                <w:bCs/>
                <w:sz w:val="17"/>
                <w:szCs w:val="17"/>
                <w:lang w:val="fr-FR"/>
              </w:rPr>
              <w:t xml:space="preserve"> –</w:t>
            </w:r>
          </w:p>
        </w:tc>
        <w:tc>
          <w:tcPr>
            <w:tcW w:w="1155" w:type="dxa"/>
            <w:tcBorders>
              <w:top w:val="single" w:sz="4" w:space="0" w:color="auto"/>
              <w:bottom w:val="single" w:sz="4" w:space="0" w:color="auto"/>
            </w:tcBorders>
            <w:shd w:val="clear" w:color="auto" w:fill="FFFFFF"/>
            <w:noWrap/>
            <w:vAlign w:val="bottom"/>
          </w:tcPr>
          <w:p w14:paraId="1958E553"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bCs/>
                <w:sz w:val="17"/>
                <w:szCs w:val="17"/>
                <w:lang w:val="fr-FR"/>
              </w:rPr>
            </w:pPr>
            <w:r w:rsidRPr="00A66C9F">
              <w:rPr>
                <w:b/>
                <w:bCs/>
                <w:sz w:val="17"/>
                <w:lang w:val="fr-FR"/>
              </w:rPr>
              <w:t>229 906</w:t>
            </w:r>
          </w:p>
        </w:tc>
        <w:tc>
          <w:tcPr>
            <w:tcW w:w="1155" w:type="dxa"/>
            <w:tcBorders>
              <w:top w:val="single" w:sz="4" w:space="0" w:color="auto"/>
              <w:bottom w:val="single" w:sz="4" w:space="0" w:color="auto"/>
            </w:tcBorders>
            <w:shd w:val="clear" w:color="auto" w:fill="FFFFFF"/>
            <w:noWrap/>
            <w:vAlign w:val="bottom"/>
          </w:tcPr>
          <w:p w14:paraId="026272FA"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bCs/>
                <w:sz w:val="17"/>
                <w:szCs w:val="17"/>
                <w:lang w:val="fr-FR"/>
              </w:rPr>
            </w:pPr>
            <w:r w:rsidRPr="00A66C9F">
              <w:rPr>
                <w:b/>
                <w:bCs/>
                <w:sz w:val="17"/>
                <w:lang w:val="fr-FR"/>
              </w:rPr>
              <w:t>4 971 929</w:t>
            </w:r>
          </w:p>
        </w:tc>
        <w:tc>
          <w:tcPr>
            <w:tcW w:w="1155" w:type="dxa"/>
            <w:tcBorders>
              <w:top w:val="single" w:sz="4" w:space="0" w:color="auto"/>
              <w:bottom w:val="single" w:sz="4" w:space="0" w:color="auto"/>
            </w:tcBorders>
            <w:shd w:val="clear" w:color="auto" w:fill="FFFFFF"/>
            <w:noWrap/>
            <w:vAlign w:val="bottom"/>
          </w:tcPr>
          <w:p w14:paraId="15E1A1C9"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bCs/>
                <w:sz w:val="17"/>
                <w:szCs w:val="17"/>
                <w:lang w:val="fr-FR"/>
              </w:rPr>
            </w:pPr>
            <w:r w:rsidRPr="00A66C9F">
              <w:rPr>
                <w:b/>
                <w:bCs/>
                <w:sz w:val="17"/>
                <w:lang w:val="fr-FR"/>
              </w:rPr>
              <w:t>5 201 835</w:t>
            </w:r>
          </w:p>
        </w:tc>
      </w:tr>
      <w:tr w:rsidR="00744544" w:rsidRPr="00A66C9F" w14:paraId="2DDF7DF3" w14:textId="77777777" w:rsidTr="00107D5D">
        <w:tc>
          <w:tcPr>
            <w:tcW w:w="2700" w:type="dxa"/>
            <w:tcBorders>
              <w:top w:val="single" w:sz="4" w:space="0" w:color="auto"/>
            </w:tcBorders>
            <w:shd w:val="clear" w:color="auto" w:fill="FFFFFF"/>
            <w:noWrap/>
            <w:vAlign w:val="bottom"/>
            <w:hideMark/>
          </w:tcPr>
          <w:p w14:paraId="38A4A3DE" w14:textId="77777777" w:rsidR="00744544" w:rsidRPr="00A66C9F" w:rsidRDefault="00744544" w:rsidP="00107D5D">
            <w:pPr>
              <w:tabs>
                <w:tab w:val="left" w:pos="288"/>
                <w:tab w:val="left" w:pos="576"/>
                <w:tab w:val="left" w:pos="864"/>
                <w:tab w:val="left" w:pos="1152"/>
              </w:tabs>
              <w:suppressAutoHyphens/>
              <w:spacing w:before="81" w:after="40" w:line="210" w:lineRule="exact"/>
              <w:ind w:right="40"/>
              <w:rPr>
                <w:b/>
                <w:bCs/>
                <w:sz w:val="17"/>
                <w:szCs w:val="17"/>
                <w:lang w:val="fr-FR"/>
              </w:rPr>
            </w:pPr>
            <w:r w:rsidRPr="00A66C9F">
              <w:rPr>
                <w:b/>
                <w:bCs/>
                <w:sz w:val="17"/>
                <w:lang w:val="fr-FR"/>
              </w:rPr>
              <w:t>Investissements alternatifs et divers</w:t>
            </w:r>
          </w:p>
        </w:tc>
        <w:tc>
          <w:tcPr>
            <w:tcW w:w="1155" w:type="dxa"/>
            <w:tcBorders>
              <w:top w:val="single" w:sz="4" w:space="0" w:color="auto"/>
            </w:tcBorders>
            <w:shd w:val="clear" w:color="auto" w:fill="FFFFFF"/>
            <w:noWrap/>
            <w:vAlign w:val="bottom"/>
          </w:tcPr>
          <w:p w14:paraId="1F2F5DE2" w14:textId="77777777" w:rsidR="00744544" w:rsidRPr="00A66C9F" w:rsidRDefault="00744544" w:rsidP="00107D5D">
            <w:pPr>
              <w:tabs>
                <w:tab w:val="left" w:pos="288"/>
                <w:tab w:val="left" w:pos="576"/>
                <w:tab w:val="left" w:pos="864"/>
                <w:tab w:val="left" w:pos="1152"/>
              </w:tabs>
              <w:suppressAutoHyphens/>
              <w:spacing w:before="81" w:after="40" w:line="210" w:lineRule="exact"/>
              <w:ind w:right="43"/>
              <w:jc w:val="right"/>
              <w:rPr>
                <w:sz w:val="17"/>
                <w:szCs w:val="17"/>
                <w:lang w:val="fr-FR"/>
              </w:rPr>
            </w:pPr>
          </w:p>
        </w:tc>
        <w:tc>
          <w:tcPr>
            <w:tcW w:w="1155" w:type="dxa"/>
            <w:tcBorders>
              <w:top w:val="single" w:sz="4" w:space="0" w:color="auto"/>
            </w:tcBorders>
            <w:shd w:val="clear" w:color="auto" w:fill="FFFFFF"/>
            <w:noWrap/>
            <w:vAlign w:val="bottom"/>
          </w:tcPr>
          <w:p w14:paraId="77315F98" w14:textId="77777777" w:rsidR="00744544" w:rsidRPr="00A66C9F" w:rsidRDefault="00744544" w:rsidP="00107D5D">
            <w:pPr>
              <w:tabs>
                <w:tab w:val="left" w:pos="288"/>
                <w:tab w:val="left" w:pos="576"/>
                <w:tab w:val="left" w:pos="864"/>
                <w:tab w:val="left" w:pos="1152"/>
              </w:tabs>
              <w:suppressAutoHyphens/>
              <w:spacing w:before="81" w:after="40" w:line="210" w:lineRule="exact"/>
              <w:ind w:right="43"/>
              <w:jc w:val="right"/>
              <w:rPr>
                <w:sz w:val="17"/>
                <w:szCs w:val="17"/>
                <w:lang w:val="fr-FR"/>
              </w:rPr>
            </w:pPr>
          </w:p>
        </w:tc>
        <w:tc>
          <w:tcPr>
            <w:tcW w:w="1155" w:type="dxa"/>
            <w:tcBorders>
              <w:top w:val="single" w:sz="4" w:space="0" w:color="auto"/>
            </w:tcBorders>
            <w:shd w:val="clear" w:color="auto" w:fill="FFFFFF"/>
            <w:noWrap/>
            <w:vAlign w:val="bottom"/>
          </w:tcPr>
          <w:p w14:paraId="3C2D48C6" w14:textId="77777777" w:rsidR="00744544" w:rsidRPr="00A66C9F" w:rsidRDefault="00744544" w:rsidP="00107D5D">
            <w:pPr>
              <w:tabs>
                <w:tab w:val="left" w:pos="288"/>
                <w:tab w:val="left" w:pos="576"/>
                <w:tab w:val="left" w:pos="864"/>
                <w:tab w:val="left" w:pos="1152"/>
              </w:tabs>
              <w:suppressAutoHyphens/>
              <w:spacing w:before="81" w:after="40" w:line="210" w:lineRule="exact"/>
              <w:ind w:right="43"/>
              <w:jc w:val="right"/>
              <w:rPr>
                <w:sz w:val="17"/>
                <w:szCs w:val="17"/>
                <w:lang w:val="fr-FR"/>
              </w:rPr>
            </w:pPr>
          </w:p>
        </w:tc>
        <w:tc>
          <w:tcPr>
            <w:tcW w:w="1155" w:type="dxa"/>
            <w:tcBorders>
              <w:top w:val="single" w:sz="4" w:space="0" w:color="auto"/>
            </w:tcBorders>
            <w:shd w:val="clear" w:color="auto" w:fill="FFFFFF"/>
            <w:noWrap/>
            <w:vAlign w:val="bottom"/>
          </w:tcPr>
          <w:p w14:paraId="304DA5D4" w14:textId="77777777" w:rsidR="00744544" w:rsidRPr="00A66C9F" w:rsidRDefault="00744544" w:rsidP="00107D5D">
            <w:pPr>
              <w:tabs>
                <w:tab w:val="left" w:pos="288"/>
                <w:tab w:val="left" w:pos="576"/>
                <w:tab w:val="left" w:pos="864"/>
                <w:tab w:val="left" w:pos="1152"/>
              </w:tabs>
              <w:suppressAutoHyphens/>
              <w:spacing w:before="81" w:after="40" w:line="210" w:lineRule="exact"/>
              <w:ind w:right="43"/>
              <w:jc w:val="right"/>
              <w:rPr>
                <w:sz w:val="17"/>
                <w:szCs w:val="17"/>
                <w:lang w:val="fr-FR"/>
              </w:rPr>
            </w:pPr>
          </w:p>
        </w:tc>
      </w:tr>
      <w:tr w:rsidR="00744544" w:rsidRPr="00A66C9F" w14:paraId="2A8A4020" w14:textId="77777777" w:rsidTr="00107D5D">
        <w:tc>
          <w:tcPr>
            <w:tcW w:w="2700" w:type="dxa"/>
            <w:shd w:val="clear" w:color="auto" w:fill="FFFFFF"/>
            <w:noWrap/>
            <w:vAlign w:val="bottom"/>
            <w:hideMark/>
          </w:tcPr>
          <w:p w14:paraId="71EF952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Capital-investissement</w:t>
            </w:r>
          </w:p>
        </w:tc>
        <w:tc>
          <w:tcPr>
            <w:tcW w:w="1155" w:type="dxa"/>
            <w:shd w:val="clear" w:color="auto" w:fill="FFFFFF"/>
            <w:noWrap/>
            <w:vAlign w:val="bottom"/>
            <w:hideMark/>
          </w:tcPr>
          <w:p w14:paraId="0F3952F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1155" w:type="dxa"/>
            <w:shd w:val="clear" w:color="auto" w:fill="FFFFFF"/>
            <w:noWrap/>
            <w:vAlign w:val="bottom"/>
            <w:hideMark/>
          </w:tcPr>
          <w:p w14:paraId="2530429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1155" w:type="dxa"/>
            <w:shd w:val="clear" w:color="auto" w:fill="FFFFFF"/>
            <w:noWrap/>
            <w:vAlign w:val="bottom"/>
            <w:hideMark/>
          </w:tcPr>
          <w:p w14:paraId="47768C0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3 562 570 </w:t>
            </w:r>
          </w:p>
        </w:tc>
        <w:tc>
          <w:tcPr>
            <w:tcW w:w="1155" w:type="dxa"/>
            <w:shd w:val="clear" w:color="auto" w:fill="FFFFFF"/>
            <w:noWrap/>
            <w:vAlign w:val="bottom"/>
            <w:hideMark/>
          </w:tcPr>
          <w:p w14:paraId="29E753E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3 562 570 </w:t>
            </w:r>
          </w:p>
        </w:tc>
      </w:tr>
      <w:tr w:rsidR="00744544" w:rsidRPr="00A66C9F" w14:paraId="4BC4261C" w14:textId="77777777" w:rsidTr="00107D5D">
        <w:tc>
          <w:tcPr>
            <w:tcW w:w="2700" w:type="dxa"/>
            <w:tcBorders>
              <w:bottom w:val="single" w:sz="4" w:space="0" w:color="auto"/>
            </w:tcBorders>
            <w:shd w:val="clear" w:color="auto" w:fill="FFFFFF"/>
            <w:noWrap/>
            <w:vAlign w:val="bottom"/>
            <w:hideMark/>
          </w:tcPr>
          <w:p w14:paraId="14CACD7D" w14:textId="77777777" w:rsidR="00744544" w:rsidRPr="00A66C9F" w:rsidRDefault="00744544" w:rsidP="00107D5D">
            <w:pPr>
              <w:tabs>
                <w:tab w:val="left" w:pos="288"/>
                <w:tab w:val="left" w:pos="576"/>
                <w:tab w:val="left" w:pos="864"/>
                <w:tab w:val="left" w:pos="1152"/>
              </w:tabs>
              <w:suppressAutoHyphens/>
              <w:spacing w:before="40" w:after="81" w:line="210" w:lineRule="exact"/>
              <w:ind w:right="40"/>
              <w:rPr>
                <w:sz w:val="17"/>
                <w:szCs w:val="17"/>
                <w:lang w:val="fr-FR"/>
              </w:rPr>
            </w:pPr>
            <w:r w:rsidRPr="00A66C9F">
              <w:rPr>
                <w:sz w:val="17"/>
                <w:lang w:val="fr-FR"/>
              </w:rPr>
              <w:t>Fonds de placement sur les marchés de produits de base</w:t>
            </w:r>
          </w:p>
        </w:tc>
        <w:tc>
          <w:tcPr>
            <w:tcW w:w="1155" w:type="dxa"/>
            <w:tcBorders>
              <w:bottom w:val="single" w:sz="4" w:space="0" w:color="auto"/>
            </w:tcBorders>
            <w:shd w:val="clear" w:color="auto" w:fill="FFFFFF"/>
            <w:noWrap/>
            <w:vAlign w:val="bottom"/>
            <w:hideMark/>
          </w:tcPr>
          <w:p w14:paraId="433A0149"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szCs w:val="17"/>
                <w:lang w:val="fr-FR"/>
              </w:rPr>
              <w:t xml:space="preserve"> –</w:t>
            </w:r>
          </w:p>
        </w:tc>
        <w:tc>
          <w:tcPr>
            <w:tcW w:w="1155" w:type="dxa"/>
            <w:tcBorders>
              <w:bottom w:val="single" w:sz="4" w:space="0" w:color="auto"/>
            </w:tcBorders>
            <w:shd w:val="clear" w:color="auto" w:fill="FFFFFF"/>
            <w:noWrap/>
            <w:vAlign w:val="bottom"/>
            <w:hideMark/>
          </w:tcPr>
          <w:p w14:paraId="2350354C"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szCs w:val="17"/>
                <w:lang w:val="fr-FR"/>
              </w:rPr>
              <w:t xml:space="preserve"> –</w:t>
            </w:r>
          </w:p>
        </w:tc>
        <w:tc>
          <w:tcPr>
            <w:tcW w:w="1155" w:type="dxa"/>
            <w:tcBorders>
              <w:bottom w:val="single" w:sz="4" w:space="0" w:color="auto"/>
            </w:tcBorders>
            <w:shd w:val="clear" w:color="auto" w:fill="FFFFFF"/>
            <w:noWrap/>
            <w:vAlign w:val="bottom"/>
            <w:hideMark/>
          </w:tcPr>
          <w:p w14:paraId="57196E0A"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lang w:val="fr-FR"/>
              </w:rPr>
              <w:t xml:space="preserve"> 63 897 </w:t>
            </w:r>
          </w:p>
        </w:tc>
        <w:tc>
          <w:tcPr>
            <w:tcW w:w="1155" w:type="dxa"/>
            <w:tcBorders>
              <w:bottom w:val="single" w:sz="4" w:space="0" w:color="auto"/>
            </w:tcBorders>
            <w:shd w:val="clear" w:color="auto" w:fill="FFFFFF"/>
            <w:noWrap/>
            <w:vAlign w:val="bottom"/>
            <w:hideMark/>
          </w:tcPr>
          <w:p w14:paraId="059F4FC7"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lang w:val="fr-FR"/>
              </w:rPr>
              <w:t xml:space="preserve"> 63 897 </w:t>
            </w:r>
          </w:p>
        </w:tc>
      </w:tr>
      <w:tr w:rsidR="00744544" w:rsidRPr="00A66C9F" w14:paraId="434C7CD7" w14:textId="77777777" w:rsidTr="00107D5D">
        <w:tc>
          <w:tcPr>
            <w:tcW w:w="2700" w:type="dxa"/>
            <w:tcBorders>
              <w:top w:val="single" w:sz="4" w:space="0" w:color="auto"/>
              <w:bottom w:val="single" w:sz="4" w:space="0" w:color="auto"/>
            </w:tcBorders>
            <w:shd w:val="clear" w:color="auto" w:fill="FFFFFF"/>
            <w:noWrap/>
            <w:vAlign w:val="bottom"/>
            <w:hideMark/>
          </w:tcPr>
          <w:p w14:paraId="3EF6EF71" w14:textId="77777777" w:rsidR="00744544" w:rsidRPr="00A66C9F" w:rsidRDefault="00744544" w:rsidP="00107D5D">
            <w:pPr>
              <w:tabs>
                <w:tab w:val="left" w:pos="288"/>
                <w:tab w:val="left" w:pos="576"/>
                <w:tab w:val="left" w:pos="864"/>
                <w:tab w:val="left" w:pos="1152"/>
              </w:tabs>
              <w:suppressAutoHyphens/>
              <w:spacing w:before="81" w:after="81" w:line="210" w:lineRule="exact"/>
              <w:ind w:left="288" w:right="43" w:hanging="288"/>
              <w:rPr>
                <w:b/>
                <w:sz w:val="17"/>
                <w:szCs w:val="17"/>
                <w:lang w:val="fr-FR"/>
              </w:rPr>
            </w:pPr>
            <w:r w:rsidRPr="00A66C9F">
              <w:rPr>
                <w:b/>
                <w:bCs/>
                <w:sz w:val="17"/>
                <w:lang w:val="fr-FR"/>
              </w:rPr>
              <w:tab/>
              <w:t>Total des investissements alternatifs et divers</w:t>
            </w:r>
          </w:p>
        </w:tc>
        <w:tc>
          <w:tcPr>
            <w:tcW w:w="1155" w:type="dxa"/>
            <w:tcBorders>
              <w:top w:val="single" w:sz="4" w:space="0" w:color="auto"/>
              <w:bottom w:val="single" w:sz="4" w:space="0" w:color="auto"/>
            </w:tcBorders>
            <w:shd w:val="clear" w:color="auto" w:fill="FFFFFF"/>
            <w:noWrap/>
            <w:vAlign w:val="bottom"/>
            <w:hideMark/>
          </w:tcPr>
          <w:p w14:paraId="224C91C7"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szCs w:val="17"/>
                <w:lang w:val="fr-FR"/>
              </w:rPr>
            </w:pPr>
            <w:r w:rsidRPr="00A66C9F">
              <w:rPr>
                <w:b/>
                <w:sz w:val="17"/>
                <w:szCs w:val="17"/>
                <w:lang w:val="fr-FR"/>
              </w:rPr>
              <w:t xml:space="preserve"> –</w:t>
            </w:r>
          </w:p>
        </w:tc>
        <w:tc>
          <w:tcPr>
            <w:tcW w:w="1155" w:type="dxa"/>
            <w:tcBorders>
              <w:top w:val="single" w:sz="4" w:space="0" w:color="auto"/>
              <w:bottom w:val="single" w:sz="4" w:space="0" w:color="auto"/>
            </w:tcBorders>
            <w:shd w:val="clear" w:color="auto" w:fill="FFFFFF"/>
            <w:noWrap/>
            <w:vAlign w:val="bottom"/>
            <w:hideMark/>
          </w:tcPr>
          <w:p w14:paraId="6E813CF5"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szCs w:val="17"/>
                <w:lang w:val="fr-FR"/>
              </w:rPr>
            </w:pPr>
            <w:r w:rsidRPr="00A66C9F">
              <w:rPr>
                <w:b/>
                <w:sz w:val="17"/>
                <w:szCs w:val="17"/>
                <w:lang w:val="fr-FR"/>
              </w:rPr>
              <w:t xml:space="preserve"> –</w:t>
            </w:r>
          </w:p>
        </w:tc>
        <w:tc>
          <w:tcPr>
            <w:tcW w:w="1155" w:type="dxa"/>
            <w:tcBorders>
              <w:top w:val="single" w:sz="4" w:space="0" w:color="auto"/>
              <w:bottom w:val="single" w:sz="4" w:space="0" w:color="auto"/>
            </w:tcBorders>
            <w:shd w:val="clear" w:color="auto" w:fill="FFFFFF"/>
            <w:noWrap/>
            <w:vAlign w:val="bottom"/>
            <w:hideMark/>
          </w:tcPr>
          <w:p w14:paraId="6F0C6FA6"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szCs w:val="17"/>
                <w:lang w:val="fr-FR"/>
              </w:rPr>
            </w:pPr>
            <w:r w:rsidRPr="00A66C9F">
              <w:rPr>
                <w:b/>
                <w:sz w:val="17"/>
                <w:lang w:val="fr-FR"/>
              </w:rPr>
              <w:t xml:space="preserve"> </w:t>
            </w:r>
            <w:r w:rsidRPr="00A66C9F">
              <w:rPr>
                <w:b/>
                <w:bCs/>
                <w:sz w:val="17"/>
                <w:lang w:val="fr-FR"/>
              </w:rPr>
              <w:t>3 626 467</w:t>
            </w:r>
            <w:r w:rsidRPr="00A66C9F">
              <w:rPr>
                <w:b/>
                <w:sz w:val="17"/>
                <w:lang w:val="fr-FR"/>
              </w:rPr>
              <w:t xml:space="preserve"> </w:t>
            </w:r>
          </w:p>
        </w:tc>
        <w:tc>
          <w:tcPr>
            <w:tcW w:w="1155" w:type="dxa"/>
            <w:tcBorders>
              <w:top w:val="single" w:sz="4" w:space="0" w:color="auto"/>
              <w:bottom w:val="single" w:sz="4" w:space="0" w:color="auto"/>
            </w:tcBorders>
            <w:shd w:val="clear" w:color="auto" w:fill="FFFFFF"/>
            <w:noWrap/>
            <w:vAlign w:val="bottom"/>
            <w:hideMark/>
          </w:tcPr>
          <w:p w14:paraId="4B241BD4"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szCs w:val="17"/>
                <w:lang w:val="fr-FR"/>
              </w:rPr>
            </w:pPr>
            <w:r w:rsidRPr="00A66C9F">
              <w:rPr>
                <w:b/>
                <w:bCs/>
                <w:sz w:val="17"/>
                <w:lang w:val="fr-FR"/>
              </w:rPr>
              <w:t>3 626 467</w:t>
            </w:r>
          </w:p>
        </w:tc>
      </w:tr>
      <w:tr w:rsidR="00744544" w:rsidRPr="00A66C9F" w14:paraId="1688D187" w14:textId="77777777" w:rsidTr="00107D5D">
        <w:tc>
          <w:tcPr>
            <w:tcW w:w="2700" w:type="dxa"/>
            <w:tcBorders>
              <w:top w:val="single" w:sz="4" w:space="0" w:color="auto"/>
              <w:bottom w:val="single" w:sz="12" w:space="0" w:color="auto"/>
            </w:tcBorders>
            <w:shd w:val="clear" w:color="auto" w:fill="FFFFFF"/>
            <w:noWrap/>
            <w:vAlign w:val="bottom"/>
          </w:tcPr>
          <w:p w14:paraId="685E225D" w14:textId="77777777" w:rsidR="00744544" w:rsidRPr="00A66C9F" w:rsidRDefault="00744544" w:rsidP="00107D5D">
            <w:pPr>
              <w:tabs>
                <w:tab w:val="left" w:pos="288"/>
                <w:tab w:val="left" w:pos="576"/>
                <w:tab w:val="left" w:pos="864"/>
                <w:tab w:val="left" w:pos="1152"/>
              </w:tabs>
              <w:suppressAutoHyphens/>
              <w:spacing w:before="81" w:after="81" w:line="210" w:lineRule="exact"/>
              <w:ind w:left="288" w:right="43" w:hanging="288"/>
              <w:rPr>
                <w:b/>
                <w:bCs/>
                <w:sz w:val="17"/>
                <w:lang w:val="fr-FR"/>
              </w:rPr>
            </w:pPr>
            <w:r w:rsidRPr="00A66C9F">
              <w:rPr>
                <w:b/>
                <w:bCs/>
                <w:sz w:val="17"/>
                <w:lang w:val="fr-FR"/>
              </w:rPr>
              <w:tab/>
              <w:t>Total</w:t>
            </w:r>
          </w:p>
        </w:tc>
        <w:tc>
          <w:tcPr>
            <w:tcW w:w="1155" w:type="dxa"/>
            <w:tcBorders>
              <w:top w:val="single" w:sz="4" w:space="0" w:color="auto"/>
              <w:bottom w:val="single" w:sz="12" w:space="0" w:color="auto"/>
            </w:tcBorders>
            <w:shd w:val="clear" w:color="auto" w:fill="FFFFFF"/>
            <w:noWrap/>
            <w:vAlign w:val="bottom"/>
          </w:tcPr>
          <w:p w14:paraId="7E5936F4"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szCs w:val="17"/>
                <w:lang w:val="fr-FR"/>
              </w:rPr>
            </w:pPr>
            <w:r w:rsidRPr="00A66C9F">
              <w:rPr>
                <w:b/>
                <w:sz w:val="17"/>
                <w:szCs w:val="17"/>
                <w:lang w:val="fr-FR"/>
              </w:rPr>
              <w:t>42 170 206</w:t>
            </w:r>
          </w:p>
        </w:tc>
        <w:tc>
          <w:tcPr>
            <w:tcW w:w="1155" w:type="dxa"/>
            <w:tcBorders>
              <w:top w:val="single" w:sz="4" w:space="0" w:color="auto"/>
              <w:bottom w:val="single" w:sz="12" w:space="0" w:color="auto"/>
            </w:tcBorders>
            <w:shd w:val="clear" w:color="auto" w:fill="FFFFFF"/>
            <w:noWrap/>
            <w:vAlign w:val="bottom"/>
          </w:tcPr>
          <w:p w14:paraId="3F9E216E"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szCs w:val="17"/>
                <w:lang w:val="fr-FR"/>
              </w:rPr>
            </w:pPr>
            <w:r w:rsidRPr="00A66C9F">
              <w:rPr>
                <w:b/>
                <w:sz w:val="17"/>
                <w:szCs w:val="17"/>
                <w:lang w:val="fr-FR"/>
              </w:rPr>
              <w:t>20 541 658</w:t>
            </w:r>
          </w:p>
        </w:tc>
        <w:tc>
          <w:tcPr>
            <w:tcW w:w="1155" w:type="dxa"/>
            <w:tcBorders>
              <w:top w:val="single" w:sz="4" w:space="0" w:color="auto"/>
              <w:bottom w:val="single" w:sz="12" w:space="0" w:color="auto"/>
            </w:tcBorders>
            <w:shd w:val="clear" w:color="auto" w:fill="FFFFFF"/>
            <w:noWrap/>
            <w:vAlign w:val="bottom"/>
          </w:tcPr>
          <w:p w14:paraId="30755D4B"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8 838 110</w:t>
            </w:r>
          </w:p>
        </w:tc>
        <w:tc>
          <w:tcPr>
            <w:tcW w:w="1155" w:type="dxa"/>
            <w:tcBorders>
              <w:top w:val="single" w:sz="4" w:space="0" w:color="auto"/>
              <w:bottom w:val="single" w:sz="12" w:space="0" w:color="auto"/>
            </w:tcBorders>
            <w:shd w:val="clear" w:color="auto" w:fill="FFFFFF"/>
            <w:noWrap/>
            <w:vAlign w:val="bottom"/>
          </w:tcPr>
          <w:p w14:paraId="2188C20B"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bCs/>
                <w:sz w:val="17"/>
                <w:lang w:val="fr-FR"/>
              </w:rPr>
            </w:pPr>
            <w:r w:rsidRPr="00A66C9F">
              <w:rPr>
                <w:b/>
                <w:bCs/>
                <w:sz w:val="17"/>
                <w:lang w:val="fr-FR"/>
              </w:rPr>
              <w:t>71 549 974</w:t>
            </w:r>
          </w:p>
        </w:tc>
      </w:tr>
    </w:tbl>
    <w:p w14:paraId="19DADDFE" w14:textId="77777777" w:rsidR="00744544" w:rsidRPr="00A66C9F" w:rsidRDefault="00744544" w:rsidP="00744544">
      <w:pPr>
        <w:pStyle w:val="SingleTxt"/>
        <w:spacing w:after="0" w:line="120" w:lineRule="exact"/>
        <w:rPr>
          <w:sz w:val="10"/>
          <w:lang w:val="fr-FR"/>
        </w:rPr>
      </w:pPr>
    </w:p>
    <w:p w14:paraId="7C832AB8" w14:textId="77777777" w:rsidR="00744544" w:rsidRPr="00A66C9F" w:rsidRDefault="00744544" w:rsidP="00744544">
      <w:pPr>
        <w:pStyle w:val="SingleTxt"/>
        <w:spacing w:after="0" w:line="120" w:lineRule="exact"/>
        <w:rPr>
          <w:sz w:val="10"/>
          <w:lang w:val="fr-FR"/>
        </w:rPr>
      </w:pPr>
    </w:p>
    <w:p w14:paraId="4F0ABFB1" w14:textId="77777777" w:rsidR="00744544" w:rsidRPr="00A66C9F" w:rsidRDefault="00744544" w:rsidP="00744544">
      <w:pPr>
        <w:pStyle w:val="SingleTxt"/>
        <w:spacing w:after="0" w:line="120" w:lineRule="exact"/>
        <w:rPr>
          <w:sz w:val="10"/>
          <w:lang w:val="fr-FR"/>
        </w:rPr>
      </w:pPr>
    </w:p>
    <w:p w14:paraId="6A68C409" w14:textId="77777777" w:rsidR="00744544" w:rsidRPr="00A66C9F" w:rsidRDefault="00744544" w:rsidP="0074454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lang w:val="fr-FR"/>
        </w:rPr>
        <w:tab/>
      </w:r>
      <w:r w:rsidRPr="00A66C9F">
        <w:rPr>
          <w:lang w:val="fr-FR"/>
        </w:rPr>
        <w:tab/>
      </w:r>
      <w:r w:rsidRPr="00A66C9F">
        <w:rPr>
          <w:sz w:val="14"/>
          <w:szCs w:val="14"/>
          <w:lang w:val="fr-FR"/>
        </w:rPr>
        <w:t>(En milliers de dollars des États-Unis)</w:t>
      </w:r>
    </w:p>
    <w:p w14:paraId="50358C33" w14:textId="77777777" w:rsidR="00744544" w:rsidRPr="00A66C9F" w:rsidRDefault="00744544" w:rsidP="00744544">
      <w:pPr>
        <w:pStyle w:val="SingleTxt"/>
        <w:spacing w:after="0" w:line="120" w:lineRule="exact"/>
        <w:rPr>
          <w:sz w:val="10"/>
          <w:lang w:val="fr-FR"/>
        </w:rPr>
      </w:pPr>
    </w:p>
    <w:p w14:paraId="31504ED4" w14:textId="77777777" w:rsidR="00744544" w:rsidRPr="00A66C9F" w:rsidRDefault="00744544" w:rsidP="00744544">
      <w:pPr>
        <w:pStyle w:val="SingleTxt"/>
        <w:spacing w:after="0" w:line="120" w:lineRule="exact"/>
        <w:rPr>
          <w:sz w:val="10"/>
          <w:lang w:val="fr-FR"/>
        </w:rPr>
      </w:pPr>
    </w:p>
    <w:tbl>
      <w:tblPr>
        <w:tblW w:w="7320" w:type="dxa"/>
        <w:tblInd w:w="1260" w:type="dxa"/>
        <w:shd w:val="clear" w:color="auto" w:fill="FFFFFF"/>
        <w:tblLayout w:type="fixed"/>
        <w:tblCellMar>
          <w:left w:w="0" w:type="dxa"/>
          <w:right w:w="0" w:type="dxa"/>
        </w:tblCellMar>
        <w:tblLook w:val="04A0" w:firstRow="1" w:lastRow="0" w:firstColumn="1" w:lastColumn="0" w:noHBand="0" w:noVBand="1"/>
      </w:tblPr>
      <w:tblGrid>
        <w:gridCol w:w="2700"/>
        <w:gridCol w:w="1155"/>
        <w:gridCol w:w="1155"/>
        <w:gridCol w:w="1155"/>
        <w:gridCol w:w="1155"/>
      </w:tblGrid>
      <w:tr w:rsidR="00744544" w:rsidRPr="00A66C9F" w14:paraId="19C4B396" w14:textId="77777777" w:rsidTr="00107D5D">
        <w:trPr>
          <w:trHeight w:val="315"/>
          <w:tblHeader/>
        </w:trPr>
        <w:tc>
          <w:tcPr>
            <w:tcW w:w="2700" w:type="dxa"/>
            <w:tcBorders>
              <w:top w:val="single" w:sz="4" w:space="0" w:color="auto"/>
              <w:bottom w:val="single" w:sz="12" w:space="0" w:color="auto"/>
            </w:tcBorders>
            <w:shd w:val="clear" w:color="auto" w:fill="FFFFFF"/>
            <w:noWrap/>
            <w:vAlign w:val="bottom"/>
            <w:hideMark/>
          </w:tcPr>
          <w:p w14:paraId="70ECEDBC" w14:textId="77777777" w:rsidR="00744544" w:rsidRPr="00A66C9F" w:rsidRDefault="00744544" w:rsidP="00107D5D">
            <w:pPr>
              <w:suppressAutoHyphens/>
              <w:spacing w:before="81" w:after="81" w:line="160" w:lineRule="exact"/>
              <w:ind w:right="40"/>
              <w:rPr>
                <w:i/>
                <w:iCs/>
                <w:sz w:val="14"/>
                <w:szCs w:val="18"/>
                <w:lang w:val="fr-FR"/>
              </w:rPr>
            </w:pPr>
            <w:r w:rsidRPr="00A66C9F">
              <w:rPr>
                <w:i/>
                <w:iCs/>
                <w:sz w:val="14"/>
                <w:lang w:val="fr-FR"/>
              </w:rPr>
              <w:t xml:space="preserve">Fiabilité de l’estimation de la juste valeur </w:t>
            </w:r>
            <w:r w:rsidRPr="00A66C9F">
              <w:rPr>
                <w:i/>
                <w:iCs/>
                <w:sz w:val="14"/>
                <w:lang w:val="fr-FR"/>
              </w:rPr>
              <w:br/>
              <w:t>au 31 décembre 2018</w:t>
            </w:r>
          </w:p>
        </w:tc>
        <w:tc>
          <w:tcPr>
            <w:tcW w:w="1155" w:type="dxa"/>
            <w:tcBorders>
              <w:top w:val="single" w:sz="4" w:space="0" w:color="auto"/>
              <w:bottom w:val="single" w:sz="12" w:space="0" w:color="auto"/>
            </w:tcBorders>
            <w:shd w:val="clear" w:color="auto" w:fill="FFFFFF"/>
            <w:noWrap/>
            <w:vAlign w:val="bottom"/>
            <w:hideMark/>
          </w:tcPr>
          <w:p w14:paraId="4C693384" w14:textId="77777777" w:rsidR="00744544" w:rsidRPr="00A66C9F" w:rsidRDefault="00744544" w:rsidP="00107D5D">
            <w:pPr>
              <w:suppressAutoHyphens/>
              <w:spacing w:before="81" w:after="81" w:line="160" w:lineRule="exact"/>
              <w:ind w:right="43"/>
              <w:jc w:val="right"/>
              <w:rPr>
                <w:i/>
                <w:iCs/>
                <w:sz w:val="14"/>
                <w:szCs w:val="18"/>
                <w:lang w:val="fr-FR"/>
              </w:rPr>
            </w:pPr>
            <w:r w:rsidRPr="00A66C9F">
              <w:rPr>
                <w:i/>
                <w:iCs/>
                <w:sz w:val="14"/>
                <w:lang w:val="fr-FR"/>
              </w:rPr>
              <w:t>Niveau 1</w:t>
            </w:r>
          </w:p>
        </w:tc>
        <w:tc>
          <w:tcPr>
            <w:tcW w:w="1155" w:type="dxa"/>
            <w:tcBorders>
              <w:top w:val="single" w:sz="4" w:space="0" w:color="auto"/>
              <w:bottom w:val="single" w:sz="12" w:space="0" w:color="auto"/>
            </w:tcBorders>
            <w:shd w:val="clear" w:color="auto" w:fill="FFFFFF"/>
            <w:noWrap/>
            <w:vAlign w:val="bottom"/>
            <w:hideMark/>
          </w:tcPr>
          <w:p w14:paraId="7AEA3048" w14:textId="77777777" w:rsidR="00744544" w:rsidRPr="00A66C9F" w:rsidRDefault="00744544" w:rsidP="00107D5D">
            <w:pPr>
              <w:suppressAutoHyphens/>
              <w:spacing w:before="81" w:after="81" w:line="160" w:lineRule="exact"/>
              <w:ind w:right="43"/>
              <w:jc w:val="right"/>
              <w:rPr>
                <w:i/>
                <w:iCs/>
                <w:sz w:val="14"/>
                <w:szCs w:val="18"/>
                <w:lang w:val="fr-FR"/>
              </w:rPr>
            </w:pPr>
            <w:r w:rsidRPr="00A66C9F">
              <w:rPr>
                <w:i/>
                <w:iCs/>
                <w:sz w:val="14"/>
                <w:lang w:val="fr-FR"/>
              </w:rPr>
              <w:t>Niveau 2</w:t>
            </w:r>
          </w:p>
        </w:tc>
        <w:tc>
          <w:tcPr>
            <w:tcW w:w="1155" w:type="dxa"/>
            <w:tcBorders>
              <w:top w:val="single" w:sz="4" w:space="0" w:color="auto"/>
              <w:bottom w:val="single" w:sz="12" w:space="0" w:color="auto"/>
            </w:tcBorders>
            <w:shd w:val="clear" w:color="auto" w:fill="FFFFFF"/>
            <w:noWrap/>
            <w:vAlign w:val="bottom"/>
            <w:hideMark/>
          </w:tcPr>
          <w:p w14:paraId="054B387D" w14:textId="77777777" w:rsidR="00744544" w:rsidRPr="00A66C9F" w:rsidRDefault="00744544" w:rsidP="00107D5D">
            <w:pPr>
              <w:suppressAutoHyphens/>
              <w:spacing w:before="81" w:after="81" w:line="160" w:lineRule="exact"/>
              <w:ind w:right="43"/>
              <w:jc w:val="right"/>
              <w:rPr>
                <w:i/>
                <w:iCs/>
                <w:sz w:val="14"/>
                <w:szCs w:val="18"/>
                <w:lang w:val="fr-FR"/>
              </w:rPr>
            </w:pPr>
            <w:r w:rsidRPr="00A66C9F">
              <w:rPr>
                <w:i/>
                <w:iCs/>
                <w:sz w:val="14"/>
                <w:lang w:val="fr-FR"/>
              </w:rPr>
              <w:t>Niveau 3</w:t>
            </w:r>
          </w:p>
        </w:tc>
        <w:tc>
          <w:tcPr>
            <w:tcW w:w="1155" w:type="dxa"/>
            <w:tcBorders>
              <w:top w:val="single" w:sz="4" w:space="0" w:color="auto"/>
              <w:bottom w:val="single" w:sz="12" w:space="0" w:color="auto"/>
            </w:tcBorders>
            <w:shd w:val="clear" w:color="auto" w:fill="FFFFFF"/>
            <w:noWrap/>
            <w:vAlign w:val="bottom"/>
            <w:hideMark/>
          </w:tcPr>
          <w:p w14:paraId="31C2D07A" w14:textId="77777777" w:rsidR="00744544" w:rsidRPr="00A66C9F" w:rsidRDefault="00744544" w:rsidP="00107D5D">
            <w:pPr>
              <w:suppressAutoHyphens/>
              <w:spacing w:before="81" w:after="81" w:line="160" w:lineRule="exact"/>
              <w:ind w:right="43"/>
              <w:jc w:val="right"/>
              <w:rPr>
                <w:i/>
                <w:iCs/>
                <w:sz w:val="14"/>
                <w:szCs w:val="18"/>
                <w:lang w:val="fr-FR"/>
              </w:rPr>
            </w:pPr>
            <w:r w:rsidRPr="00A66C9F">
              <w:rPr>
                <w:i/>
                <w:iCs/>
                <w:sz w:val="14"/>
                <w:lang w:val="fr-FR"/>
              </w:rPr>
              <w:t>Total</w:t>
            </w:r>
          </w:p>
        </w:tc>
      </w:tr>
      <w:tr w:rsidR="00744544" w:rsidRPr="00A66C9F" w14:paraId="5EA10142" w14:textId="77777777" w:rsidTr="00107D5D">
        <w:trPr>
          <w:trHeight w:hRule="exact" w:val="115"/>
          <w:tblHeader/>
        </w:trPr>
        <w:tc>
          <w:tcPr>
            <w:tcW w:w="2700" w:type="dxa"/>
            <w:tcBorders>
              <w:top w:val="single" w:sz="12" w:space="0" w:color="auto"/>
            </w:tcBorders>
            <w:shd w:val="clear" w:color="auto" w:fill="FFFFFF"/>
            <w:noWrap/>
            <w:vAlign w:val="bottom"/>
          </w:tcPr>
          <w:p w14:paraId="2A2A3E1C" w14:textId="77777777" w:rsidR="00744544" w:rsidRPr="00A66C9F" w:rsidRDefault="00744544" w:rsidP="00107D5D">
            <w:pPr>
              <w:suppressAutoHyphens/>
              <w:spacing w:before="40" w:after="40" w:line="210" w:lineRule="exact"/>
              <w:ind w:right="40"/>
              <w:rPr>
                <w:b/>
                <w:bCs/>
                <w:sz w:val="17"/>
                <w:lang w:val="fr-FR"/>
              </w:rPr>
            </w:pPr>
          </w:p>
        </w:tc>
        <w:tc>
          <w:tcPr>
            <w:tcW w:w="1155" w:type="dxa"/>
            <w:tcBorders>
              <w:top w:val="single" w:sz="12" w:space="0" w:color="auto"/>
            </w:tcBorders>
            <w:shd w:val="clear" w:color="auto" w:fill="FFFFFF"/>
            <w:noWrap/>
            <w:vAlign w:val="bottom"/>
          </w:tcPr>
          <w:p w14:paraId="319D8FFD" w14:textId="77777777" w:rsidR="00744544" w:rsidRPr="00A66C9F" w:rsidRDefault="00744544" w:rsidP="00107D5D">
            <w:pPr>
              <w:suppressAutoHyphens/>
              <w:spacing w:before="40" w:after="40" w:line="210" w:lineRule="exact"/>
              <w:ind w:right="43"/>
              <w:jc w:val="right"/>
              <w:rPr>
                <w:sz w:val="17"/>
                <w:szCs w:val="17"/>
                <w:lang w:val="fr-FR"/>
              </w:rPr>
            </w:pPr>
          </w:p>
        </w:tc>
        <w:tc>
          <w:tcPr>
            <w:tcW w:w="1155" w:type="dxa"/>
            <w:tcBorders>
              <w:top w:val="single" w:sz="12" w:space="0" w:color="auto"/>
            </w:tcBorders>
            <w:shd w:val="clear" w:color="auto" w:fill="FFFFFF"/>
            <w:noWrap/>
            <w:vAlign w:val="bottom"/>
          </w:tcPr>
          <w:p w14:paraId="04A9B242" w14:textId="77777777" w:rsidR="00744544" w:rsidRPr="00A66C9F" w:rsidRDefault="00744544" w:rsidP="00107D5D">
            <w:pPr>
              <w:suppressAutoHyphens/>
              <w:spacing w:before="40" w:after="40" w:line="210" w:lineRule="exact"/>
              <w:ind w:right="43"/>
              <w:jc w:val="right"/>
              <w:rPr>
                <w:sz w:val="17"/>
                <w:szCs w:val="17"/>
                <w:lang w:val="fr-FR"/>
              </w:rPr>
            </w:pPr>
          </w:p>
        </w:tc>
        <w:tc>
          <w:tcPr>
            <w:tcW w:w="1155" w:type="dxa"/>
            <w:tcBorders>
              <w:top w:val="single" w:sz="12" w:space="0" w:color="auto"/>
            </w:tcBorders>
            <w:shd w:val="clear" w:color="auto" w:fill="FFFFFF"/>
            <w:noWrap/>
            <w:vAlign w:val="bottom"/>
          </w:tcPr>
          <w:p w14:paraId="7D283D2E" w14:textId="77777777" w:rsidR="00744544" w:rsidRPr="00A66C9F" w:rsidRDefault="00744544" w:rsidP="00107D5D">
            <w:pPr>
              <w:suppressAutoHyphens/>
              <w:spacing w:before="40" w:after="40" w:line="210" w:lineRule="exact"/>
              <w:ind w:right="43"/>
              <w:jc w:val="right"/>
              <w:rPr>
                <w:sz w:val="17"/>
                <w:szCs w:val="17"/>
                <w:lang w:val="fr-FR"/>
              </w:rPr>
            </w:pPr>
          </w:p>
        </w:tc>
        <w:tc>
          <w:tcPr>
            <w:tcW w:w="1155" w:type="dxa"/>
            <w:tcBorders>
              <w:top w:val="single" w:sz="12" w:space="0" w:color="auto"/>
            </w:tcBorders>
            <w:shd w:val="clear" w:color="auto" w:fill="FFFFFF"/>
            <w:noWrap/>
            <w:vAlign w:val="bottom"/>
          </w:tcPr>
          <w:p w14:paraId="0BBFF830" w14:textId="77777777" w:rsidR="00744544" w:rsidRPr="00A66C9F" w:rsidRDefault="00744544" w:rsidP="00107D5D">
            <w:pPr>
              <w:suppressAutoHyphens/>
              <w:spacing w:before="40" w:after="40" w:line="210" w:lineRule="exact"/>
              <w:ind w:right="43"/>
              <w:jc w:val="right"/>
              <w:rPr>
                <w:sz w:val="17"/>
                <w:szCs w:val="17"/>
                <w:lang w:val="fr-FR"/>
              </w:rPr>
            </w:pPr>
          </w:p>
        </w:tc>
      </w:tr>
      <w:tr w:rsidR="00744544" w:rsidRPr="00A66C9F" w14:paraId="774F640D" w14:textId="77777777" w:rsidTr="00107D5D">
        <w:tc>
          <w:tcPr>
            <w:tcW w:w="2700" w:type="dxa"/>
            <w:shd w:val="clear" w:color="auto" w:fill="FFFFFF"/>
            <w:noWrap/>
            <w:vAlign w:val="bottom"/>
            <w:hideMark/>
          </w:tcPr>
          <w:p w14:paraId="61BA272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b/>
                <w:bCs/>
                <w:sz w:val="17"/>
                <w:lang w:val="fr-FR"/>
              </w:rPr>
              <w:t>Actions</w:t>
            </w:r>
          </w:p>
        </w:tc>
        <w:tc>
          <w:tcPr>
            <w:tcW w:w="1155" w:type="dxa"/>
            <w:shd w:val="clear" w:color="auto" w:fill="FFFFFF"/>
            <w:noWrap/>
            <w:vAlign w:val="bottom"/>
          </w:tcPr>
          <w:p w14:paraId="3D7DE04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1155" w:type="dxa"/>
            <w:shd w:val="clear" w:color="auto" w:fill="FFFFFF"/>
            <w:noWrap/>
            <w:vAlign w:val="bottom"/>
          </w:tcPr>
          <w:p w14:paraId="211127E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1155" w:type="dxa"/>
            <w:shd w:val="clear" w:color="auto" w:fill="FFFFFF"/>
            <w:noWrap/>
            <w:vAlign w:val="bottom"/>
          </w:tcPr>
          <w:p w14:paraId="2A35BB2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1155" w:type="dxa"/>
            <w:shd w:val="clear" w:color="auto" w:fill="FFFFFF"/>
            <w:noWrap/>
            <w:vAlign w:val="bottom"/>
          </w:tcPr>
          <w:p w14:paraId="6A591A3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p>
        </w:tc>
      </w:tr>
      <w:tr w:rsidR="00744544" w:rsidRPr="00A66C9F" w14:paraId="21137EA6" w14:textId="77777777" w:rsidTr="00107D5D">
        <w:tc>
          <w:tcPr>
            <w:tcW w:w="2700" w:type="dxa"/>
            <w:shd w:val="clear" w:color="auto" w:fill="FFFFFF"/>
            <w:noWrap/>
            <w:vAlign w:val="bottom"/>
            <w:hideMark/>
          </w:tcPr>
          <w:p w14:paraId="3BBE502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Actions ordinaires et privilégiées</w:t>
            </w:r>
          </w:p>
        </w:tc>
        <w:tc>
          <w:tcPr>
            <w:tcW w:w="1155" w:type="dxa"/>
            <w:shd w:val="clear" w:color="auto" w:fill="FFFFFF"/>
            <w:noWrap/>
            <w:vAlign w:val="bottom"/>
            <w:hideMark/>
          </w:tcPr>
          <w:p w14:paraId="0F15540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32 402 313 </w:t>
            </w:r>
          </w:p>
        </w:tc>
        <w:tc>
          <w:tcPr>
            <w:tcW w:w="1155" w:type="dxa"/>
            <w:shd w:val="clear" w:color="auto" w:fill="FFFFFF"/>
            <w:noWrap/>
            <w:vAlign w:val="bottom"/>
            <w:hideMark/>
          </w:tcPr>
          <w:p w14:paraId="4044D64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1155" w:type="dxa"/>
            <w:shd w:val="clear" w:color="auto" w:fill="FFFFFF"/>
            <w:noWrap/>
            <w:vAlign w:val="bottom"/>
            <w:hideMark/>
          </w:tcPr>
          <w:p w14:paraId="2BDC22F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1155" w:type="dxa"/>
            <w:shd w:val="clear" w:color="auto" w:fill="FFFFFF"/>
            <w:noWrap/>
            <w:vAlign w:val="bottom"/>
            <w:hideMark/>
          </w:tcPr>
          <w:p w14:paraId="3735ABF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32 402 313 </w:t>
            </w:r>
          </w:p>
        </w:tc>
      </w:tr>
      <w:tr w:rsidR="00744544" w:rsidRPr="00A66C9F" w14:paraId="08755EA5" w14:textId="77777777" w:rsidTr="00107D5D">
        <w:tc>
          <w:tcPr>
            <w:tcW w:w="2700" w:type="dxa"/>
            <w:shd w:val="clear" w:color="auto" w:fill="FFFFFF"/>
            <w:noWrap/>
            <w:vAlign w:val="bottom"/>
            <w:hideMark/>
          </w:tcPr>
          <w:p w14:paraId="03EE5E3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Fonds – fonds indiciels cotés</w:t>
            </w:r>
          </w:p>
        </w:tc>
        <w:tc>
          <w:tcPr>
            <w:tcW w:w="1155" w:type="dxa"/>
            <w:shd w:val="clear" w:color="auto" w:fill="FFFFFF"/>
            <w:noWrap/>
            <w:vAlign w:val="bottom"/>
            <w:hideMark/>
          </w:tcPr>
          <w:p w14:paraId="6AA0B7B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1 774 285 </w:t>
            </w:r>
          </w:p>
        </w:tc>
        <w:tc>
          <w:tcPr>
            <w:tcW w:w="1155" w:type="dxa"/>
            <w:shd w:val="clear" w:color="auto" w:fill="FFFFFF"/>
            <w:noWrap/>
            <w:vAlign w:val="bottom"/>
            <w:hideMark/>
          </w:tcPr>
          <w:p w14:paraId="32B41A7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1155" w:type="dxa"/>
            <w:shd w:val="clear" w:color="auto" w:fill="FFFFFF"/>
            <w:noWrap/>
            <w:vAlign w:val="bottom"/>
            <w:hideMark/>
          </w:tcPr>
          <w:p w14:paraId="4267B87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1155" w:type="dxa"/>
            <w:shd w:val="clear" w:color="auto" w:fill="FFFFFF"/>
            <w:noWrap/>
            <w:vAlign w:val="bottom"/>
            <w:hideMark/>
          </w:tcPr>
          <w:p w14:paraId="201CB5C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1 774 285 </w:t>
            </w:r>
          </w:p>
        </w:tc>
      </w:tr>
      <w:tr w:rsidR="00744544" w:rsidRPr="00A66C9F" w14:paraId="3CA876C2" w14:textId="77777777" w:rsidTr="00107D5D">
        <w:tc>
          <w:tcPr>
            <w:tcW w:w="2700" w:type="dxa"/>
            <w:shd w:val="clear" w:color="auto" w:fill="FFFFFF"/>
            <w:noWrap/>
            <w:vAlign w:val="bottom"/>
            <w:hideMark/>
          </w:tcPr>
          <w:p w14:paraId="19BC95E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Fonds – actions ordinaires</w:t>
            </w:r>
          </w:p>
        </w:tc>
        <w:tc>
          <w:tcPr>
            <w:tcW w:w="1155" w:type="dxa"/>
            <w:shd w:val="clear" w:color="auto" w:fill="FFFFFF"/>
            <w:noWrap/>
            <w:vAlign w:val="bottom"/>
            <w:hideMark/>
          </w:tcPr>
          <w:p w14:paraId="72CF1D4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1155" w:type="dxa"/>
            <w:shd w:val="clear" w:color="auto" w:fill="FFFFFF"/>
            <w:noWrap/>
            <w:vAlign w:val="bottom"/>
            <w:hideMark/>
          </w:tcPr>
          <w:p w14:paraId="0EA2F14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1155" w:type="dxa"/>
            <w:shd w:val="clear" w:color="auto" w:fill="FFFFFF"/>
            <w:noWrap/>
            <w:vAlign w:val="bottom"/>
            <w:hideMark/>
          </w:tcPr>
          <w:p w14:paraId="1C0F0B8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127 585</w:t>
            </w:r>
          </w:p>
        </w:tc>
        <w:tc>
          <w:tcPr>
            <w:tcW w:w="1155" w:type="dxa"/>
            <w:shd w:val="clear" w:color="auto" w:fill="FFFFFF"/>
            <w:noWrap/>
            <w:vAlign w:val="bottom"/>
            <w:hideMark/>
          </w:tcPr>
          <w:p w14:paraId="083A38F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127 585 </w:t>
            </w:r>
          </w:p>
        </w:tc>
      </w:tr>
      <w:tr w:rsidR="00744544" w:rsidRPr="00A66C9F" w14:paraId="3925E9E2" w14:textId="77777777" w:rsidTr="00107D5D">
        <w:tc>
          <w:tcPr>
            <w:tcW w:w="2700" w:type="dxa"/>
            <w:tcBorders>
              <w:bottom w:val="single" w:sz="4" w:space="0" w:color="auto"/>
            </w:tcBorders>
            <w:shd w:val="clear" w:color="auto" w:fill="FFFFFF"/>
            <w:noWrap/>
            <w:vAlign w:val="bottom"/>
            <w:hideMark/>
          </w:tcPr>
          <w:p w14:paraId="25E0C333" w14:textId="77777777" w:rsidR="00744544" w:rsidRPr="00A66C9F" w:rsidRDefault="00744544" w:rsidP="00107D5D">
            <w:pPr>
              <w:tabs>
                <w:tab w:val="left" w:pos="288"/>
                <w:tab w:val="left" w:pos="576"/>
                <w:tab w:val="left" w:pos="864"/>
                <w:tab w:val="left" w:pos="1152"/>
              </w:tabs>
              <w:suppressAutoHyphens/>
              <w:spacing w:before="40" w:after="81" w:line="210" w:lineRule="exact"/>
              <w:ind w:right="40"/>
              <w:rPr>
                <w:b/>
                <w:bCs/>
                <w:sz w:val="17"/>
                <w:szCs w:val="17"/>
                <w:u w:val="single"/>
                <w:lang w:val="fr-FR"/>
              </w:rPr>
            </w:pPr>
            <w:r w:rsidRPr="00A66C9F">
              <w:rPr>
                <w:sz w:val="17"/>
                <w:lang w:val="fr-FR"/>
              </w:rPr>
              <w:t>Titres composés</w:t>
            </w:r>
          </w:p>
        </w:tc>
        <w:tc>
          <w:tcPr>
            <w:tcW w:w="1155" w:type="dxa"/>
            <w:tcBorders>
              <w:bottom w:val="single" w:sz="4" w:space="0" w:color="auto"/>
            </w:tcBorders>
            <w:shd w:val="clear" w:color="auto" w:fill="FFFFFF"/>
            <w:noWrap/>
            <w:vAlign w:val="bottom"/>
            <w:hideMark/>
          </w:tcPr>
          <w:p w14:paraId="3AAD4362"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b/>
                <w:bCs/>
                <w:sz w:val="17"/>
                <w:szCs w:val="17"/>
                <w:lang w:val="fr-FR"/>
              </w:rPr>
            </w:pPr>
            <w:r w:rsidRPr="00A66C9F">
              <w:rPr>
                <w:sz w:val="17"/>
                <w:lang w:val="fr-FR"/>
              </w:rPr>
              <w:t xml:space="preserve"> 96 976 </w:t>
            </w:r>
          </w:p>
        </w:tc>
        <w:tc>
          <w:tcPr>
            <w:tcW w:w="1155" w:type="dxa"/>
            <w:tcBorders>
              <w:bottom w:val="single" w:sz="4" w:space="0" w:color="auto"/>
            </w:tcBorders>
            <w:shd w:val="clear" w:color="auto" w:fill="FFFFFF"/>
            <w:noWrap/>
            <w:vAlign w:val="bottom"/>
            <w:hideMark/>
          </w:tcPr>
          <w:p w14:paraId="23FEE7DC"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b/>
                <w:sz w:val="17"/>
                <w:szCs w:val="17"/>
                <w:lang w:val="fr-FR"/>
              </w:rPr>
            </w:pPr>
            <w:r w:rsidRPr="00A66C9F">
              <w:rPr>
                <w:sz w:val="17"/>
                <w:szCs w:val="17"/>
                <w:lang w:val="fr-FR"/>
              </w:rPr>
              <w:t xml:space="preserve"> –</w:t>
            </w:r>
          </w:p>
        </w:tc>
        <w:tc>
          <w:tcPr>
            <w:tcW w:w="1155" w:type="dxa"/>
            <w:tcBorders>
              <w:bottom w:val="single" w:sz="4" w:space="0" w:color="auto"/>
            </w:tcBorders>
            <w:shd w:val="clear" w:color="auto" w:fill="FFFFFF"/>
            <w:noWrap/>
            <w:vAlign w:val="bottom"/>
            <w:hideMark/>
          </w:tcPr>
          <w:p w14:paraId="0511B3EC"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b/>
                <w:bCs/>
                <w:sz w:val="17"/>
                <w:szCs w:val="17"/>
                <w:lang w:val="fr-FR"/>
              </w:rPr>
            </w:pPr>
            <w:r w:rsidRPr="00A66C9F">
              <w:rPr>
                <w:sz w:val="17"/>
                <w:szCs w:val="17"/>
                <w:lang w:val="fr-FR"/>
              </w:rPr>
              <w:t xml:space="preserve"> –</w:t>
            </w:r>
          </w:p>
        </w:tc>
        <w:tc>
          <w:tcPr>
            <w:tcW w:w="1155" w:type="dxa"/>
            <w:tcBorders>
              <w:bottom w:val="single" w:sz="4" w:space="0" w:color="auto"/>
            </w:tcBorders>
            <w:shd w:val="clear" w:color="auto" w:fill="FFFFFF"/>
            <w:noWrap/>
            <w:vAlign w:val="bottom"/>
            <w:hideMark/>
          </w:tcPr>
          <w:p w14:paraId="133025C6"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b/>
                <w:bCs/>
                <w:sz w:val="17"/>
                <w:szCs w:val="17"/>
                <w:lang w:val="fr-FR"/>
              </w:rPr>
            </w:pPr>
            <w:r w:rsidRPr="00A66C9F">
              <w:rPr>
                <w:sz w:val="17"/>
                <w:lang w:val="fr-FR"/>
              </w:rPr>
              <w:t xml:space="preserve"> 96 976 </w:t>
            </w:r>
          </w:p>
        </w:tc>
      </w:tr>
      <w:tr w:rsidR="00744544" w:rsidRPr="00A66C9F" w14:paraId="1ABC671F" w14:textId="77777777" w:rsidTr="00107D5D">
        <w:tc>
          <w:tcPr>
            <w:tcW w:w="2700" w:type="dxa"/>
            <w:tcBorders>
              <w:top w:val="single" w:sz="4" w:space="0" w:color="auto"/>
              <w:bottom w:val="single" w:sz="4" w:space="0" w:color="auto"/>
            </w:tcBorders>
            <w:shd w:val="clear" w:color="auto" w:fill="FFFFFF"/>
            <w:noWrap/>
            <w:vAlign w:val="bottom"/>
            <w:hideMark/>
          </w:tcPr>
          <w:p w14:paraId="7E8A4B7B" w14:textId="77777777" w:rsidR="00744544" w:rsidRPr="00A66C9F" w:rsidRDefault="00744544" w:rsidP="00107D5D">
            <w:pPr>
              <w:tabs>
                <w:tab w:val="left" w:pos="288"/>
                <w:tab w:val="left" w:pos="576"/>
                <w:tab w:val="left" w:pos="864"/>
                <w:tab w:val="left" w:pos="1152"/>
              </w:tabs>
              <w:suppressAutoHyphens/>
              <w:spacing w:before="81" w:after="81" w:line="210" w:lineRule="exact"/>
              <w:ind w:left="220" w:right="40"/>
              <w:rPr>
                <w:b/>
                <w:sz w:val="17"/>
                <w:szCs w:val="17"/>
                <w:lang w:val="fr-FR"/>
              </w:rPr>
            </w:pPr>
            <w:r w:rsidRPr="00A66C9F">
              <w:rPr>
                <w:b/>
                <w:bCs/>
                <w:sz w:val="17"/>
                <w:lang w:val="fr-FR"/>
              </w:rPr>
              <w:t>Total des actions</w:t>
            </w:r>
          </w:p>
        </w:tc>
        <w:tc>
          <w:tcPr>
            <w:tcW w:w="1155" w:type="dxa"/>
            <w:tcBorders>
              <w:top w:val="single" w:sz="4" w:space="0" w:color="auto"/>
              <w:bottom w:val="single" w:sz="4" w:space="0" w:color="auto"/>
            </w:tcBorders>
            <w:shd w:val="clear" w:color="auto" w:fill="FFFFFF"/>
            <w:noWrap/>
            <w:vAlign w:val="bottom"/>
          </w:tcPr>
          <w:p w14:paraId="1A7E995C"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bCs/>
                <w:sz w:val="17"/>
                <w:szCs w:val="17"/>
                <w:lang w:val="fr-FR"/>
              </w:rPr>
            </w:pPr>
            <w:r w:rsidRPr="00A66C9F">
              <w:rPr>
                <w:b/>
                <w:bCs/>
                <w:sz w:val="17"/>
                <w:lang w:val="fr-FR"/>
              </w:rPr>
              <w:t>34 273 574</w:t>
            </w:r>
          </w:p>
        </w:tc>
        <w:tc>
          <w:tcPr>
            <w:tcW w:w="1155" w:type="dxa"/>
            <w:tcBorders>
              <w:top w:val="single" w:sz="4" w:space="0" w:color="auto"/>
              <w:bottom w:val="single" w:sz="4" w:space="0" w:color="auto"/>
            </w:tcBorders>
            <w:shd w:val="clear" w:color="auto" w:fill="FFFFFF"/>
            <w:noWrap/>
            <w:vAlign w:val="bottom"/>
          </w:tcPr>
          <w:p w14:paraId="05CE12A7"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bCs/>
                <w:sz w:val="17"/>
                <w:szCs w:val="17"/>
                <w:lang w:val="fr-FR"/>
              </w:rPr>
            </w:pPr>
            <w:r w:rsidRPr="00A66C9F">
              <w:rPr>
                <w:b/>
                <w:bCs/>
                <w:sz w:val="17"/>
                <w:szCs w:val="17"/>
                <w:lang w:val="fr-FR"/>
              </w:rPr>
              <w:t xml:space="preserve"> –</w:t>
            </w:r>
          </w:p>
        </w:tc>
        <w:tc>
          <w:tcPr>
            <w:tcW w:w="1155" w:type="dxa"/>
            <w:tcBorders>
              <w:top w:val="single" w:sz="4" w:space="0" w:color="auto"/>
              <w:bottom w:val="single" w:sz="4" w:space="0" w:color="auto"/>
            </w:tcBorders>
            <w:shd w:val="clear" w:color="auto" w:fill="FFFFFF"/>
            <w:noWrap/>
            <w:vAlign w:val="bottom"/>
          </w:tcPr>
          <w:p w14:paraId="4DAE34EF"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bCs/>
                <w:sz w:val="17"/>
                <w:szCs w:val="17"/>
                <w:lang w:val="fr-FR"/>
              </w:rPr>
            </w:pPr>
            <w:r w:rsidRPr="00A66C9F">
              <w:rPr>
                <w:b/>
                <w:bCs/>
                <w:sz w:val="17"/>
                <w:lang w:val="fr-FR"/>
              </w:rPr>
              <w:t>127 585</w:t>
            </w:r>
          </w:p>
        </w:tc>
        <w:tc>
          <w:tcPr>
            <w:tcW w:w="1155" w:type="dxa"/>
            <w:tcBorders>
              <w:top w:val="single" w:sz="4" w:space="0" w:color="auto"/>
              <w:bottom w:val="single" w:sz="4" w:space="0" w:color="auto"/>
            </w:tcBorders>
            <w:shd w:val="clear" w:color="auto" w:fill="FFFFFF"/>
            <w:noWrap/>
            <w:vAlign w:val="bottom"/>
          </w:tcPr>
          <w:p w14:paraId="2F318B5E"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bCs/>
                <w:sz w:val="17"/>
                <w:szCs w:val="17"/>
                <w:lang w:val="fr-FR"/>
              </w:rPr>
            </w:pPr>
            <w:r w:rsidRPr="00A66C9F">
              <w:rPr>
                <w:b/>
                <w:bCs/>
                <w:sz w:val="17"/>
                <w:lang w:val="fr-FR"/>
              </w:rPr>
              <w:t>34 401 159</w:t>
            </w:r>
          </w:p>
        </w:tc>
      </w:tr>
      <w:tr w:rsidR="00744544" w:rsidRPr="00A66C9F" w14:paraId="1A9C08A1" w14:textId="77777777" w:rsidTr="00107D5D">
        <w:tc>
          <w:tcPr>
            <w:tcW w:w="2700" w:type="dxa"/>
            <w:tcBorders>
              <w:top w:val="single" w:sz="4" w:space="0" w:color="auto"/>
            </w:tcBorders>
            <w:shd w:val="clear" w:color="auto" w:fill="FFFFFF"/>
            <w:noWrap/>
            <w:vAlign w:val="bottom"/>
            <w:hideMark/>
          </w:tcPr>
          <w:p w14:paraId="48CCDF29" w14:textId="77777777" w:rsidR="00744544" w:rsidRPr="00A66C9F" w:rsidRDefault="00744544" w:rsidP="00107D5D">
            <w:pPr>
              <w:tabs>
                <w:tab w:val="left" w:pos="288"/>
                <w:tab w:val="left" w:pos="576"/>
                <w:tab w:val="left" w:pos="864"/>
                <w:tab w:val="left" w:pos="1152"/>
              </w:tabs>
              <w:suppressAutoHyphens/>
              <w:spacing w:before="81" w:after="40" w:line="210" w:lineRule="exact"/>
              <w:ind w:right="40"/>
              <w:rPr>
                <w:sz w:val="17"/>
                <w:szCs w:val="17"/>
                <w:lang w:val="fr-FR"/>
              </w:rPr>
            </w:pPr>
            <w:r w:rsidRPr="00A66C9F">
              <w:rPr>
                <w:b/>
                <w:bCs/>
                <w:sz w:val="17"/>
                <w:lang w:val="fr-FR"/>
              </w:rPr>
              <w:t>Valeurs à revenu fixe</w:t>
            </w:r>
          </w:p>
        </w:tc>
        <w:tc>
          <w:tcPr>
            <w:tcW w:w="1155" w:type="dxa"/>
            <w:tcBorders>
              <w:top w:val="single" w:sz="4" w:space="0" w:color="auto"/>
            </w:tcBorders>
            <w:shd w:val="clear" w:color="auto" w:fill="FFFFFF"/>
            <w:noWrap/>
            <w:vAlign w:val="bottom"/>
            <w:hideMark/>
          </w:tcPr>
          <w:p w14:paraId="769A0BFF" w14:textId="77777777" w:rsidR="00744544" w:rsidRPr="00A66C9F" w:rsidRDefault="00744544" w:rsidP="00107D5D">
            <w:pPr>
              <w:tabs>
                <w:tab w:val="left" w:pos="288"/>
                <w:tab w:val="left" w:pos="576"/>
                <w:tab w:val="left" w:pos="864"/>
                <w:tab w:val="left" w:pos="1152"/>
              </w:tabs>
              <w:suppressAutoHyphens/>
              <w:spacing w:before="81" w:after="40" w:line="210" w:lineRule="exact"/>
              <w:ind w:right="43"/>
              <w:jc w:val="right"/>
              <w:rPr>
                <w:sz w:val="17"/>
                <w:szCs w:val="17"/>
                <w:lang w:val="fr-FR"/>
              </w:rPr>
            </w:pPr>
          </w:p>
        </w:tc>
        <w:tc>
          <w:tcPr>
            <w:tcW w:w="1155" w:type="dxa"/>
            <w:tcBorders>
              <w:top w:val="single" w:sz="4" w:space="0" w:color="auto"/>
            </w:tcBorders>
            <w:shd w:val="clear" w:color="auto" w:fill="FFFFFF"/>
            <w:noWrap/>
            <w:vAlign w:val="bottom"/>
            <w:hideMark/>
          </w:tcPr>
          <w:p w14:paraId="0ECB2941" w14:textId="77777777" w:rsidR="00744544" w:rsidRPr="00A66C9F" w:rsidRDefault="00744544" w:rsidP="00107D5D">
            <w:pPr>
              <w:tabs>
                <w:tab w:val="left" w:pos="288"/>
                <w:tab w:val="left" w:pos="576"/>
                <w:tab w:val="left" w:pos="864"/>
                <w:tab w:val="left" w:pos="1152"/>
              </w:tabs>
              <w:suppressAutoHyphens/>
              <w:spacing w:before="81" w:after="40" w:line="210" w:lineRule="exact"/>
              <w:ind w:right="43"/>
              <w:jc w:val="right"/>
              <w:rPr>
                <w:sz w:val="17"/>
                <w:szCs w:val="17"/>
                <w:lang w:val="fr-FR"/>
              </w:rPr>
            </w:pPr>
          </w:p>
        </w:tc>
        <w:tc>
          <w:tcPr>
            <w:tcW w:w="1155" w:type="dxa"/>
            <w:tcBorders>
              <w:top w:val="single" w:sz="4" w:space="0" w:color="auto"/>
            </w:tcBorders>
            <w:shd w:val="clear" w:color="auto" w:fill="FFFFFF"/>
            <w:noWrap/>
            <w:vAlign w:val="bottom"/>
            <w:hideMark/>
          </w:tcPr>
          <w:p w14:paraId="22FA6095" w14:textId="77777777" w:rsidR="00744544" w:rsidRPr="00A66C9F" w:rsidRDefault="00744544" w:rsidP="00107D5D">
            <w:pPr>
              <w:tabs>
                <w:tab w:val="left" w:pos="288"/>
                <w:tab w:val="left" w:pos="576"/>
                <w:tab w:val="left" w:pos="864"/>
                <w:tab w:val="left" w:pos="1152"/>
              </w:tabs>
              <w:suppressAutoHyphens/>
              <w:spacing w:before="81" w:after="40" w:line="210" w:lineRule="exact"/>
              <w:ind w:right="43"/>
              <w:jc w:val="right"/>
              <w:rPr>
                <w:sz w:val="17"/>
                <w:szCs w:val="17"/>
                <w:lang w:val="fr-FR"/>
              </w:rPr>
            </w:pPr>
          </w:p>
        </w:tc>
        <w:tc>
          <w:tcPr>
            <w:tcW w:w="1155" w:type="dxa"/>
            <w:tcBorders>
              <w:top w:val="single" w:sz="4" w:space="0" w:color="auto"/>
            </w:tcBorders>
            <w:shd w:val="clear" w:color="auto" w:fill="FFFFFF"/>
            <w:noWrap/>
            <w:vAlign w:val="bottom"/>
            <w:hideMark/>
          </w:tcPr>
          <w:p w14:paraId="7A57EFEB" w14:textId="77777777" w:rsidR="00744544" w:rsidRPr="00A66C9F" w:rsidRDefault="00744544" w:rsidP="00107D5D">
            <w:pPr>
              <w:tabs>
                <w:tab w:val="left" w:pos="288"/>
                <w:tab w:val="left" w:pos="576"/>
                <w:tab w:val="left" w:pos="864"/>
                <w:tab w:val="left" w:pos="1152"/>
              </w:tabs>
              <w:suppressAutoHyphens/>
              <w:spacing w:before="81" w:after="40" w:line="210" w:lineRule="exact"/>
              <w:ind w:right="43"/>
              <w:jc w:val="right"/>
              <w:rPr>
                <w:sz w:val="17"/>
                <w:szCs w:val="17"/>
                <w:lang w:val="fr-FR"/>
              </w:rPr>
            </w:pPr>
          </w:p>
        </w:tc>
      </w:tr>
      <w:tr w:rsidR="00744544" w:rsidRPr="00A66C9F" w14:paraId="669A8940" w14:textId="77777777" w:rsidTr="00107D5D">
        <w:tc>
          <w:tcPr>
            <w:tcW w:w="2700" w:type="dxa"/>
            <w:shd w:val="clear" w:color="auto" w:fill="FFFFFF"/>
            <w:noWrap/>
            <w:vAlign w:val="bottom"/>
            <w:hideMark/>
          </w:tcPr>
          <w:p w14:paraId="6F03BE8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Obligations d’État et d’organismes publics</w:t>
            </w:r>
          </w:p>
        </w:tc>
        <w:tc>
          <w:tcPr>
            <w:tcW w:w="1155" w:type="dxa"/>
            <w:shd w:val="clear" w:color="auto" w:fill="FFFFFF"/>
            <w:noWrap/>
            <w:vAlign w:val="bottom"/>
            <w:hideMark/>
          </w:tcPr>
          <w:p w14:paraId="7DB0800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1155" w:type="dxa"/>
            <w:shd w:val="clear" w:color="auto" w:fill="FFFFFF"/>
            <w:noWrap/>
            <w:vAlign w:val="bottom"/>
            <w:hideMark/>
          </w:tcPr>
          <w:p w14:paraId="772B8D1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13 744 842 </w:t>
            </w:r>
          </w:p>
        </w:tc>
        <w:tc>
          <w:tcPr>
            <w:tcW w:w="1155" w:type="dxa"/>
            <w:shd w:val="clear" w:color="auto" w:fill="FFFFFF"/>
            <w:noWrap/>
            <w:vAlign w:val="bottom"/>
            <w:hideMark/>
          </w:tcPr>
          <w:p w14:paraId="5CD0866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1155" w:type="dxa"/>
            <w:shd w:val="clear" w:color="auto" w:fill="FFFFFF"/>
            <w:noWrap/>
            <w:vAlign w:val="bottom"/>
            <w:hideMark/>
          </w:tcPr>
          <w:p w14:paraId="46C09ED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13 744 842 </w:t>
            </w:r>
          </w:p>
        </w:tc>
      </w:tr>
      <w:tr w:rsidR="00744544" w:rsidRPr="00A66C9F" w14:paraId="6AD0C28E" w14:textId="77777777" w:rsidTr="00107D5D">
        <w:tc>
          <w:tcPr>
            <w:tcW w:w="2700" w:type="dxa"/>
            <w:shd w:val="clear" w:color="auto" w:fill="FFFFFF"/>
            <w:noWrap/>
            <w:vAlign w:val="bottom"/>
            <w:hideMark/>
          </w:tcPr>
          <w:p w14:paraId="519052B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Obligations de sociétés</w:t>
            </w:r>
          </w:p>
        </w:tc>
        <w:tc>
          <w:tcPr>
            <w:tcW w:w="1155" w:type="dxa"/>
            <w:shd w:val="clear" w:color="auto" w:fill="FFFFFF"/>
            <w:noWrap/>
            <w:vAlign w:val="bottom"/>
            <w:hideMark/>
          </w:tcPr>
          <w:p w14:paraId="28C1F0A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1155" w:type="dxa"/>
            <w:shd w:val="clear" w:color="auto" w:fill="FFFFFF"/>
            <w:noWrap/>
            <w:vAlign w:val="bottom"/>
            <w:hideMark/>
          </w:tcPr>
          <w:p w14:paraId="3339022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3 745 133 </w:t>
            </w:r>
          </w:p>
        </w:tc>
        <w:tc>
          <w:tcPr>
            <w:tcW w:w="1155" w:type="dxa"/>
            <w:shd w:val="clear" w:color="auto" w:fill="FFFFFF"/>
            <w:noWrap/>
            <w:vAlign w:val="bottom"/>
            <w:hideMark/>
          </w:tcPr>
          <w:p w14:paraId="2D14EF8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40 046</w:t>
            </w:r>
          </w:p>
        </w:tc>
        <w:tc>
          <w:tcPr>
            <w:tcW w:w="1155" w:type="dxa"/>
            <w:shd w:val="clear" w:color="auto" w:fill="FFFFFF"/>
            <w:noWrap/>
            <w:vAlign w:val="bottom"/>
            <w:hideMark/>
          </w:tcPr>
          <w:p w14:paraId="1735176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3 785 179 </w:t>
            </w:r>
          </w:p>
        </w:tc>
      </w:tr>
      <w:tr w:rsidR="00744544" w:rsidRPr="00A66C9F" w14:paraId="5932983D" w14:textId="77777777" w:rsidTr="00107D5D">
        <w:tc>
          <w:tcPr>
            <w:tcW w:w="2700" w:type="dxa"/>
            <w:shd w:val="clear" w:color="auto" w:fill="FFFFFF"/>
            <w:noWrap/>
            <w:vAlign w:val="bottom"/>
            <w:hideMark/>
          </w:tcPr>
          <w:p w14:paraId="65C4BB7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Obligations de collectivités locales</w:t>
            </w:r>
          </w:p>
        </w:tc>
        <w:tc>
          <w:tcPr>
            <w:tcW w:w="1155" w:type="dxa"/>
            <w:shd w:val="clear" w:color="auto" w:fill="FFFFFF"/>
            <w:noWrap/>
            <w:vAlign w:val="bottom"/>
            <w:hideMark/>
          </w:tcPr>
          <w:p w14:paraId="4759BEF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1155" w:type="dxa"/>
            <w:shd w:val="clear" w:color="auto" w:fill="FFFFFF"/>
            <w:noWrap/>
            <w:vAlign w:val="bottom"/>
            <w:hideMark/>
          </w:tcPr>
          <w:p w14:paraId="5900F78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779 077 </w:t>
            </w:r>
          </w:p>
        </w:tc>
        <w:tc>
          <w:tcPr>
            <w:tcW w:w="1155" w:type="dxa"/>
            <w:shd w:val="clear" w:color="auto" w:fill="FFFFFF"/>
            <w:noWrap/>
            <w:vAlign w:val="bottom"/>
            <w:hideMark/>
          </w:tcPr>
          <w:p w14:paraId="1524ED6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1155" w:type="dxa"/>
            <w:shd w:val="clear" w:color="auto" w:fill="FFFFFF"/>
            <w:noWrap/>
            <w:vAlign w:val="bottom"/>
            <w:hideMark/>
          </w:tcPr>
          <w:p w14:paraId="44B46FD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779 077 </w:t>
            </w:r>
          </w:p>
        </w:tc>
      </w:tr>
      <w:tr w:rsidR="00744544" w:rsidRPr="00A66C9F" w14:paraId="6C23DDE6" w14:textId="77777777" w:rsidTr="00107D5D">
        <w:tc>
          <w:tcPr>
            <w:tcW w:w="2700" w:type="dxa"/>
            <w:shd w:val="clear" w:color="auto" w:fill="FFFFFF"/>
            <w:noWrap/>
            <w:vAlign w:val="bottom"/>
          </w:tcPr>
          <w:p w14:paraId="05074AE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Bons, dépôts et effets de commerce</w:t>
            </w:r>
          </w:p>
        </w:tc>
        <w:tc>
          <w:tcPr>
            <w:tcW w:w="1155" w:type="dxa"/>
            <w:shd w:val="clear" w:color="auto" w:fill="FFFFFF"/>
            <w:noWrap/>
            <w:vAlign w:val="bottom"/>
          </w:tcPr>
          <w:p w14:paraId="03D16B9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1155" w:type="dxa"/>
            <w:shd w:val="clear" w:color="auto" w:fill="FFFFFF"/>
            <w:noWrap/>
            <w:vAlign w:val="bottom"/>
          </w:tcPr>
          <w:p w14:paraId="14195A5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458 049</w:t>
            </w:r>
          </w:p>
        </w:tc>
        <w:tc>
          <w:tcPr>
            <w:tcW w:w="1155" w:type="dxa"/>
            <w:shd w:val="clear" w:color="auto" w:fill="FFFFFF"/>
            <w:noWrap/>
            <w:vAlign w:val="bottom"/>
          </w:tcPr>
          <w:p w14:paraId="2BACB22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w:t>
            </w:r>
          </w:p>
        </w:tc>
        <w:tc>
          <w:tcPr>
            <w:tcW w:w="1155" w:type="dxa"/>
            <w:shd w:val="clear" w:color="auto" w:fill="FFFFFF"/>
            <w:noWrap/>
            <w:vAlign w:val="bottom"/>
          </w:tcPr>
          <w:p w14:paraId="1B3C1CA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458 049</w:t>
            </w:r>
          </w:p>
        </w:tc>
      </w:tr>
      <w:tr w:rsidR="00744544" w:rsidRPr="00A66C9F" w14:paraId="10A10F42" w14:textId="77777777" w:rsidTr="00107D5D">
        <w:tc>
          <w:tcPr>
            <w:tcW w:w="2700" w:type="dxa"/>
            <w:shd w:val="clear" w:color="auto" w:fill="FFFFFF"/>
            <w:noWrap/>
            <w:vAlign w:val="bottom"/>
            <w:hideMark/>
          </w:tcPr>
          <w:p w14:paraId="3704B95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b/>
                <w:bCs/>
                <w:sz w:val="17"/>
                <w:szCs w:val="17"/>
                <w:lang w:val="fr-FR"/>
              </w:rPr>
            </w:pPr>
            <w:r w:rsidRPr="00A66C9F">
              <w:rPr>
                <w:sz w:val="17"/>
                <w:lang w:val="fr-FR"/>
              </w:rPr>
              <w:t>Titres adossés à des crédits hypothécaires</w:t>
            </w:r>
          </w:p>
        </w:tc>
        <w:tc>
          <w:tcPr>
            <w:tcW w:w="1155" w:type="dxa"/>
            <w:shd w:val="clear" w:color="auto" w:fill="FFFFFF"/>
            <w:noWrap/>
            <w:vAlign w:val="bottom"/>
            <w:hideMark/>
          </w:tcPr>
          <w:p w14:paraId="4B4710F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b/>
                <w:bCs/>
                <w:sz w:val="17"/>
                <w:szCs w:val="17"/>
                <w:lang w:val="fr-FR"/>
              </w:rPr>
            </w:pPr>
            <w:r w:rsidRPr="00A66C9F">
              <w:rPr>
                <w:sz w:val="17"/>
                <w:szCs w:val="17"/>
                <w:lang w:val="fr-FR"/>
              </w:rPr>
              <w:t xml:space="preserve"> –</w:t>
            </w:r>
          </w:p>
        </w:tc>
        <w:tc>
          <w:tcPr>
            <w:tcW w:w="1155" w:type="dxa"/>
            <w:shd w:val="clear" w:color="auto" w:fill="FFFFFF"/>
            <w:noWrap/>
            <w:vAlign w:val="bottom"/>
            <w:hideMark/>
          </w:tcPr>
          <w:p w14:paraId="00622C0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b/>
                <w:bCs/>
                <w:sz w:val="17"/>
                <w:szCs w:val="17"/>
                <w:lang w:val="fr-FR"/>
              </w:rPr>
            </w:pPr>
            <w:r w:rsidRPr="00A66C9F">
              <w:rPr>
                <w:sz w:val="17"/>
                <w:lang w:val="fr-FR"/>
              </w:rPr>
              <w:t xml:space="preserve"> 9 040 </w:t>
            </w:r>
          </w:p>
        </w:tc>
        <w:tc>
          <w:tcPr>
            <w:tcW w:w="1155" w:type="dxa"/>
            <w:shd w:val="clear" w:color="auto" w:fill="FFFFFF"/>
            <w:noWrap/>
            <w:vAlign w:val="bottom"/>
            <w:hideMark/>
          </w:tcPr>
          <w:p w14:paraId="513F8B5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b/>
                <w:bCs/>
                <w:sz w:val="17"/>
                <w:szCs w:val="17"/>
                <w:lang w:val="fr-FR"/>
              </w:rPr>
            </w:pPr>
            <w:r w:rsidRPr="00A66C9F">
              <w:rPr>
                <w:sz w:val="17"/>
                <w:szCs w:val="17"/>
                <w:lang w:val="fr-FR"/>
              </w:rPr>
              <w:t xml:space="preserve"> –</w:t>
            </w:r>
          </w:p>
        </w:tc>
        <w:tc>
          <w:tcPr>
            <w:tcW w:w="1155" w:type="dxa"/>
            <w:shd w:val="clear" w:color="auto" w:fill="FFFFFF"/>
            <w:noWrap/>
            <w:vAlign w:val="bottom"/>
            <w:hideMark/>
          </w:tcPr>
          <w:p w14:paraId="0DD0718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b/>
                <w:bCs/>
                <w:sz w:val="17"/>
                <w:szCs w:val="17"/>
                <w:lang w:val="fr-FR"/>
              </w:rPr>
            </w:pPr>
            <w:r w:rsidRPr="00A66C9F">
              <w:rPr>
                <w:sz w:val="17"/>
                <w:lang w:val="fr-FR"/>
              </w:rPr>
              <w:t xml:space="preserve"> 9 040 </w:t>
            </w:r>
          </w:p>
        </w:tc>
      </w:tr>
      <w:tr w:rsidR="00744544" w:rsidRPr="00A66C9F" w14:paraId="3A31E0A3" w14:textId="77777777" w:rsidTr="00107D5D">
        <w:tc>
          <w:tcPr>
            <w:tcW w:w="2700" w:type="dxa"/>
            <w:tcBorders>
              <w:bottom w:val="single" w:sz="4" w:space="0" w:color="auto"/>
            </w:tcBorders>
            <w:shd w:val="clear" w:color="auto" w:fill="FFFFFF"/>
            <w:noWrap/>
            <w:vAlign w:val="bottom"/>
            <w:hideMark/>
          </w:tcPr>
          <w:p w14:paraId="0DD31313" w14:textId="77777777" w:rsidR="00744544" w:rsidRPr="00A66C9F" w:rsidRDefault="00744544" w:rsidP="00107D5D">
            <w:pPr>
              <w:tabs>
                <w:tab w:val="left" w:pos="288"/>
                <w:tab w:val="left" w:pos="576"/>
                <w:tab w:val="left" w:pos="864"/>
                <w:tab w:val="left" w:pos="1152"/>
              </w:tabs>
              <w:suppressAutoHyphens/>
              <w:spacing w:before="40" w:after="81" w:line="210" w:lineRule="exact"/>
              <w:ind w:right="40"/>
              <w:rPr>
                <w:sz w:val="17"/>
                <w:szCs w:val="17"/>
                <w:lang w:val="fr-FR"/>
              </w:rPr>
            </w:pPr>
            <w:r w:rsidRPr="00A66C9F">
              <w:rPr>
                <w:sz w:val="17"/>
                <w:lang w:val="fr-FR"/>
              </w:rPr>
              <w:t>Fonds – obligations de sociétés</w:t>
            </w:r>
          </w:p>
        </w:tc>
        <w:tc>
          <w:tcPr>
            <w:tcW w:w="1155" w:type="dxa"/>
            <w:tcBorders>
              <w:bottom w:val="single" w:sz="4" w:space="0" w:color="auto"/>
            </w:tcBorders>
            <w:shd w:val="clear" w:color="auto" w:fill="FFFFFF"/>
            <w:noWrap/>
            <w:vAlign w:val="bottom"/>
          </w:tcPr>
          <w:p w14:paraId="758F66F0"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szCs w:val="17"/>
                <w:lang w:val="fr-FR"/>
              </w:rPr>
              <w:t xml:space="preserve"> –</w:t>
            </w:r>
          </w:p>
        </w:tc>
        <w:tc>
          <w:tcPr>
            <w:tcW w:w="1155" w:type="dxa"/>
            <w:tcBorders>
              <w:bottom w:val="single" w:sz="4" w:space="0" w:color="auto"/>
            </w:tcBorders>
            <w:shd w:val="clear" w:color="auto" w:fill="FFFFFF"/>
            <w:noWrap/>
            <w:vAlign w:val="bottom"/>
          </w:tcPr>
          <w:p w14:paraId="196CF762"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szCs w:val="17"/>
                <w:lang w:val="fr-FR"/>
              </w:rPr>
              <w:t xml:space="preserve"> –</w:t>
            </w:r>
          </w:p>
        </w:tc>
        <w:tc>
          <w:tcPr>
            <w:tcW w:w="1155" w:type="dxa"/>
            <w:tcBorders>
              <w:bottom w:val="single" w:sz="4" w:space="0" w:color="auto"/>
            </w:tcBorders>
            <w:shd w:val="clear" w:color="auto" w:fill="FFFFFF"/>
            <w:noWrap/>
            <w:vAlign w:val="bottom"/>
          </w:tcPr>
          <w:p w14:paraId="045B1730"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lang w:val="fr-FR"/>
              </w:rPr>
              <w:t>48 646</w:t>
            </w:r>
          </w:p>
        </w:tc>
        <w:tc>
          <w:tcPr>
            <w:tcW w:w="1155" w:type="dxa"/>
            <w:tcBorders>
              <w:bottom w:val="single" w:sz="4" w:space="0" w:color="auto"/>
            </w:tcBorders>
            <w:shd w:val="clear" w:color="auto" w:fill="FFFFFF"/>
            <w:noWrap/>
            <w:vAlign w:val="bottom"/>
          </w:tcPr>
          <w:p w14:paraId="359542D6"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lang w:val="fr-FR"/>
              </w:rPr>
              <w:t xml:space="preserve"> 48 646 </w:t>
            </w:r>
          </w:p>
        </w:tc>
      </w:tr>
      <w:tr w:rsidR="00744544" w:rsidRPr="00A66C9F" w14:paraId="2C4AF99B" w14:textId="77777777" w:rsidTr="00107D5D">
        <w:tc>
          <w:tcPr>
            <w:tcW w:w="2700" w:type="dxa"/>
            <w:tcBorders>
              <w:top w:val="single" w:sz="4" w:space="0" w:color="auto"/>
              <w:bottom w:val="single" w:sz="4" w:space="0" w:color="auto"/>
            </w:tcBorders>
            <w:shd w:val="clear" w:color="auto" w:fill="FFFFFF"/>
            <w:noWrap/>
            <w:vAlign w:val="bottom"/>
            <w:hideMark/>
          </w:tcPr>
          <w:p w14:paraId="26839F57" w14:textId="77777777" w:rsidR="00744544" w:rsidRPr="00A66C9F" w:rsidRDefault="00744544" w:rsidP="00107D5D">
            <w:pPr>
              <w:tabs>
                <w:tab w:val="left" w:pos="288"/>
                <w:tab w:val="left" w:pos="576"/>
                <w:tab w:val="left" w:pos="864"/>
                <w:tab w:val="left" w:pos="1152"/>
              </w:tabs>
              <w:suppressAutoHyphens/>
              <w:spacing w:before="81" w:after="81" w:line="210" w:lineRule="exact"/>
              <w:ind w:left="220" w:right="40" w:hanging="216"/>
              <w:rPr>
                <w:b/>
                <w:bCs/>
                <w:sz w:val="17"/>
                <w:szCs w:val="17"/>
                <w:u w:val="single"/>
                <w:lang w:val="fr-FR"/>
              </w:rPr>
            </w:pPr>
            <w:r w:rsidRPr="00A66C9F">
              <w:rPr>
                <w:b/>
                <w:bCs/>
                <w:sz w:val="17"/>
                <w:lang w:val="fr-FR"/>
              </w:rPr>
              <w:tab/>
              <w:t>Total des valeurs à revenu fixe</w:t>
            </w:r>
          </w:p>
        </w:tc>
        <w:tc>
          <w:tcPr>
            <w:tcW w:w="1155" w:type="dxa"/>
            <w:tcBorders>
              <w:top w:val="single" w:sz="4" w:space="0" w:color="auto"/>
              <w:bottom w:val="single" w:sz="4" w:space="0" w:color="auto"/>
            </w:tcBorders>
            <w:shd w:val="clear" w:color="auto" w:fill="FFFFFF"/>
            <w:noWrap/>
            <w:vAlign w:val="bottom"/>
          </w:tcPr>
          <w:p w14:paraId="22848315"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szCs w:val="17"/>
                <w:lang w:val="fr-FR"/>
              </w:rPr>
            </w:pPr>
            <w:r w:rsidRPr="00A66C9F">
              <w:rPr>
                <w:b/>
                <w:bCs/>
                <w:sz w:val="17"/>
                <w:szCs w:val="17"/>
                <w:lang w:val="fr-FR"/>
              </w:rPr>
              <w:t xml:space="preserve"> –</w:t>
            </w:r>
          </w:p>
        </w:tc>
        <w:tc>
          <w:tcPr>
            <w:tcW w:w="1155" w:type="dxa"/>
            <w:tcBorders>
              <w:top w:val="single" w:sz="4" w:space="0" w:color="auto"/>
              <w:bottom w:val="single" w:sz="4" w:space="0" w:color="auto"/>
            </w:tcBorders>
            <w:shd w:val="clear" w:color="auto" w:fill="FFFFFF"/>
            <w:noWrap/>
            <w:vAlign w:val="bottom"/>
          </w:tcPr>
          <w:p w14:paraId="50A57221"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bCs/>
                <w:sz w:val="17"/>
                <w:szCs w:val="17"/>
                <w:lang w:val="fr-FR"/>
              </w:rPr>
            </w:pPr>
            <w:r w:rsidRPr="00A66C9F">
              <w:rPr>
                <w:b/>
                <w:bCs/>
                <w:sz w:val="17"/>
                <w:lang w:val="fr-FR"/>
              </w:rPr>
              <w:t>18 736 141</w:t>
            </w:r>
          </w:p>
        </w:tc>
        <w:tc>
          <w:tcPr>
            <w:tcW w:w="1155" w:type="dxa"/>
            <w:tcBorders>
              <w:top w:val="single" w:sz="4" w:space="0" w:color="auto"/>
              <w:bottom w:val="single" w:sz="4" w:space="0" w:color="auto"/>
            </w:tcBorders>
            <w:shd w:val="clear" w:color="auto" w:fill="FFFFFF"/>
            <w:noWrap/>
            <w:vAlign w:val="bottom"/>
          </w:tcPr>
          <w:p w14:paraId="761829FC"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szCs w:val="17"/>
                <w:lang w:val="fr-FR"/>
              </w:rPr>
            </w:pPr>
            <w:r w:rsidRPr="00A66C9F">
              <w:rPr>
                <w:b/>
                <w:bCs/>
                <w:sz w:val="17"/>
                <w:lang w:val="fr-FR"/>
              </w:rPr>
              <w:t>88 692</w:t>
            </w:r>
          </w:p>
        </w:tc>
        <w:tc>
          <w:tcPr>
            <w:tcW w:w="1155" w:type="dxa"/>
            <w:tcBorders>
              <w:top w:val="single" w:sz="4" w:space="0" w:color="auto"/>
              <w:bottom w:val="single" w:sz="4" w:space="0" w:color="auto"/>
            </w:tcBorders>
            <w:shd w:val="clear" w:color="auto" w:fill="FFFFFF"/>
            <w:noWrap/>
            <w:vAlign w:val="bottom"/>
          </w:tcPr>
          <w:p w14:paraId="180FAC20"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szCs w:val="17"/>
                <w:lang w:val="fr-FR"/>
              </w:rPr>
            </w:pPr>
            <w:r w:rsidRPr="00A66C9F">
              <w:rPr>
                <w:b/>
                <w:bCs/>
                <w:sz w:val="17"/>
                <w:lang w:val="fr-FR"/>
              </w:rPr>
              <w:t>18 824 833</w:t>
            </w:r>
          </w:p>
        </w:tc>
      </w:tr>
      <w:tr w:rsidR="00744544" w:rsidRPr="00A66C9F" w14:paraId="7A0DAAB1" w14:textId="77777777" w:rsidTr="00107D5D">
        <w:tc>
          <w:tcPr>
            <w:tcW w:w="2700" w:type="dxa"/>
            <w:shd w:val="clear" w:color="auto" w:fill="FFFFFF"/>
            <w:noWrap/>
            <w:vAlign w:val="bottom"/>
            <w:hideMark/>
          </w:tcPr>
          <w:p w14:paraId="535668B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b/>
                <w:bCs/>
                <w:sz w:val="17"/>
                <w:lang w:val="fr-FR"/>
              </w:rPr>
              <w:t>Actifs réels</w:t>
            </w:r>
          </w:p>
        </w:tc>
        <w:tc>
          <w:tcPr>
            <w:tcW w:w="1155" w:type="dxa"/>
            <w:shd w:val="clear" w:color="auto" w:fill="FFFFFF"/>
            <w:noWrap/>
            <w:vAlign w:val="bottom"/>
            <w:hideMark/>
          </w:tcPr>
          <w:p w14:paraId="34FBA07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1155" w:type="dxa"/>
            <w:shd w:val="clear" w:color="auto" w:fill="FFFFFF"/>
            <w:noWrap/>
            <w:vAlign w:val="bottom"/>
            <w:hideMark/>
          </w:tcPr>
          <w:p w14:paraId="34482F0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1155" w:type="dxa"/>
            <w:shd w:val="clear" w:color="auto" w:fill="FFFFFF"/>
            <w:noWrap/>
            <w:vAlign w:val="bottom"/>
            <w:hideMark/>
          </w:tcPr>
          <w:p w14:paraId="5041F18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1155" w:type="dxa"/>
            <w:shd w:val="clear" w:color="auto" w:fill="FFFFFF"/>
            <w:noWrap/>
            <w:vAlign w:val="bottom"/>
            <w:hideMark/>
          </w:tcPr>
          <w:p w14:paraId="0CDC49F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p>
        </w:tc>
      </w:tr>
      <w:tr w:rsidR="00744544" w:rsidRPr="00A66C9F" w14:paraId="7F935D68" w14:textId="77777777" w:rsidTr="00107D5D">
        <w:tc>
          <w:tcPr>
            <w:tcW w:w="2700" w:type="dxa"/>
            <w:shd w:val="clear" w:color="auto" w:fill="FFFFFF"/>
            <w:noWrap/>
            <w:vAlign w:val="bottom"/>
            <w:hideMark/>
          </w:tcPr>
          <w:p w14:paraId="795A4A1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Fonds de placement immobilier</w:t>
            </w:r>
          </w:p>
        </w:tc>
        <w:tc>
          <w:tcPr>
            <w:tcW w:w="1155" w:type="dxa"/>
            <w:shd w:val="clear" w:color="auto" w:fill="FFFFFF"/>
            <w:noWrap/>
            <w:vAlign w:val="bottom"/>
            <w:hideMark/>
          </w:tcPr>
          <w:p w14:paraId="17D8ABD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1155" w:type="dxa"/>
            <w:shd w:val="clear" w:color="auto" w:fill="FFFFFF"/>
            <w:noWrap/>
            <w:vAlign w:val="bottom"/>
            <w:hideMark/>
          </w:tcPr>
          <w:p w14:paraId="6E4466E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247 623</w:t>
            </w:r>
          </w:p>
        </w:tc>
        <w:tc>
          <w:tcPr>
            <w:tcW w:w="1155" w:type="dxa"/>
            <w:shd w:val="clear" w:color="auto" w:fill="FFFFFF"/>
            <w:noWrap/>
            <w:vAlign w:val="bottom"/>
            <w:hideMark/>
          </w:tcPr>
          <w:p w14:paraId="512DE23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3 942 280 </w:t>
            </w:r>
          </w:p>
        </w:tc>
        <w:tc>
          <w:tcPr>
            <w:tcW w:w="1155" w:type="dxa"/>
            <w:shd w:val="clear" w:color="auto" w:fill="FFFFFF"/>
            <w:noWrap/>
            <w:vAlign w:val="bottom"/>
            <w:hideMark/>
          </w:tcPr>
          <w:p w14:paraId="684D7BC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4 189 903 </w:t>
            </w:r>
          </w:p>
        </w:tc>
      </w:tr>
      <w:tr w:rsidR="00744544" w:rsidRPr="00A66C9F" w14:paraId="46DBBA80" w14:textId="77777777" w:rsidTr="00107D5D">
        <w:tc>
          <w:tcPr>
            <w:tcW w:w="2700" w:type="dxa"/>
            <w:shd w:val="clear" w:color="auto" w:fill="FFFFFF"/>
            <w:noWrap/>
            <w:vAlign w:val="bottom"/>
            <w:hideMark/>
          </w:tcPr>
          <w:p w14:paraId="53735B3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Infrastructures</w:t>
            </w:r>
          </w:p>
        </w:tc>
        <w:tc>
          <w:tcPr>
            <w:tcW w:w="1155" w:type="dxa"/>
            <w:shd w:val="clear" w:color="auto" w:fill="FFFFFF"/>
            <w:noWrap/>
            <w:vAlign w:val="bottom"/>
            <w:hideMark/>
          </w:tcPr>
          <w:p w14:paraId="0B8001C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w:t>
            </w:r>
          </w:p>
        </w:tc>
        <w:tc>
          <w:tcPr>
            <w:tcW w:w="1155" w:type="dxa"/>
            <w:shd w:val="clear" w:color="auto" w:fill="FFFFFF"/>
            <w:noWrap/>
            <w:vAlign w:val="bottom"/>
            <w:hideMark/>
          </w:tcPr>
          <w:p w14:paraId="48D05E1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w:t>
            </w:r>
          </w:p>
        </w:tc>
        <w:tc>
          <w:tcPr>
            <w:tcW w:w="1155" w:type="dxa"/>
            <w:shd w:val="clear" w:color="auto" w:fill="FFFFFF"/>
            <w:noWrap/>
            <w:vAlign w:val="bottom"/>
            <w:hideMark/>
          </w:tcPr>
          <w:p w14:paraId="7CB5B64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133 818 </w:t>
            </w:r>
          </w:p>
        </w:tc>
        <w:tc>
          <w:tcPr>
            <w:tcW w:w="1155" w:type="dxa"/>
            <w:shd w:val="clear" w:color="auto" w:fill="FFFFFF"/>
            <w:noWrap/>
            <w:vAlign w:val="bottom"/>
            <w:hideMark/>
          </w:tcPr>
          <w:p w14:paraId="621E7E2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133 818 </w:t>
            </w:r>
          </w:p>
        </w:tc>
      </w:tr>
      <w:tr w:rsidR="00744544" w:rsidRPr="00A66C9F" w14:paraId="59DF496D" w14:textId="77777777" w:rsidTr="00107D5D">
        <w:tc>
          <w:tcPr>
            <w:tcW w:w="2700" w:type="dxa"/>
            <w:tcBorders>
              <w:bottom w:val="single" w:sz="4" w:space="0" w:color="auto"/>
            </w:tcBorders>
            <w:shd w:val="clear" w:color="auto" w:fill="FFFFFF"/>
            <w:noWrap/>
            <w:vAlign w:val="bottom"/>
            <w:hideMark/>
          </w:tcPr>
          <w:p w14:paraId="768E89C7" w14:textId="77777777" w:rsidR="00744544" w:rsidRPr="00A66C9F" w:rsidRDefault="00744544" w:rsidP="00107D5D">
            <w:pPr>
              <w:tabs>
                <w:tab w:val="left" w:pos="288"/>
                <w:tab w:val="left" w:pos="576"/>
                <w:tab w:val="left" w:pos="864"/>
                <w:tab w:val="left" w:pos="1152"/>
              </w:tabs>
              <w:suppressAutoHyphens/>
              <w:spacing w:before="40" w:after="81" w:line="210" w:lineRule="exact"/>
              <w:ind w:right="40"/>
              <w:rPr>
                <w:sz w:val="17"/>
                <w:szCs w:val="17"/>
                <w:lang w:val="fr-FR"/>
              </w:rPr>
            </w:pPr>
            <w:r w:rsidRPr="00A66C9F">
              <w:rPr>
                <w:sz w:val="17"/>
                <w:lang w:val="fr-FR"/>
              </w:rPr>
              <w:t>Forêts exploitables</w:t>
            </w:r>
          </w:p>
        </w:tc>
        <w:tc>
          <w:tcPr>
            <w:tcW w:w="1155" w:type="dxa"/>
            <w:tcBorders>
              <w:bottom w:val="single" w:sz="4" w:space="0" w:color="auto"/>
            </w:tcBorders>
            <w:shd w:val="clear" w:color="auto" w:fill="FFFFFF"/>
            <w:noWrap/>
            <w:vAlign w:val="bottom"/>
            <w:hideMark/>
          </w:tcPr>
          <w:p w14:paraId="554889DB"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szCs w:val="17"/>
                <w:lang w:val="fr-FR"/>
              </w:rPr>
              <w:t xml:space="preserve"> –</w:t>
            </w:r>
          </w:p>
        </w:tc>
        <w:tc>
          <w:tcPr>
            <w:tcW w:w="1155" w:type="dxa"/>
            <w:tcBorders>
              <w:bottom w:val="single" w:sz="4" w:space="0" w:color="auto"/>
            </w:tcBorders>
            <w:shd w:val="clear" w:color="auto" w:fill="FFFFFF"/>
            <w:noWrap/>
            <w:vAlign w:val="bottom"/>
            <w:hideMark/>
          </w:tcPr>
          <w:p w14:paraId="5ADD8C6B"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szCs w:val="17"/>
                <w:lang w:val="fr-FR"/>
              </w:rPr>
              <w:t xml:space="preserve"> –</w:t>
            </w:r>
          </w:p>
        </w:tc>
        <w:tc>
          <w:tcPr>
            <w:tcW w:w="1155" w:type="dxa"/>
            <w:tcBorders>
              <w:bottom w:val="single" w:sz="4" w:space="0" w:color="auto"/>
            </w:tcBorders>
            <w:shd w:val="clear" w:color="auto" w:fill="FFFFFF"/>
            <w:noWrap/>
            <w:vAlign w:val="bottom"/>
            <w:hideMark/>
          </w:tcPr>
          <w:p w14:paraId="0060DA5D"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lang w:val="fr-FR"/>
              </w:rPr>
              <w:t xml:space="preserve"> 16 745 </w:t>
            </w:r>
          </w:p>
        </w:tc>
        <w:tc>
          <w:tcPr>
            <w:tcW w:w="1155" w:type="dxa"/>
            <w:tcBorders>
              <w:bottom w:val="single" w:sz="4" w:space="0" w:color="auto"/>
            </w:tcBorders>
            <w:shd w:val="clear" w:color="auto" w:fill="FFFFFF"/>
            <w:noWrap/>
            <w:vAlign w:val="bottom"/>
            <w:hideMark/>
          </w:tcPr>
          <w:p w14:paraId="1EA5CE12"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lang w:val="fr-FR"/>
              </w:rPr>
              <w:t xml:space="preserve"> 16 745 </w:t>
            </w:r>
          </w:p>
        </w:tc>
      </w:tr>
      <w:tr w:rsidR="00744544" w:rsidRPr="00A66C9F" w14:paraId="0DABAE53" w14:textId="77777777" w:rsidTr="00107D5D">
        <w:tc>
          <w:tcPr>
            <w:tcW w:w="2700" w:type="dxa"/>
            <w:tcBorders>
              <w:top w:val="single" w:sz="4" w:space="0" w:color="auto"/>
              <w:bottom w:val="single" w:sz="4" w:space="0" w:color="auto"/>
            </w:tcBorders>
            <w:shd w:val="clear" w:color="auto" w:fill="FFFFFF"/>
            <w:noWrap/>
            <w:vAlign w:val="bottom"/>
          </w:tcPr>
          <w:p w14:paraId="6610CE5C" w14:textId="77777777" w:rsidR="00744544" w:rsidRPr="00A66C9F" w:rsidRDefault="00744544" w:rsidP="00107D5D">
            <w:pPr>
              <w:tabs>
                <w:tab w:val="left" w:pos="288"/>
                <w:tab w:val="left" w:pos="576"/>
                <w:tab w:val="left" w:pos="864"/>
                <w:tab w:val="left" w:pos="1152"/>
              </w:tabs>
              <w:suppressAutoHyphens/>
              <w:spacing w:before="81" w:after="81" w:line="210" w:lineRule="exact"/>
              <w:ind w:left="220" w:right="40" w:hanging="216"/>
              <w:rPr>
                <w:b/>
                <w:bCs/>
                <w:sz w:val="17"/>
                <w:szCs w:val="17"/>
                <w:lang w:val="fr-FR"/>
              </w:rPr>
            </w:pPr>
            <w:r w:rsidRPr="00A66C9F">
              <w:rPr>
                <w:b/>
                <w:bCs/>
                <w:sz w:val="17"/>
                <w:lang w:val="fr-FR"/>
              </w:rPr>
              <w:tab/>
              <w:t>Total des actifs réels</w:t>
            </w:r>
          </w:p>
        </w:tc>
        <w:tc>
          <w:tcPr>
            <w:tcW w:w="1155" w:type="dxa"/>
            <w:tcBorders>
              <w:top w:val="single" w:sz="4" w:space="0" w:color="auto"/>
              <w:bottom w:val="single" w:sz="4" w:space="0" w:color="auto"/>
            </w:tcBorders>
            <w:shd w:val="clear" w:color="auto" w:fill="FFFFFF"/>
            <w:noWrap/>
            <w:vAlign w:val="bottom"/>
            <w:hideMark/>
          </w:tcPr>
          <w:p w14:paraId="2DC9919D"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bCs/>
                <w:sz w:val="17"/>
                <w:szCs w:val="17"/>
                <w:lang w:val="fr-FR"/>
              </w:rPr>
            </w:pPr>
            <w:r w:rsidRPr="00A66C9F">
              <w:rPr>
                <w:b/>
                <w:bCs/>
                <w:sz w:val="17"/>
                <w:szCs w:val="17"/>
                <w:lang w:val="fr-FR"/>
              </w:rPr>
              <w:t xml:space="preserve"> –</w:t>
            </w:r>
          </w:p>
        </w:tc>
        <w:tc>
          <w:tcPr>
            <w:tcW w:w="1155" w:type="dxa"/>
            <w:tcBorders>
              <w:top w:val="single" w:sz="4" w:space="0" w:color="auto"/>
              <w:bottom w:val="single" w:sz="4" w:space="0" w:color="auto"/>
            </w:tcBorders>
            <w:shd w:val="clear" w:color="auto" w:fill="FFFFFF"/>
            <w:noWrap/>
            <w:vAlign w:val="bottom"/>
          </w:tcPr>
          <w:p w14:paraId="28E406FC"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bCs/>
                <w:sz w:val="17"/>
                <w:szCs w:val="17"/>
                <w:lang w:val="fr-FR"/>
              </w:rPr>
            </w:pPr>
            <w:r w:rsidRPr="00A66C9F">
              <w:rPr>
                <w:b/>
                <w:bCs/>
                <w:sz w:val="17"/>
                <w:lang w:val="fr-FR"/>
              </w:rPr>
              <w:t>247 623</w:t>
            </w:r>
          </w:p>
        </w:tc>
        <w:tc>
          <w:tcPr>
            <w:tcW w:w="1155" w:type="dxa"/>
            <w:tcBorders>
              <w:top w:val="single" w:sz="4" w:space="0" w:color="auto"/>
              <w:bottom w:val="single" w:sz="4" w:space="0" w:color="auto"/>
            </w:tcBorders>
            <w:shd w:val="clear" w:color="auto" w:fill="FFFFFF"/>
            <w:noWrap/>
            <w:vAlign w:val="bottom"/>
          </w:tcPr>
          <w:p w14:paraId="4EECA7F2"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bCs/>
                <w:sz w:val="17"/>
                <w:szCs w:val="17"/>
                <w:lang w:val="fr-FR"/>
              </w:rPr>
            </w:pPr>
            <w:r w:rsidRPr="00A66C9F">
              <w:rPr>
                <w:b/>
                <w:bCs/>
                <w:sz w:val="17"/>
                <w:lang w:val="fr-FR"/>
              </w:rPr>
              <w:t>4 092 843</w:t>
            </w:r>
            <w:r w:rsidRPr="00A66C9F">
              <w:rPr>
                <w:b/>
                <w:sz w:val="17"/>
                <w:lang w:val="fr-FR"/>
              </w:rPr>
              <w:t xml:space="preserve"> </w:t>
            </w:r>
          </w:p>
        </w:tc>
        <w:tc>
          <w:tcPr>
            <w:tcW w:w="1155" w:type="dxa"/>
            <w:tcBorders>
              <w:top w:val="single" w:sz="4" w:space="0" w:color="auto"/>
              <w:bottom w:val="single" w:sz="4" w:space="0" w:color="auto"/>
            </w:tcBorders>
            <w:shd w:val="clear" w:color="auto" w:fill="FFFFFF"/>
            <w:noWrap/>
            <w:vAlign w:val="bottom"/>
          </w:tcPr>
          <w:p w14:paraId="67F3C3CE"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bCs/>
                <w:sz w:val="17"/>
                <w:szCs w:val="17"/>
                <w:lang w:val="fr-FR"/>
              </w:rPr>
            </w:pPr>
            <w:r w:rsidRPr="00A66C9F">
              <w:rPr>
                <w:b/>
                <w:bCs/>
                <w:sz w:val="17"/>
                <w:lang w:val="fr-FR"/>
              </w:rPr>
              <w:t>4 340 466</w:t>
            </w:r>
            <w:r w:rsidRPr="00A66C9F">
              <w:rPr>
                <w:b/>
                <w:sz w:val="17"/>
                <w:lang w:val="fr-FR"/>
              </w:rPr>
              <w:t xml:space="preserve"> </w:t>
            </w:r>
          </w:p>
        </w:tc>
      </w:tr>
      <w:tr w:rsidR="00744544" w:rsidRPr="00A66C9F" w14:paraId="79A1E925" w14:textId="77777777" w:rsidTr="00107D5D">
        <w:tc>
          <w:tcPr>
            <w:tcW w:w="2700" w:type="dxa"/>
            <w:tcBorders>
              <w:top w:val="single" w:sz="4" w:space="0" w:color="auto"/>
            </w:tcBorders>
            <w:shd w:val="clear" w:color="auto" w:fill="FFFFFF"/>
            <w:noWrap/>
            <w:vAlign w:val="bottom"/>
            <w:hideMark/>
          </w:tcPr>
          <w:p w14:paraId="0E4B5CA1" w14:textId="77777777" w:rsidR="00744544" w:rsidRPr="00A66C9F" w:rsidRDefault="00744544" w:rsidP="00107D5D">
            <w:pPr>
              <w:tabs>
                <w:tab w:val="left" w:pos="288"/>
                <w:tab w:val="left" w:pos="576"/>
                <w:tab w:val="left" w:pos="864"/>
                <w:tab w:val="left" w:pos="1152"/>
              </w:tabs>
              <w:suppressAutoHyphens/>
              <w:spacing w:before="81" w:after="40" w:line="210" w:lineRule="exact"/>
              <w:ind w:right="40"/>
              <w:rPr>
                <w:b/>
                <w:bCs/>
                <w:sz w:val="17"/>
                <w:szCs w:val="17"/>
                <w:lang w:val="fr-FR"/>
              </w:rPr>
            </w:pPr>
            <w:r w:rsidRPr="00A66C9F">
              <w:rPr>
                <w:b/>
                <w:bCs/>
                <w:sz w:val="17"/>
                <w:lang w:val="fr-FR"/>
              </w:rPr>
              <w:t>Investissements alternatifs et divers</w:t>
            </w:r>
          </w:p>
        </w:tc>
        <w:tc>
          <w:tcPr>
            <w:tcW w:w="1155" w:type="dxa"/>
            <w:tcBorders>
              <w:top w:val="single" w:sz="4" w:space="0" w:color="auto"/>
            </w:tcBorders>
            <w:shd w:val="clear" w:color="auto" w:fill="FFFFFF"/>
            <w:noWrap/>
            <w:vAlign w:val="bottom"/>
          </w:tcPr>
          <w:p w14:paraId="7C2D41FC" w14:textId="77777777" w:rsidR="00744544" w:rsidRPr="00A66C9F" w:rsidRDefault="00744544" w:rsidP="00107D5D">
            <w:pPr>
              <w:tabs>
                <w:tab w:val="left" w:pos="288"/>
                <w:tab w:val="left" w:pos="576"/>
                <w:tab w:val="left" w:pos="864"/>
                <w:tab w:val="left" w:pos="1152"/>
              </w:tabs>
              <w:suppressAutoHyphens/>
              <w:spacing w:before="81" w:after="40" w:line="210" w:lineRule="exact"/>
              <w:ind w:right="43"/>
              <w:jc w:val="right"/>
              <w:rPr>
                <w:sz w:val="17"/>
                <w:szCs w:val="17"/>
                <w:lang w:val="fr-FR"/>
              </w:rPr>
            </w:pPr>
          </w:p>
        </w:tc>
        <w:tc>
          <w:tcPr>
            <w:tcW w:w="1155" w:type="dxa"/>
            <w:tcBorders>
              <w:top w:val="single" w:sz="4" w:space="0" w:color="auto"/>
            </w:tcBorders>
            <w:shd w:val="clear" w:color="auto" w:fill="FFFFFF"/>
            <w:noWrap/>
            <w:vAlign w:val="bottom"/>
          </w:tcPr>
          <w:p w14:paraId="6F4954E8" w14:textId="77777777" w:rsidR="00744544" w:rsidRPr="00A66C9F" w:rsidRDefault="00744544" w:rsidP="00107D5D">
            <w:pPr>
              <w:tabs>
                <w:tab w:val="left" w:pos="288"/>
                <w:tab w:val="left" w:pos="576"/>
                <w:tab w:val="left" w:pos="864"/>
                <w:tab w:val="left" w:pos="1152"/>
              </w:tabs>
              <w:suppressAutoHyphens/>
              <w:spacing w:before="81" w:after="40" w:line="210" w:lineRule="exact"/>
              <w:ind w:right="43"/>
              <w:jc w:val="right"/>
              <w:rPr>
                <w:sz w:val="17"/>
                <w:szCs w:val="17"/>
                <w:lang w:val="fr-FR"/>
              </w:rPr>
            </w:pPr>
          </w:p>
        </w:tc>
        <w:tc>
          <w:tcPr>
            <w:tcW w:w="1155" w:type="dxa"/>
            <w:tcBorders>
              <w:top w:val="single" w:sz="4" w:space="0" w:color="auto"/>
            </w:tcBorders>
            <w:shd w:val="clear" w:color="auto" w:fill="FFFFFF"/>
            <w:noWrap/>
            <w:vAlign w:val="bottom"/>
          </w:tcPr>
          <w:p w14:paraId="6B4B4BEE" w14:textId="77777777" w:rsidR="00744544" w:rsidRPr="00A66C9F" w:rsidRDefault="00744544" w:rsidP="00107D5D">
            <w:pPr>
              <w:tabs>
                <w:tab w:val="left" w:pos="288"/>
                <w:tab w:val="left" w:pos="576"/>
                <w:tab w:val="left" w:pos="864"/>
                <w:tab w:val="left" w:pos="1152"/>
              </w:tabs>
              <w:suppressAutoHyphens/>
              <w:spacing w:before="81" w:after="40" w:line="210" w:lineRule="exact"/>
              <w:ind w:right="43"/>
              <w:jc w:val="right"/>
              <w:rPr>
                <w:sz w:val="17"/>
                <w:szCs w:val="17"/>
                <w:lang w:val="fr-FR"/>
              </w:rPr>
            </w:pPr>
          </w:p>
        </w:tc>
        <w:tc>
          <w:tcPr>
            <w:tcW w:w="1155" w:type="dxa"/>
            <w:tcBorders>
              <w:top w:val="single" w:sz="4" w:space="0" w:color="auto"/>
            </w:tcBorders>
            <w:shd w:val="clear" w:color="auto" w:fill="FFFFFF"/>
            <w:noWrap/>
            <w:vAlign w:val="bottom"/>
          </w:tcPr>
          <w:p w14:paraId="42ACC8D8" w14:textId="77777777" w:rsidR="00744544" w:rsidRPr="00A66C9F" w:rsidRDefault="00744544" w:rsidP="00107D5D">
            <w:pPr>
              <w:tabs>
                <w:tab w:val="left" w:pos="288"/>
                <w:tab w:val="left" w:pos="576"/>
                <w:tab w:val="left" w:pos="864"/>
                <w:tab w:val="left" w:pos="1152"/>
              </w:tabs>
              <w:suppressAutoHyphens/>
              <w:spacing w:before="81" w:after="40" w:line="210" w:lineRule="exact"/>
              <w:ind w:right="43"/>
              <w:jc w:val="right"/>
              <w:rPr>
                <w:sz w:val="17"/>
                <w:szCs w:val="17"/>
                <w:lang w:val="fr-FR"/>
              </w:rPr>
            </w:pPr>
          </w:p>
        </w:tc>
      </w:tr>
      <w:tr w:rsidR="00744544" w:rsidRPr="00A66C9F" w14:paraId="4B7DB230" w14:textId="77777777" w:rsidTr="00107D5D">
        <w:tc>
          <w:tcPr>
            <w:tcW w:w="2700" w:type="dxa"/>
            <w:shd w:val="clear" w:color="auto" w:fill="FFFFFF"/>
            <w:noWrap/>
            <w:vAlign w:val="bottom"/>
            <w:hideMark/>
          </w:tcPr>
          <w:p w14:paraId="537A391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Capital-investissement</w:t>
            </w:r>
          </w:p>
        </w:tc>
        <w:tc>
          <w:tcPr>
            <w:tcW w:w="1155" w:type="dxa"/>
            <w:shd w:val="clear" w:color="auto" w:fill="FFFFFF"/>
            <w:noWrap/>
            <w:vAlign w:val="bottom"/>
            <w:hideMark/>
          </w:tcPr>
          <w:p w14:paraId="12EDCD0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1155" w:type="dxa"/>
            <w:shd w:val="clear" w:color="auto" w:fill="FFFFFF"/>
            <w:noWrap/>
            <w:vAlign w:val="bottom"/>
            <w:hideMark/>
          </w:tcPr>
          <w:p w14:paraId="47DE4D1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1155" w:type="dxa"/>
            <w:shd w:val="clear" w:color="auto" w:fill="FFFFFF"/>
            <w:noWrap/>
            <w:vAlign w:val="bottom"/>
            <w:hideMark/>
          </w:tcPr>
          <w:p w14:paraId="363F7DB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2 640 817 </w:t>
            </w:r>
          </w:p>
        </w:tc>
        <w:tc>
          <w:tcPr>
            <w:tcW w:w="1155" w:type="dxa"/>
            <w:shd w:val="clear" w:color="auto" w:fill="FFFFFF"/>
            <w:noWrap/>
            <w:vAlign w:val="bottom"/>
            <w:hideMark/>
          </w:tcPr>
          <w:p w14:paraId="3CC7791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2 640 817 </w:t>
            </w:r>
          </w:p>
        </w:tc>
      </w:tr>
      <w:tr w:rsidR="00744544" w:rsidRPr="00A66C9F" w14:paraId="0D3CEF0E" w14:textId="77777777" w:rsidTr="00107D5D">
        <w:tc>
          <w:tcPr>
            <w:tcW w:w="2700" w:type="dxa"/>
            <w:tcBorders>
              <w:bottom w:val="single" w:sz="4" w:space="0" w:color="auto"/>
            </w:tcBorders>
            <w:shd w:val="clear" w:color="auto" w:fill="FFFFFF"/>
            <w:noWrap/>
            <w:vAlign w:val="bottom"/>
            <w:hideMark/>
          </w:tcPr>
          <w:p w14:paraId="3029A9D0" w14:textId="77777777" w:rsidR="00744544" w:rsidRPr="00A66C9F" w:rsidRDefault="00744544" w:rsidP="00107D5D">
            <w:pPr>
              <w:keepNext/>
              <w:tabs>
                <w:tab w:val="left" w:pos="288"/>
                <w:tab w:val="left" w:pos="576"/>
                <w:tab w:val="left" w:pos="864"/>
                <w:tab w:val="left" w:pos="1152"/>
              </w:tabs>
              <w:suppressAutoHyphens/>
              <w:spacing w:before="40" w:after="81" w:line="210" w:lineRule="exact"/>
              <w:ind w:right="40"/>
              <w:rPr>
                <w:sz w:val="17"/>
                <w:szCs w:val="17"/>
                <w:lang w:val="fr-FR"/>
              </w:rPr>
            </w:pPr>
            <w:r w:rsidRPr="00A66C9F">
              <w:rPr>
                <w:sz w:val="17"/>
                <w:lang w:val="fr-FR"/>
              </w:rPr>
              <w:lastRenderedPageBreak/>
              <w:t>Fonds de placement sur les marchés de produits de base</w:t>
            </w:r>
          </w:p>
        </w:tc>
        <w:tc>
          <w:tcPr>
            <w:tcW w:w="1155" w:type="dxa"/>
            <w:tcBorders>
              <w:bottom w:val="single" w:sz="4" w:space="0" w:color="auto"/>
            </w:tcBorders>
            <w:shd w:val="clear" w:color="auto" w:fill="FFFFFF"/>
            <w:noWrap/>
            <w:vAlign w:val="bottom"/>
            <w:hideMark/>
          </w:tcPr>
          <w:p w14:paraId="49646A40" w14:textId="77777777" w:rsidR="00744544" w:rsidRPr="00A66C9F" w:rsidRDefault="00744544" w:rsidP="00107D5D">
            <w:pPr>
              <w:keepNext/>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lang w:val="fr-FR"/>
              </w:rPr>
              <w:t xml:space="preserve"> –</w:t>
            </w:r>
          </w:p>
        </w:tc>
        <w:tc>
          <w:tcPr>
            <w:tcW w:w="1155" w:type="dxa"/>
            <w:tcBorders>
              <w:bottom w:val="single" w:sz="4" w:space="0" w:color="auto"/>
            </w:tcBorders>
            <w:shd w:val="clear" w:color="auto" w:fill="FFFFFF"/>
            <w:noWrap/>
            <w:vAlign w:val="bottom"/>
            <w:hideMark/>
          </w:tcPr>
          <w:p w14:paraId="2C4D035A" w14:textId="77777777" w:rsidR="00744544" w:rsidRPr="00A66C9F" w:rsidRDefault="00744544" w:rsidP="00107D5D">
            <w:pPr>
              <w:keepNext/>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lang w:val="fr-FR"/>
              </w:rPr>
              <w:t xml:space="preserve"> –</w:t>
            </w:r>
          </w:p>
        </w:tc>
        <w:tc>
          <w:tcPr>
            <w:tcW w:w="1155" w:type="dxa"/>
            <w:tcBorders>
              <w:bottom w:val="single" w:sz="4" w:space="0" w:color="auto"/>
            </w:tcBorders>
            <w:shd w:val="clear" w:color="auto" w:fill="FFFFFF"/>
            <w:noWrap/>
            <w:vAlign w:val="bottom"/>
            <w:hideMark/>
          </w:tcPr>
          <w:p w14:paraId="21864EF7" w14:textId="77777777" w:rsidR="00744544" w:rsidRPr="00A66C9F" w:rsidRDefault="00744544" w:rsidP="00107D5D">
            <w:pPr>
              <w:keepNext/>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lang w:val="fr-FR"/>
              </w:rPr>
              <w:t xml:space="preserve"> 102 560 </w:t>
            </w:r>
          </w:p>
        </w:tc>
        <w:tc>
          <w:tcPr>
            <w:tcW w:w="1155" w:type="dxa"/>
            <w:tcBorders>
              <w:bottom w:val="single" w:sz="4" w:space="0" w:color="auto"/>
            </w:tcBorders>
            <w:shd w:val="clear" w:color="auto" w:fill="FFFFFF"/>
            <w:noWrap/>
            <w:vAlign w:val="bottom"/>
            <w:hideMark/>
          </w:tcPr>
          <w:p w14:paraId="38902735" w14:textId="77777777" w:rsidR="00744544" w:rsidRPr="00A66C9F" w:rsidRDefault="00744544" w:rsidP="00107D5D">
            <w:pPr>
              <w:keepNext/>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lang w:val="fr-FR"/>
              </w:rPr>
              <w:t xml:space="preserve"> 102 560 </w:t>
            </w:r>
          </w:p>
        </w:tc>
      </w:tr>
      <w:tr w:rsidR="00744544" w:rsidRPr="00A66C9F" w14:paraId="4AE61204" w14:textId="77777777" w:rsidTr="00107D5D">
        <w:tc>
          <w:tcPr>
            <w:tcW w:w="2700" w:type="dxa"/>
            <w:tcBorders>
              <w:top w:val="single" w:sz="4" w:space="0" w:color="auto"/>
              <w:bottom w:val="single" w:sz="4" w:space="0" w:color="auto"/>
            </w:tcBorders>
            <w:shd w:val="clear" w:color="auto" w:fill="FFFFFF"/>
            <w:noWrap/>
            <w:vAlign w:val="bottom"/>
            <w:hideMark/>
          </w:tcPr>
          <w:p w14:paraId="75AB948B" w14:textId="77777777" w:rsidR="00744544" w:rsidRPr="00A66C9F" w:rsidRDefault="00744544" w:rsidP="00107D5D">
            <w:pPr>
              <w:tabs>
                <w:tab w:val="left" w:pos="288"/>
                <w:tab w:val="left" w:pos="576"/>
                <w:tab w:val="left" w:pos="864"/>
                <w:tab w:val="left" w:pos="1152"/>
              </w:tabs>
              <w:suppressAutoHyphens/>
              <w:spacing w:before="81" w:after="81" w:line="210" w:lineRule="exact"/>
              <w:ind w:left="220" w:right="40" w:hanging="216"/>
              <w:rPr>
                <w:b/>
                <w:bCs/>
                <w:sz w:val="17"/>
                <w:szCs w:val="21"/>
                <w:lang w:val="fr-FR"/>
              </w:rPr>
            </w:pPr>
            <w:r w:rsidRPr="00A66C9F">
              <w:rPr>
                <w:b/>
                <w:bCs/>
                <w:sz w:val="17"/>
                <w:lang w:val="fr-FR"/>
              </w:rPr>
              <w:tab/>
              <w:t>Total des investissements alternatifs et divers</w:t>
            </w:r>
          </w:p>
        </w:tc>
        <w:tc>
          <w:tcPr>
            <w:tcW w:w="1155" w:type="dxa"/>
            <w:tcBorders>
              <w:top w:val="single" w:sz="4" w:space="0" w:color="auto"/>
              <w:bottom w:val="single" w:sz="4" w:space="0" w:color="auto"/>
            </w:tcBorders>
            <w:shd w:val="clear" w:color="auto" w:fill="FFFFFF"/>
            <w:noWrap/>
            <w:vAlign w:val="bottom"/>
            <w:hideMark/>
          </w:tcPr>
          <w:p w14:paraId="526E9BFF" w14:textId="77777777" w:rsidR="00744544" w:rsidRPr="00A66C9F" w:rsidRDefault="00744544" w:rsidP="00107D5D">
            <w:pPr>
              <w:tabs>
                <w:tab w:val="left" w:pos="288"/>
                <w:tab w:val="left" w:pos="576"/>
                <w:tab w:val="left" w:pos="864"/>
                <w:tab w:val="left" w:pos="1152"/>
              </w:tabs>
              <w:suppressAutoHyphens/>
              <w:spacing w:before="81" w:after="81" w:line="210" w:lineRule="exact"/>
              <w:ind w:left="220" w:right="40" w:hanging="216"/>
              <w:jc w:val="right"/>
              <w:rPr>
                <w:b/>
                <w:bCs/>
                <w:sz w:val="17"/>
                <w:szCs w:val="21"/>
                <w:lang w:val="fr-FR"/>
              </w:rPr>
            </w:pPr>
            <w:r w:rsidRPr="00A66C9F">
              <w:rPr>
                <w:b/>
                <w:bCs/>
                <w:sz w:val="17"/>
                <w:lang w:val="fr-FR"/>
              </w:rPr>
              <w:t xml:space="preserve"> –</w:t>
            </w:r>
          </w:p>
        </w:tc>
        <w:tc>
          <w:tcPr>
            <w:tcW w:w="1155" w:type="dxa"/>
            <w:tcBorders>
              <w:top w:val="single" w:sz="4" w:space="0" w:color="auto"/>
              <w:bottom w:val="single" w:sz="4" w:space="0" w:color="auto"/>
            </w:tcBorders>
            <w:shd w:val="clear" w:color="auto" w:fill="FFFFFF"/>
            <w:noWrap/>
            <w:vAlign w:val="bottom"/>
            <w:hideMark/>
          </w:tcPr>
          <w:p w14:paraId="78635715" w14:textId="77777777" w:rsidR="00744544" w:rsidRPr="00A66C9F" w:rsidRDefault="00744544" w:rsidP="00107D5D">
            <w:pPr>
              <w:tabs>
                <w:tab w:val="left" w:pos="288"/>
                <w:tab w:val="left" w:pos="576"/>
                <w:tab w:val="left" w:pos="864"/>
                <w:tab w:val="left" w:pos="1152"/>
              </w:tabs>
              <w:suppressAutoHyphens/>
              <w:spacing w:before="81" w:after="81" w:line="210" w:lineRule="exact"/>
              <w:ind w:left="220" w:right="40" w:hanging="216"/>
              <w:jc w:val="right"/>
              <w:rPr>
                <w:b/>
                <w:bCs/>
                <w:sz w:val="17"/>
                <w:szCs w:val="21"/>
                <w:lang w:val="fr-FR"/>
              </w:rPr>
            </w:pPr>
            <w:r w:rsidRPr="00A66C9F">
              <w:rPr>
                <w:b/>
                <w:bCs/>
                <w:sz w:val="17"/>
                <w:lang w:val="fr-FR"/>
              </w:rPr>
              <w:t xml:space="preserve"> –</w:t>
            </w:r>
          </w:p>
        </w:tc>
        <w:tc>
          <w:tcPr>
            <w:tcW w:w="1155" w:type="dxa"/>
            <w:tcBorders>
              <w:top w:val="single" w:sz="4" w:space="0" w:color="auto"/>
              <w:bottom w:val="single" w:sz="4" w:space="0" w:color="auto"/>
            </w:tcBorders>
            <w:shd w:val="clear" w:color="auto" w:fill="FFFFFF"/>
            <w:noWrap/>
            <w:vAlign w:val="bottom"/>
            <w:hideMark/>
          </w:tcPr>
          <w:p w14:paraId="1610AB7B" w14:textId="77777777" w:rsidR="00744544" w:rsidRPr="00A66C9F" w:rsidRDefault="00744544" w:rsidP="00107D5D">
            <w:pPr>
              <w:tabs>
                <w:tab w:val="left" w:pos="288"/>
                <w:tab w:val="left" w:pos="576"/>
                <w:tab w:val="left" w:pos="864"/>
                <w:tab w:val="left" w:pos="1152"/>
              </w:tabs>
              <w:suppressAutoHyphens/>
              <w:spacing w:before="81" w:after="81" w:line="210" w:lineRule="exact"/>
              <w:ind w:left="220" w:right="40" w:hanging="216"/>
              <w:jc w:val="right"/>
              <w:rPr>
                <w:b/>
                <w:bCs/>
                <w:sz w:val="17"/>
                <w:szCs w:val="21"/>
                <w:lang w:val="fr-FR"/>
              </w:rPr>
            </w:pPr>
            <w:r w:rsidRPr="00A66C9F">
              <w:rPr>
                <w:b/>
                <w:bCs/>
                <w:sz w:val="17"/>
                <w:lang w:val="fr-FR"/>
              </w:rPr>
              <w:t xml:space="preserve"> 2 743 377 </w:t>
            </w:r>
          </w:p>
        </w:tc>
        <w:tc>
          <w:tcPr>
            <w:tcW w:w="1155" w:type="dxa"/>
            <w:tcBorders>
              <w:top w:val="single" w:sz="4" w:space="0" w:color="auto"/>
              <w:bottom w:val="single" w:sz="4" w:space="0" w:color="auto"/>
            </w:tcBorders>
            <w:shd w:val="clear" w:color="auto" w:fill="FFFFFF"/>
            <w:noWrap/>
            <w:vAlign w:val="bottom"/>
            <w:hideMark/>
          </w:tcPr>
          <w:p w14:paraId="188F4210" w14:textId="77777777" w:rsidR="00744544" w:rsidRPr="00A66C9F" w:rsidRDefault="00744544" w:rsidP="00107D5D">
            <w:pPr>
              <w:tabs>
                <w:tab w:val="left" w:pos="288"/>
                <w:tab w:val="left" w:pos="576"/>
                <w:tab w:val="left" w:pos="864"/>
                <w:tab w:val="left" w:pos="1152"/>
              </w:tabs>
              <w:suppressAutoHyphens/>
              <w:spacing w:before="81" w:after="81" w:line="210" w:lineRule="exact"/>
              <w:ind w:left="220" w:right="40" w:hanging="216"/>
              <w:jc w:val="right"/>
              <w:rPr>
                <w:b/>
                <w:bCs/>
                <w:sz w:val="17"/>
                <w:szCs w:val="21"/>
                <w:lang w:val="fr-FR"/>
              </w:rPr>
            </w:pPr>
            <w:r w:rsidRPr="00A66C9F">
              <w:rPr>
                <w:b/>
                <w:bCs/>
                <w:sz w:val="17"/>
                <w:lang w:val="fr-FR"/>
              </w:rPr>
              <w:t xml:space="preserve"> 2 743 377 </w:t>
            </w:r>
          </w:p>
        </w:tc>
      </w:tr>
      <w:tr w:rsidR="00744544" w:rsidRPr="00A66C9F" w14:paraId="3D0847D9" w14:textId="77777777" w:rsidTr="00107D5D">
        <w:tc>
          <w:tcPr>
            <w:tcW w:w="2700" w:type="dxa"/>
            <w:tcBorders>
              <w:top w:val="single" w:sz="4" w:space="0" w:color="auto"/>
              <w:bottom w:val="single" w:sz="12" w:space="0" w:color="auto"/>
            </w:tcBorders>
            <w:shd w:val="clear" w:color="auto" w:fill="FFFFFF"/>
            <w:noWrap/>
            <w:vAlign w:val="bottom"/>
          </w:tcPr>
          <w:p w14:paraId="774DF1C0" w14:textId="77777777" w:rsidR="00744544" w:rsidRPr="00A66C9F" w:rsidRDefault="00744544" w:rsidP="00107D5D">
            <w:pPr>
              <w:tabs>
                <w:tab w:val="left" w:pos="288"/>
                <w:tab w:val="left" w:pos="576"/>
                <w:tab w:val="left" w:pos="864"/>
                <w:tab w:val="left" w:pos="1152"/>
              </w:tabs>
              <w:suppressAutoHyphens/>
              <w:spacing w:before="81" w:after="81" w:line="210" w:lineRule="exact"/>
              <w:ind w:left="220" w:right="40" w:hanging="216"/>
              <w:rPr>
                <w:b/>
                <w:bCs/>
                <w:sz w:val="17"/>
                <w:lang w:val="fr-FR"/>
              </w:rPr>
            </w:pPr>
            <w:r w:rsidRPr="00A66C9F">
              <w:rPr>
                <w:b/>
                <w:bCs/>
                <w:sz w:val="17"/>
                <w:lang w:val="fr-FR"/>
              </w:rPr>
              <w:tab/>
              <w:t>Total</w:t>
            </w:r>
          </w:p>
        </w:tc>
        <w:tc>
          <w:tcPr>
            <w:tcW w:w="1155" w:type="dxa"/>
            <w:tcBorders>
              <w:top w:val="single" w:sz="4" w:space="0" w:color="auto"/>
              <w:bottom w:val="single" w:sz="12" w:space="0" w:color="auto"/>
            </w:tcBorders>
            <w:shd w:val="clear" w:color="auto" w:fill="FFFFFF"/>
            <w:noWrap/>
            <w:vAlign w:val="bottom"/>
          </w:tcPr>
          <w:p w14:paraId="04404BD7" w14:textId="77777777" w:rsidR="00744544" w:rsidRPr="00A66C9F" w:rsidRDefault="00744544" w:rsidP="00107D5D">
            <w:pPr>
              <w:tabs>
                <w:tab w:val="left" w:pos="288"/>
                <w:tab w:val="left" w:pos="576"/>
                <w:tab w:val="left" w:pos="864"/>
                <w:tab w:val="left" w:pos="1152"/>
              </w:tabs>
              <w:suppressAutoHyphens/>
              <w:spacing w:before="81" w:after="81" w:line="210" w:lineRule="exact"/>
              <w:ind w:left="220" w:right="40" w:hanging="216"/>
              <w:jc w:val="right"/>
              <w:rPr>
                <w:b/>
                <w:bCs/>
                <w:sz w:val="17"/>
                <w:lang w:val="fr-FR"/>
              </w:rPr>
            </w:pPr>
            <w:r w:rsidRPr="00A66C9F">
              <w:rPr>
                <w:b/>
                <w:bCs/>
                <w:sz w:val="17"/>
                <w:lang w:val="fr-FR"/>
              </w:rPr>
              <w:t>34 273 574</w:t>
            </w:r>
          </w:p>
        </w:tc>
        <w:tc>
          <w:tcPr>
            <w:tcW w:w="1155" w:type="dxa"/>
            <w:tcBorders>
              <w:top w:val="single" w:sz="4" w:space="0" w:color="auto"/>
              <w:bottom w:val="single" w:sz="12" w:space="0" w:color="auto"/>
            </w:tcBorders>
            <w:shd w:val="clear" w:color="auto" w:fill="FFFFFF"/>
            <w:noWrap/>
            <w:vAlign w:val="bottom"/>
          </w:tcPr>
          <w:p w14:paraId="31AA189A" w14:textId="77777777" w:rsidR="00744544" w:rsidRPr="00A66C9F" w:rsidRDefault="00744544" w:rsidP="00107D5D">
            <w:pPr>
              <w:tabs>
                <w:tab w:val="left" w:pos="288"/>
                <w:tab w:val="left" w:pos="576"/>
                <w:tab w:val="left" w:pos="864"/>
                <w:tab w:val="left" w:pos="1152"/>
              </w:tabs>
              <w:suppressAutoHyphens/>
              <w:spacing w:before="81" w:after="81" w:line="210" w:lineRule="exact"/>
              <w:ind w:left="220" w:right="40" w:hanging="216"/>
              <w:jc w:val="right"/>
              <w:rPr>
                <w:b/>
                <w:bCs/>
                <w:sz w:val="17"/>
                <w:lang w:val="fr-FR"/>
              </w:rPr>
            </w:pPr>
            <w:r w:rsidRPr="00A66C9F">
              <w:rPr>
                <w:b/>
                <w:bCs/>
                <w:sz w:val="17"/>
                <w:lang w:val="fr-FR"/>
              </w:rPr>
              <w:t>18 983 764</w:t>
            </w:r>
          </w:p>
        </w:tc>
        <w:tc>
          <w:tcPr>
            <w:tcW w:w="1155" w:type="dxa"/>
            <w:tcBorders>
              <w:top w:val="single" w:sz="4" w:space="0" w:color="auto"/>
              <w:bottom w:val="single" w:sz="12" w:space="0" w:color="auto"/>
            </w:tcBorders>
            <w:shd w:val="clear" w:color="auto" w:fill="FFFFFF"/>
            <w:noWrap/>
            <w:vAlign w:val="bottom"/>
          </w:tcPr>
          <w:p w14:paraId="657E86D6" w14:textId="77777777" w:rsidR="00744544" w:rsidRPr="00A66C9F" w:rsidRDefault="00744544" w:rsidP="00107D5D">
            <w:pPr>
              <w:tabs>
                <w:tab w:val="left" w:pos="288"/>
                <w:tab w:val="left" w:pos="576"/>
                <w:tab w:val="left" w:pos="864"/>
                <w:tab w:val="left" w:pos="1152"/>
              </w:tabs>
              <w:suppressAutoHyphens/>
              <w:spacing w:before="81" w:after="81" w:line="210" w:lineRule="exact"/>
              <w:ind w:left="220" w:right="40" w:hanging="216"/>
              <w:jc w:val="right"/>
              <w:rPr>
                <w:b/>
                <w:bCs/>
                <w:sz w:val="17"/>
                <w:lang w:val="fr-FR"/>
              </w:rPr>
            </w:pPr>
            <w:r w:rsidRPr="00A66C9F">
              <w:rPr>
                <w:b/>
                <w:bCs/>
                <w:sz w:val="17"/>
                <w:lang w:val="fr-FR"/>
              </w:rPr>
              <w:t>7 052 497</w:t>
            </w:r>
          </w:p>
        </w:tc>
        <w:tc>
          <w:tcPr>
            <w:tcW w:w="1155" w:type="dxa"/>
            <w:tcBorders>
              <w:top w:val="single" w:sz="4" w:space="0" w:color="auto"/>
              <w:bottom w:val="single" w:sz="12" w:space="0" w:color="auto"/>
            </w:tcBorders>
            <w:shd w:val="clear" w:color="auto" w:fill="FFFFFF"/>
            <w:noWrap/>
            <w:vAlign w:val="bottom"/>
          </w:tcPr>
          <w:p w14:paraId="4207B71A" w14:textId="77777777" w:rsidR="00744544" w:rsidRPr="00A66C9F" w:rsidRDefault="00744544" w:rsidP="00107D5D">
            <w:pPr>
              <w:tabs>
                <w:tab w:val="left" w:pos="288"/>
                <w:tab w:val="left" w:pos="576"/>
                <w:tab w:val="left" w:pos="864"/>
                <w:tab w:val="left" w:pos="1152"/>
              </w:tabs>
              <w:suppressAutoHyphens/>
              <w:spacing w:before="81" w:after="81" w:line="210" w:lineRule="exact"/>
              <w:ind w:left="220" w:right="40" w:hanging="216"/>
              <w:jc w:val="right"/>
              <w:rPr>
                <w:b/>
                <w:bCs/>
                <w:sz w:val="17"/>
                <w:lang w:val="fr-FR"/>
              </w:rPr>
            </w:pPr>
            <w:r w:rsidRPr="00A66C9F">
              <w:rPr>
                <w:b/>
                <w:bCs/>
                <w:sz w:val="17"/>
                <w:lang w:val="fr-FR"/>
              </w:rPr>
              <w:t>60 309 835</w:t>
            </w:r>
          </w:p>
        </w:tc>
      </w:tr>
    </w:tbl>
    <w:p w14:paraId="01B91CCA" w14:textId="77777777" w:rsidR="00744544" w:rsidRPr="00A66C9F" w:rsidRDefault="00744544" w:rsidP="00744544">
      <w:pPr>
        <w:pStyle w:val="SingleTxt"/>
        <w:spacing w:after="0" w:line="120" w:lineRule="exact"/>
        <w:rPr>
          <w:sz w:val="10"/>
          <w:lang w:val="fr-FR"/>
        </w:rPr>
      </w:pPr>
    </w:p>
    <w:p w14:paraId="35921367" w14:textId="77777777" w:rsidR="00744544" w:rsidRPr="00A66C9F" w:rsidRDefault="00744544" w:rsidP="00744544">
      <w:pPr>
        <w:pStyle w:val="SingleTxt"/>
        <w:spacing w:after="0" w:line="120" w:lineRule="exact"/>
        <w:rPr>
          <w:sz w:val="10"/>
          <w:lang w:val="fr-FR"/>
        </w:rPr>
      </w:pPr>
    </w:p>
    <w:p w14:paraId="3FFF1BBB" w14:textId="77777777" w:rsidR="00744544" w:rsidRPr="00A66C9F" w:rsidRDefault="00744544" w:rsidP="00744544">
      <w:pPr>
        <w:pStyle w:val="SingleTxt"/>
        <w:spacing w:after="0" w:line="120" w:lineRule="exact"/>
        <w:rPr>
          <w:sz w:val="10"/>
          <w:lang w:val="fr-FR"/>
        </w:rPr>
      </w:pPr>
    </w:p>
    <w:p w14:paraId="38D7A016" w14:textId="77777777" w:rsidR="00744544" w:rsidRPr="00A66C9F" w:rsidRDefault="00744544" w:rsidP="0074454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Actions</w:t>
      </w:r>
    </w:p>
    <w:p w14:paraId="43254CF3" w14:textId="77777777" w:rsidR="00744544" w:rsidRPr="00A66C9F" w:rsidRDefault="00744544" w:rsidP="00744544">
      <w:pPr>
        <w:pStyle w:val="SingleTxt"/>
        <w:spacing w:after="0" w:line="120" w:lineRule="exact"/>
        <w:rPr>
          <w:sz w:val="10"/>
          <w:lang w:val="fr-FR"/>
        </w:rPr>
      </w:pPr>
    </w:p>
    <w:p w14:paraId="0905E1C5" w14:textId="77777777" w:rsidR="00744544" w:rsidRPr="00A66C9F" w:rsidRDefault="00744544" w:rsidP="00753AB8">
      <w:pPr>
        <w:pStyle w:val="SingleTxt"/>
        <w:numPr>
          <w:ilvl w:val="0"/>
          <w:numId w:val="15"/>
        </w:numPr>
        <w:spacing w:line="240" w:lineRule="exact"/>
        <w:rPr>
          <w:szCs w:val="20"/>
          <w:lang w:val="fr-FR"/>
        </w:rPr>
      </w:pPr>
      <w:r w:rsidRPr="00A66C9F">
        <w:rPr>
          <w:lang w:val="fr-FR"/>
        </w:rPr>
        <w:t xml:space="preserve">Les actions ordinaires et privilégiées, les fonds indiciels cotés, les fonds de placement immobilier et les titres composés ont été classés au niveau 1 lorsque le cours acheteur était disponible auprès d’institutions. </w:t>
      </w:r>
    </w:p>
    <w:p w14:paraId="41B2EDBA" w14:textId="77777777" w:rsidR="00744544" w:rsidRPr="00A66C9F" w:rsidRDefault="00744544" w:rsidP="00753AB8">
      <w:pPr>
        <w:pStyle w:val="SingleTxt"/>
        <w:numPr>
          <w:ilvl w:val="0"/>
          <w:numId w:val="15"/>
        </w:numPr>
        <w:spacing w:line="240" w:lineRule="exact"/>
        <w:rPr>
          <w:szCs w:val="20"/>
          <w:lang w:val="fr-FR"/>
        </w:rPr>
      </w:pPr>
      <w:r w:rsidRPr="00A66C9F">
        <w:rPr>
          <w:lang w:val="fr-FR"/>
        </w:rPr>
        <w:t>Les fonds d’actions ordinaires, qui représentaient 138,9 millions de dollars au 31 décembre 2019 (contre 127,6 millions de dollars au 31 décembre 2018) ont été évalués en fonction de leur valeur liquidative et classés en conséquence au niveau 3.</w:t>
      </w:r>
    </w:p>
    <w:p w14:paraId="0856C407" w14:textId="77777777" w:rsidR="00744544" w:rsidRPr="00A66C9F" w:rsidRDefault="00744544" w:rsidP="00744544">
      <w:pPr>
        <w:pStyle w:val="SingleTxt"/>
        <w:spacing w:after="0" w:line="120" w:lineRule="exact"/>
        <w:rPr>
          <w:sz w:val="10"/>
          <w:lang w:val="fr-FR"/>
        </w:rPr>
      </w:pPr>
    </w:p>
    <w:p w14:paraId="03AAF0A7" w14:textId="77777777" w:rsidR="00744544" w:rsidRPr="00A66C9F" w:rsidRDefault="00744544" w:rsidP="0074454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FR"/>
        </w:rPr>
      </w:pPr>
      <w:r w:rsidRPr="00A66C9F">
        <w:rPr>
          <w:spacing w:val="4"/>
          <w:lang w:val="fr-FR"/>
        </w:rPr>
        <w:tab/>
      </w:r>
      <w:r w:rsidRPr="00A66C9F">
        <w:rPr>
          <w:spacing w:val="4"/>
          <w:lang w:val="fr-FR"/>
        </w:rPr>
        <w:tab/>
        <w:t>Valeurs à revenu fixe</w:t>
      </w:r>
    </w:p>
    <w:p w14:paraId="4FDEDB4F" w14:textId="77777777" w:rsidR="00744544" w:rsidRPr="00A66C9F" w:rsidRDefault="00744544" w:rsidP="00744544">
      <w:pPr>
        <w:pStyle w:val="SingleTxt"/>
        <w:spacing w:after="0" w:line="120" w:lineRule="exact"/>
        <w:rPr>
          <w:sz w:val="10"/>
          <w:lang w:val="fr-FR"/>
        </w:rPr>
      </w:pPr>
    </w:p>
    <w:p w14:paraId="339038B9" w14:textId="77777777" w:rsidR="00744544" w:rsidRPr="00A66C9F" w:rsidRDefault="00744544" w:rsidP="00753AB8">
      <w:pPr>
        <w:pStyle w:val="SingleTxt"/>
        <w:numPr>
          <w:ilvl w:val="0"/>
          <w:numId w:val="15"/>
        </w:numPr>
        <w:spacing w:line="240" w:lineRule="exact"/>
        <w:rPr>
          <w:szCs w:val="20"/>
          <w:lang w:val="fr-FR"/>
        </w:rPr>
      </w:pPr>
      <w:r w:rsidRPr="00A66C9F">
        <w:rPr>
          <w:lang w:val="fr-FR"/>
        </w:rPr>
        <w:t>Dans leur immense majorité, les informations sur les cours des valeurs à revenu fixe ne provenaient pas directement d’un marché actif, ce qui aurait entraîné un classement au niveau 1. Ces informations ayant été obtenues à partir des offres des courtiers, qui constituent des cotations indicatives, les valeurs à revenu fixe ont été classées au niveau 2.</w:t>
      </w:r>
    </w:p>
    <w:p w14:paraId="3EDCCE93" w14:textId="77777777" w:rsidR="00744544" w:rsidRPr="00A66C9F" w:rsidRDefault="00744544" w:rsidP="00753AB8">
      <w:pPr>
        <w:pStyle w:val="SingleTxt"/>
        <w:numPr>
          <w:ilvl w:val="0"/>
          <w:numId w:val="15"/>
        </w:numPr>
        <w:spacing w:line="240" w:lineRule="exact"/>
        <w:rPr>
          <w:szCs w:val="20"/>
          <w:lang w:val="fr-FR"/>
        </w:rPr>
      </w:pPr>
      <w:r w:rsidRPr="00A66C9F">
        <w:rPr>
          <w:szCs w:val="20"/>
          <w:lang w:val="fr-FR"/>
        </w:rPr>
        <w:t>Les</w:t>
      </w:r>
      <w:r w:rsidRPr="00A66C9F">
        <w:rPr>
          <w:lang w:val="fr-FR"/>
        </w:rPr>
        <w:t xml:space="preserve"> fonds d’obligations de sociétés, qui représentaient 53,7 millions de dollars au 31 décembre 2019 (contre 48,6 millions de dollars au 31 décembre 2018), les titres adossés à des actifs, qui représentaient 4,2 millions de dollars (contre zéro au 31 décembre 2018), et les obligations de sociétés, qui représentaient 42,9 millions de dollars (contre 40 millions de dollars au 31 décembre 2018), relevaient du niveau 3. Les données de marché retenues pour en estimer la juste valeur, bien que disponibles auprès de tiers, n’étaient pas précises ou aisément observables, d’où la décision de la Caisse de classer les investissements en question à ce niveau. </w:t>
      </w:r>
    </w:p>
    <w:p w14:paraId="37EDAE2D" w14:textId="77777777" w:rsidR="00744544" w:rsidRPr="00A66C9F" w:rsidRDefault="00744544" w:rsidP="00744544">
      <w:pPr>
        <w:pStyle w:val="SingleTxt"/>
        <w:spacing w:after="0" w:line="120" w:lineRule="exact"/>
        <w:rPr>
          <w:sz w:val="10"/>
          <w:lang w:val="fr-FR"/>
        </w:rPr>
      </w:pPr>
    </w:p>
    <w:p w14:paraId="343FC6D8" w14:textId="77777777" w:rsidR="00744544" w:rsidRPr="00A66C9F" w:rsidRDefault="00744544" w:rsidP="0074454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Actifs réels et investissements alternatifs et divers</w:t>
      </w:r>
    </w:p>
    <w:p w14:paraId="0DBC25C9" w14:textId="77777777" w:rsidR="00744544" w:rsidRPr="00A66C9F" w:rsidRDefault="00744544" w:rsidP="00744544">
      <w:pPr>
        <w:pStyle w:val="SingleTxt"/>
        <w:spacing w:after="0" w:line="120" w:lineRule="exact"/>
        <w:rPr>
          <w:sz w:val="10"/>
          <w:lang w:val="fr-FR"/>
        </w:rPr>
      </w:pPr>
    </w:p>
    <w:p w14:paraId="06025748" w14:textId="77777777" w:rsidR="00744544" w:rsidRPr="00A66C9F" w:rsidRDefault="00744544" w:rsidP="00753AB8">
      <w:pPr>
        <w:pStyle w:val="SingleTxt"/>
        <w:numPr>
          <w:ilvl w:val="0"/>
          <w:numId w:val="15"/>
        </w:numPr>
        <w:spacing w:line="240" w:lineRule="exact"/>
        <w:rPr>
          <w:szCs w:val="20"/>
          <w:lang w:val="fr-FR"/>
        </w:rPr>
      </w:pPr>
      <w:r w:rsidRPr="00A66C9F">
        <w:rPr>
          <w:lang w:val="fr-FR"/>
        </w:rPr>
        <w:t>Les titres immobiliers, d’un montant de 4 971,9 millions de dollars au 31 décembre 2019 (contre 4 092,8 millions de dollars au 31 décembre 2018), déduction faite d’un intérêt passif de 171,9 millions de dollars (contre 176,9 millions de dollars au 31 décembre 2018), de même que les investissements alternatifs et divers, qui se montaient à 3 626,5 millions de dollars au 31 décembre 2019 (contre 2 743,4 millions de dollars au 31 décembre 2018), déduction faite d’un intérêt passif de 222,5 millions de dollars (contre 138,2 millions de dollars au 31 décembre 2018), ont été classés au niveau 3, car les prix en ont été évalués en fonction de la valeur liquidative, méthode pour laquelle la Caisse n’est pas en mesure de corroborer ou de vérifier les données d’entrée sur la base de données de marché observables. De plus, comme les options de remboursement sont limitées pour les investisseurs, les prises de position dans ces titres sont fort peu liquides.</w:t>
      </w:r>
    </w:p>
    <w:p w14:paraId="22DB0EAB" w14:textId="77777777" w:rsidR="00744544" w:rsidRPr="00A66C9F" w:rsidRDefault="00744544" w:rsidP="00753AB8">
      <w:pPr>
        <w:pStyle w:val="SingleTxt"/>
        <w:numPr>
          <w:ilvl w:val="0"/>
          <w:numId w:val="15"/>
        </w:numPr>
        <w:spacing w:line="240" w:lineRule="exact"/>
        <w:rPr>
          <w:szCs w:val="20"/>
          <w:lang w:val="fr-FR"/>
        </w:rPr>
      </w:pPr>
      <w:r w:rsidRPr="00A66C9F">
        <w:rPr>
          <w:lang w:val="fr-FR"/>
        </w:rPr>
        <w:t>Deux fonds de placement immobilier représentant 229,9 millions de dollars (contre 247,6 millions de dollars au 31 décembre 2018), qui étaient remboursables par anticipation à la valeur liquidative sans pénalités, ont été classés au niveau 2 et comptabilisés à la valeur liquidative indiquée par le gestionnaire.</w:t>
      </w:r>
    </w:p>
    <w:p w14:paraId="48CE81B9" w14:textId="77777777" w:rsidR="00744544" w:rsidRPr="00A66C9F" w:rsidRDefault="00744544" w:rsidP="00753AB8">
      <w:pPr>
        <w:pStyle w:val="SingleTxt"/>
        <w:numPr>
          <w:ilvl w:val="0"/>
          <w:numId w:val="15"/>
        </w:numPr>
        <w:spacing w:line="240" w:lineRule="exact"/>
        <w:rPr>
          <w:szCs w:val="20"/>
          <w:lang w:val="fr-FR"/>
        </w:rPr>
      </w:pPr>
      <w:r w:rsidRPr="00A66C9F">
        <w:rPr>
          <w:lang w:val="fr-FR"/>
        </w:rPr>
        <w:lastRenderedPageBreak/>
        <w:t>Il n’y a pas eu de transferts entre niveaux pendant l’année terminée le 31 décembre 2019.</w:t>
      </w:r>
    </w:p>
    <w:p w14:paraId="35537A9D" w14:textId="77777777" w:rsidR="00744544" w:rsidRPr="00A66C9F" w:rsidRDefault="00744544" w:rsidP="00753AB8">
      <w:pPr>
        <w:pStyle w:val="SingleTxt"/>
        <w:numPr>
          <w:ilvl w:val="0"/>
          <w:numId w:val="15"/>
        </w:numPr>
        <w:spacing w:line="240" w:lineRule="exact"/>
        <w:rPr>
          <w:szCs w:val="20"/>
          <w:lang w:val="fr-FR"/>
        </w:rPr>
      </w:pPr>
      <w:r w:rsidRPr="00A66C9F">
        <w:rPr>
          <w:lang w:val="fr-FR"/>
        </w:rPr>
        <w:t>Le tableau ci-dessous présente les transferts entre niveaux pour l’année terminée le 31 décembre 2018.</w:t>
      </w:r>
    </w:p>
    <w:p w14:paraId="5E939BCB" w14:textId="77777777" w:rsidR="00744544" w:rsidRPr="00A66C9F" w:rsidRDefault="00744544" w:rsidP="00744544">
      <w:pPr>
        <w:pStyle w:val="SingleTxt"/>
        <w:spacing w:after="0" w:line="120" w:lineRule="exact"/>
        <w:rPr>
          <w:sz w:val="10"/>
          <w:lang w:val="fr-FR"/>
        </w:rPr>
      </w:pPr>
    </w:p>
    <w:p w14:paraId="5FCCB4E1" w14:textId="77777777" w:rsidR="00744544" w:rsidRPr="00A66C9F" w:rsidRDefault="00744544" w:rsidP="0074454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lang w:val="fr-FR"/>
        </w:rPr>
        <w:tab/>
      </w:r>
      <w:r w:rsidRPr="00A66C9F">
        <w:rPr>
          <w:lang w:val="fr-FR"/>
        </w:rPr>
        <w:tab/>
      </w:r>
      <w:r w:rsidRPr="00A66C9F">
        <w:rPr>
          <w:sz w:val="14"/>
          <w:szCs w:val="14"/>
          <w:lang w:val="fr-FR"/>
        </w:rPr>
        <w:t>(En milliers de dollars des États-Unis)</w:t>
      </w:r>
    </w:p>
    <w:p w14:paraId="4B43F86D" w14:textId="77777777" w:rsidR="00744544" w:rsidRPr="00A66C9F" w:rsidRDefault="00744544" w:rsidP="00744544">
      <w:pPr>
        <w:pStyle w:val="SingleTxt"/>
        <w:spacing w:after="0" w:line="120" w:lineRule="exact"/>
        <w:rPr>
          <w:sz w:val="14"/>
          <w:szCs w:val="14"/>
          <w:lang w:val="fr-FR"/>
        </w:rPr>
      </w:pPr>
    </w:p>
    <w:p w14:paraId="099E3B87" w14:textId="77777777" w:rsidR="00744544" w:rsidRPr="00A66C9F" w:rsidRDefault="00744544" w:rsidP="00744544">
      <w:pPr>
        <w:pStyle w:val="SingleTxt"/>
        <w:spacing w:after="0" w:line="120" w:lineRule="exact"/>
        <w:rPr>
          <w:sz w:val="10"/>
          <w:lang w:val="fr-FR"/>
        </w:rPr>
      </w:pPr>
    </w:p>
    <w:tbl>
      <w:tblPr>
        <w:tblW w:w="7320" w:type="dxa"/>
        <w:tblInd w:w="1260" w:type="dxa"/>
        <w:shd w:val="clear" w:color="auto" w:fill="FFFFFF"/>
        <w:tblLayout w:type="fixed"/>
        <w:tblCellMar>
          <w:left w:w="0" w:type="dxa"/>
          <w:right w:w="0" w:type="dxa"/>
        </w:tblCellMar>
        <w:tblLook w:val="04A0" w:firstRow="1" w:lastRow="0" w:firstColumn="1" w:lastColumn="0" w:noHBand="0" w:noVBand="1"/>
      </w:tblPr>
      <w:tblGrid>
        <w:gridCol w:w="2880"/>
        <w:gridCol w:w="1110"/>
        <w:gridCol w:w="1110"/>
        <w:gridCol w:w="1110"/>
        <w:gridCol w:w="1110"/>
      </w:tblGrid>
      <w:tr w:rsidR="00744544" w:rsidRPr="00A66C9F" w14:paraId="219FA9A0" w14:textId="77777777" w:rsidTr="00107D5D">
        <w:trPr>
          <w:trHeight w:val="330"/>
          <w:tblHeader/>
        </w:trPr>
        <w:tc>
          <w:tcPr>
            <w:tcW w:w="2880" w:type="dxa"/>
            <w:tcBorders>
              <w:top w:val="single" w:sz="4" w:space="0" w:color="auto"/>
              <w:bottom w:val="single" w:sz="12" w:space="0" w:color="auto"/>
            </w:tcBorders>
            <w:shd w:val="clear" w:color="auto" w:fill="FFFFFF"/>
            <w:noWrap/>
            <w:vAlign w:val="bottom"/>
            <w:hideMark/>
          </w:tcPr>
          <w:p w14:paraId="165E59ED" w14:textId="77777777" w:rsidR="00744544" w:rsidRPr="00A66C9F" w:rsidRDefault="00744544" w:rsidP="00107D5D">
            <w:pPr>
              <w:suppressAutoHyphens/>
              <w:spacing w:before="81" w:after="81" w:line="160" w:lineRule="exact"/>
              <w:ind w:right="40"/>
              <w:rPr>
                <w:i/>
                <w:iCs/>
                <w:sz w:val="14"/>
                <w:lang w:val="fr-FR"/>
              </w:rPr>
            </w:pPr>
            <w:r w:rsidRPr="00A66C9F">
              <w:rPr>
                <w:i/>
                <w:iCs/>
                <w:sz w:val="14"/>
                <w:lang w:val="fr-FR"/>
              </w:rPr>
              <w:t> </w:t>
            </w:r>
          </w:p>
        </w:tc>
        <w:tc>
          <w:tcPr>
            <w:tcW w:w="1110" w:type="dxa"/>
            <w:tcBorders>
              <w:top w:val="single" w:sz="4" w:space="0" w:color="auto"/>
              <w:bottom w:val="single" w:sz="12" w:space="0" w:color="auto"/>
            </w:tcBorders>
            <w:shd w:val="clear" w:color="auto" w:fill="FFFFFF"/>
            <w:noWrap/>
            <w:vAlign w:val="bottom"/>
            <w:hideMark/>
          </w:tcPr>
          <w:p w14:paraId="3CAC8F32" w14:textId="77777777" w:rsidR="00744544" w:rsidRPr="00A66C9F" w:rsidRDefault="00744544" w:rsidP="00107D5D">
            <w:pPr>
              <w:suppressAutoHyphens/>
              <w:spacing w:before="81" w:after="81" w:line="160" w:lineRule="exact"/>
              <w:ind w:right="43"/>
              <w:jc w:val="right"/>
              <w:rPr>
                <w:i/>
                <w:iCs/>
                <w:sz w:val="14"/>
                <w:lang w:val="fr-FR"/>
              </w:rPr>
            </w:pPr>
            <w:r w:rsidRPr="00A66C9F">
              <w:rPr>
                <w:i/>
                <w:iCs/>
                <w:sz w:val="14"/>
                <w:lang w:val="fr-FR"/>
              </w:rPr>
              <w:t>Niveau 1</w:t>
            </w:r>
          </w:p>
        </w:tc>
        <w:tc>
          <w:tcPr>
            <w:tcW w:w="1110" w:type="dxa"/>
            <w:tcBorders>
              <w:top w:val="single" w:sz="4" w:space="0" w:color="auto"/>
              <w:bottom w:val="single" w:sz="12" w:space="0" w:color="auto"/>
            </w:tcBorders>
            <w:shd w:val="clear" w:color="auto" w:fill="FFFFFF"/>
            <w:noWrap/>
            <w:vAlign w:val="bottom"/>
            <w:hideMark/>
          </w:tcPr>
          <w:p w14:paraId="42FE508C" w14:textId="77777777" w:rsidR="00744544" w:rsidRPr="00A66C9F" w:rsidRDefault="00744544" w:rsidP="00107D5D">
            <w:pPr>
              <w:suppressAutoHyphens/>
              <w:spacing w:before="81" w:after="81" w:line="160" w:lineRule="exact"/>
              <w:ind w:right="43"/>
              <w:jc w:val="right"/>
              <w:rPr>
                <w:i/>
                <w:iCs/>
                <w:sz w:val="14"/>
                <w:lang w:val="fr-FR"/>
              </w:rPr>
            </w:pPr>
            <w:r w:rsidRPr="00A66C9F">
              <w:rPr>
                <w:i/>
                <w:iCs/>
                <w:sz w:val="14"/>
                <w:lang w:val="fr-FR"/>
              </w:rPr>
              <w:t>Niveau 2</w:t>
            </w:r>
          </w:p>
        </w:tc>
        <w:tc>
          <w:tcPr>
            <w:tcW w:w="1110" w:type="dxa"/>
            <w:tcBorders>
              <w:top w:val="single" w:sz="4" w:space="0" w:color="auto"/>
              <w:bottom w:val="single" w:sz="12" w:space="0" w:color="auto"/>
            </w:tcBorders>
            <w:shd w:val="clear" w:color="auto" w:fill="FFFFFF"/>
            <w:noWrap/>
            <w:vAlign w:val="bottom"/>
            <w:hideMark/>
          </w:tcPr>
          <w:p w14:paraId="3164ED77" w14:textId="77777777" w:rsidR="00744544" w:rsidRPr="00A66C9F" w:rsidRDefault="00744544" w:rsidP="00107D5D">
            <w:pPr>
              <w:suppressAutoHyphens/>
              <w:spacing w:before="81" w:after="81" w:line="160" w:lineRule="exact"/>
              <w:ind w:right="43"/>
              <w:jc w:val="right"/>
              <w:rPr>
                <w:i/>
                <w:iCs/>
                <w:sz w:val="14"/>
                <w:lang w:val="fr-FR"/>
              </w:rPr>
            </w:pPr>
            <w:r w:rsidRPr="00A66C9F">
              <w:rPr>
                <w:i/>
                <w:iCs/>
                <w:sz w:val="14"/>
                <w:lang w:val="fr-FR"/>
              </w:rPr>
              <w:t>Niveau 3</w:t>
            </w:r>
          </w:p>
        </w:tc>
        <w:tc>
          <w:tcPr>
            <w:tcW w:w="1110" w:type="dxa"/>
            <w:tcBorders>
              <w:top w:val="single" w:sz="4" w:space="0" w:color="auto"/>
              <w:bottom w:val="single" w:sz="12" w:space="0" w:color="auto"/>
            </w:tcBorders>
            <w:shd w:val="clear" w:color="auto" w:fill="FFFFFF"/>
            <w:noWrap/>
            <w:vAlign w:val="bottom"/>
            <w:hideMark/>
          </w:tcPr>
          <w:p w14:paraId="07F6C992" w14:textId="77777777" w:rsidR="00744544" w:rsidRPr="00A66C9F" w:rsidRDefault="00744544" w:rsidP="00107D5D">
            <w:pPr>
              <w:suppressAutoHyphens/>
              <w:spacing w:before="81" w:after="81" w:line="160" w:lineRule="exact"/>
              <w:ind w:right="43"/>
              <w:jc w:val="right"/>
              <w:rPr>
                <w:i/>
                <w:iCs/>
                <w:sz w:val="14"/>
                <w:lang w:val="fr-FR"/>
              </w:rPr>
            </w:pPr>
            <w:r w:rsidRPr="00A66C9F">
              <w:rPr>
                <w:i/>
                <w:iCs/>
                <w:sz w:val="14"/>
                <w:lang w:val="fr-FR"/>
              </w:rPr>
              <w:t>Total</w:t>
            </w:r>
          </w:p>
        </w:tc>
      </w:tr>
      <w:tr w:rsidR="00744544" w:rsidRPr="00A66C9F" w14:paraId="7125A757" w14:textId="77777777" w:rsidTr="00107D5D">
        <w:trPr>
          <w:trHeight w:hRule="exact" w:val="115"/>
          <w:tblHeader/>
        </w:trPr>
        <w:tc>
          <w:tcPr>
            <w:tcW w:w="2880" w:type="dxa"/>
            <w:tcBorders>
              <w:top w:val="single" w:sz="12" w:space="0" w:color="auto"/>
            </w:tcBorders>
            <w:shd w:val="clear" w:color="auto" w:fill="FFFFFF"/>
            <w:noWrap/>
            <w:vAlign w:val="bottom"/>
          </w:tcPr>
          <w:p w14:paraId="053B32D3" w14:textId="77777777" w:rsidR="00744544" w:rsidRPr="00A66C9F" w:rsidRDefault="00744544" w:rsidP="00107D5D">
            <w:pPr>
              <w:suppressAutoHyphens/>
              <w:spacing w:before="40" w:after="40" w:line="210" w:lineRule="exact"/>
              <w:ind w:right="40"/>
              <w:rPr>
                <w:sz w:val="17"/>
                <w:szCs w:val="24"/>
                <w:lang w:val="fr-FR"/>
              </w:rPr>
            </w:pPr>
          </w:p>
        </w:tc>
        <w:tc>
          <w:tcPr>
            <w:tcW w:w="1110" w:type="dxa"/>
            <w:tcBorders>
              <w:top w:val="single" w:sz="12" w:space="0" w:color="auto"/>
            </w:tcBorders>
            <w:shd w:val="clear" w:color="auto" w:fill="FFFFFF"/>
            <w:noWrap/>
            <w:vAlign w:val="bottom"/>
          </w:tcPr>
          <w:p w14:paraId="4B197802" w14:textId="77777777" w:rsidR="00744544" w:rsidRPr="00A66C9F" w:rsidRDefault="00744544" w:rsidP="00107D5D">
            <w:pPr>
              <w:suppressAutoHyphens/>
              <w:spacing w:before="40" w:after="40" w:line="210" w:lineRule="exact"/>
              <w:ind w:right="43"/>
              <w:jc w:val="right"/>
              <w:rPr>
                <w:sz w:val="17"/>
                <w:szCs w:val="24"/>
                <w:lang w:val="fr-FR"/>
              </w:rPr>
            </w:pPr>
          </w:p>
        </w:tc>
        <w:tc>
          <w:tcPr>
            <w:tcW w:w="1110" w:type="dxa"/>
            <w:tcBorders>
              <w:top w:val="single" w:sz="12" w:space="0" w:color="auto"/>
            </w:tcBorders>
            <w:shd w:val="clear" w:color="auto" w:fill="FFFFFF"/>
            <w:noWrap/>
            <w:vAlign w:val="bottom"/>
          </w:tcPr>
          <w:p w14:paraId="2B1DB6C6" w14:textId="77777777" w:rsidR="00744544" w:rsidRPr="00A66C9F" w:rsidRDefault="00744544" w:rsidP="00107D5D">
            <w:pPr>
              <w:suppressAutoHyphens/>
              <w:spacing w:before="40" w:after="40" w:line="210" w:lineRule="exact"/>
              <w:ind w:right="43"/>
              <w:jc w:val="right"/>
              <w:rPr>
                <w:sz w:val="17"/>
                <w:szCs w:val="24"/>
                <w:lang w:val="fr-FR"/>
              </w:rPr>
            </w:pPr>
          </w:p>
        </w:tc>
        <w:tc>
          <w:tcPr>
            <w:tcW w:w="1110" w:type="dxa"/>
            <w:tcBorders>
              <w:top w:val="single" w:sz="12" w:space="0" w:color="auto"/>
            </w:tcBorders>
            <w:shd w:val="clear" w:color="auto" w:fill="FFFFFF"/>
            <w:noWrap/>
            <w:vAlign w:val="bottom"/>
          </w:tcPr>
          <w:p w14:paraId="2DF99FCD" w14:textId="77777777" w:rsidR="00744544" w:rsidRPr="00A66C9F" w:rsidRDefault="00744544" w:rsidP="00107D5D">
            <w:pPr>
              <w:suppressAutoHyphens/>
              <w:spacing w:before="40" w:after="40" w:line="210" w:lineRule="exact"/>
              <w:ind w:right="43"/>
              <w:jc w:val="right"/>
              <w:rPr>
                <w:sz w:val="17"/>
                <w:szCs w:val="24"/>
                <w:lang w:val="fr-FR"/>
              </w:rPr>
            </w:pPr>
          </w:p>
        </w:tc>
        <w:tc>
          <w:tcPr>
            <w:tcW w:w="1110" w:type="dxa"/>
            <w:tcBorders>
              <w:top w:val="single" w:sz="12" w:space="0" w:color="auto"/>
            </w:tcBorders>
            <w:shd w:val="clear" w:color="auto" w:fill="FFFFFF"/>
            <w:noWrap/>
            <w:vAlign w:val="bottom"/>
          </w:tcPr>
          <w:p w14:paraId="5C743517" w14:textId="77777777" w:rsidR="00744544" w:rsidRPr="00A66C9F" w:rsidRDefault="00744544" w:rsidP="00107D5D">
            <w:pPr>
              <w:suppressAutoHyphens/>
              <w:spacing w:before="40" w:after="40" w:line="210" w:lineRule="exact"/>
              <w:ind w:right="43"/>
              <w:jc w:val="right"/>
              <w:rPr>
                <w:sz w:val="17"/>
                <w:szCs w:val="24"/>
                <w:lang w:val="fr-FR"/>
              </w:rPr>
            </w:pPr>
          </w:p>
        </w:tc>
      </w:tr>
      <w:tr w:rsidR="00744544" w:rsidRPr="00A66C9F" w14:paraId="401B3F68" w14:textId="77777777" w:rsidTr="00107D5D">
        <w:tc>
          <w:tcPr>
            <w:tcW w:w="2880" w:type="dxa"/>
            <w:shd w:val="clear" w:color="auto" w:fill="FFFFFF"/>
            <w:noWrap/>
            <w:vAlign w:val="bottom"/>
            <w:hideMark/>
          </w:tcPr>
          <w:p w14:paraId="4C91BBB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b/>
                <w:bCs/>
                <w:sz w:val="17"/>
                <w:szCs w:val="17"/>
                <w:lang w:val="fr-FR"/>
              </w:rPr>
            </w:pPr>
            <w:r w:rsidRPr="00A66C9F">
              <w:rPr>
                <w:b/>
                <w:bCs/>
                <w:sz w:val="17"/>
                <w:lang w:val="fr-FR"/>
              </w:rPr>
              <w:t>Transferts vers</w:t>
            </w:r>
          </w:p>
        </w:tc>
        <w:tc>
          <w:tcPr>
            <w:tcW w:w="1110" w:type="dxa"/>
            <w:shd w:val="clear" w:color="auto" w:fill="FFFFFF"/>
            <w:noWrap/>
            <w:vAlign w:val="bottom"/>
          </w:tcPr>
          <w:p w14:paraId="0DDAAF0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b/>
                <w:bCs/>
                <w:sz w:val="17"/>
                <w:szCs w:val="17"/>
                <w:lang w:val="fr-FR"/>
              </w:rPr>
            </w:pPr>
          </w:p>
        </w:tc>
        <w:tc>
          <w:tcPr>
            <w:tcW w:w="1110" w:type="dxa"/>
            <w:shd w:val="clear" w:color="auto" w:fill="FFFFFF"/>
            <w:noWrap/>
            <w:vAlign w:val="bottom"/>
          </w:tcPr>
          <w:p w14:paraId="197A443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b/>
                <w:bCs/>
                <w:sz w:val="17"/>
                <w:szCs w:val="17"/>
                <w:lang w:val="fr-FR"/>
              </w:rPr>
            </w:pPr>
          </w:p>
        </w:tc>
        <w:tc>
          <w:tcPr>
            <w:tcW w:w="1110" w:type="dxa"/>
            <w:shd w:val="clear" w:color="auto" w:fill="FFFFFF"/>
            <w:noWrap/>
            <w:vAlign w:val="bottom"/>
          </w:tcPr>
          <w:p w14:paraId="0297B83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b/>
                <w:bCs/>
                <w:sz w:val="17"/>
                <w:szCs w:val="17"/>
                <w:lang w:val="fr-FR"/>
              </w:rPr>
            </w:pPr>
          </w:p>
        </w:tc>
        <w:tc>
          <w:tcPr>
            <w:tcW w:w="1110" w:type="dxa"/>
            <w:shd w:val="clear" w:color="auto" w:fill="FFFFFF"/>
            <w:noWrap/>
            <w:vAlign w:val="bottom"/>
          </w:tcPr>
          <w:p w14:paraId="1181EAD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b/>
                <w:bCs/>
                <w:sz w:val="17"/>
                <w:szCs w:val="17"/>
                <w:lang w:val="fr-FR"/>
              </w:rPr>
            </w:pPr>
          </w:p>
        </w:tc>
      </w:tr>
      <w:tr w:rsidR="00744544" w:rsidRPr="00A66C9F" w14:paraId="510C30D1" w14:textId="77777777" w:rsidTr="00107D5D">
        <w:tc>
          <w:tcPr>
            <w:tcW w:w="2880" w:type="dxa"/>
            <w:shd w:val="clear" w:color="auto" w:fill="FFFFFF"/>
            <w:noWrap/>
            <w:vAlign w:val="bottom"/>
            <w:hideMark/>
          </w:tcPr>
          <w:p w14:paraId="705C489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Valeurs à revenu fixe</w:t>
            </w:r>
          </w:p>
        </w:tc>
        <w:tc>
          <w:tcPr>
            <w:tcW w:w="1110" w:type="dxa"/>
            <w:shd w:val="clear" w:color="auto" w:fill="FFFFFF"/>
            <w:noWrap/>
            <w:vAlign w:val="bottom"/>
            <w:hideMark/>
          </w:tcPr>
          <w:p w14:paraId="1F5940C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1110" w:type="dxa"/>
            <w:shd w:val="clear" w:color="auto" w:fill="FFFFFF"/>
            <w:noWrap/>
            <w:vAlign w:val="bottom"/>
            <w:hideMark/>
          </w:tcPr>
          <w:p w14:paraId="3E16615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1110" w:type="dxa"/>
            <w:shd w:val="clear" w:color="auto" w:fill="FFFFFF"/>
            <w:noWrap/>
            <w:vAlign w:val="bottom"/>
            <w:hideMark/>
          </w:tcPr>
          <w:p w14:paraId="7BA2158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43 719</w:t>
            </w:r>
          </w:p>
        </w:tc>
        <w:tc>
          <w:tcPr>
            <w:tcW w:w="1110" w:type="dxa"/>
            <w:shd w:val="clear" w:color="auto" w:fill="FFFFFF"/>
            <w:noWrap/>
            <w:vAlign w:val="bottom"/>
            <w:hideMark/>
          </w:tcPr>
          <w:p w14:paraId="1421001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43 719</w:t>
            </w:r>
          </w:p>
        </w:tc>
      </w:tr>
      <w:tr w:rsidR="00744544" w:rsidRPr="00A66C9F" w14:paraId="5A0024C0" w14:textId="77777777" w:rsidTr="00107D5D">
        <w:tc>
          <w:tcPr>
            <w:tcW w:w="2880" w:type="dxa"/>
            <w:shd w:val="clear" w:color="auto" w:fill="FFFFFF"/>
            <w:noWrap/>
            <w:vAlign w:val="bottom"/>
            <w:hideMark/>
          </w:tcPr>
          <w:p w14:paraId="5BB994F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Actions</w:t>
            </w:r>
          </w:p>
        </w:tc>
        <w:tc>
          <w:tcPr>
            <w:tcW w:w="1110" w:type="dxa"/>
            <w:shd w:val="clear" w:color="auto" w:fill="FFFFFF"/>
            <w:noWrap/>
            <w:vAlign w:val="bottom"/>
            <w:hideMark/>
          </w:tcPr>
          <w:p w14:paraId="7993EBA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1110" w:type="dxa"/>
            <w:shd w:val="clear" w:color="auto" w:fill="FFFFFF"/>
            <w:noWrap/>
            <w:vAlign w:val="bottom"/>
            <w:hideMark/>
          </w:tcPr>
          <w:p w14:paraId="3AC3E9B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1110" w:type="dxa"/>
            <w:shd w:val="clear" w:color="auto" w:fill="FFFFFF"/>
            <w:noWrap/>
            <w:vAlign w:val="bottom"/>
            <w:hideMark/>
          </w:tcPr>
          <w:p w14:paraId="08E9E42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1110" w:type="dxa"/>
            <w:shd w:val="clear" w:color="auto" w:fill="FFFFFF"/>
            <w:noWrap/>
            <w:vAlign w:val="bottom"/>
            <w:hideMark/>
          </w:tcPr>
          <w:p w14:paraId="0FE186E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r>
      <w:tr w:rsidR="00744544" w:rsidRPr="00A66C9F" w14:paraId="0260C668" w14:textId="77777777" w:rsidTr="00107D5D">
        <w:tc>
          <w:tcPr>
            <w:tcW w:w="2880" w:type="dxa"/>
            <w:shd w:val="clear" w:color="auto" w:fill="FFFFFF"/>
            <w:noWrap/>
            <w:vAlign w:val="bottom"/>
          </w:tcPr>
          <w:p w14:paraId="528ED0B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Actifs réels</w:t>
            </w:r>
          </w:p>
        </w:tc>
        <w:tc>
          <w:tcPr>
            <w:tcW w:w="1110" w:type="dxa"/>
            <w:shd w:val="clear" w:color="auto" w:fill="FFFFFF"/>
            <w:noWrap/>
            <w:vAlign w:val="bottom"/>
          </w:tcPr>
          <w:p w14:paraId="4BEAA73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1110" w:type="dxa"/>
            <w:shd w:val="clear" w:color="auto" w:fill="FFFFFF"/>
            <w:noWrap/>
            <w:vAlign w:val="bottom"/>
          </w:tcPr>
          <w:p w14:paraId="041DF0E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1110" w:type="dxa"/>
            <w:shd w:val="clear" w:color="auto" w:fill="FFFFFF"/>
            <w:noWrap/>
            <w:vAlign w:val="bottom"/>
          </w:tcPr>
          <w:p w14:paraId="0BAF946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1110" w:type="dxa"/>
            <w:shd w:val="clear" w:color="auto" w:fill="FFFFFF"/>
            <w:noWrap/>
            <w:vAlign w:val="bottom"/>
          </w:tcPr>
          <w:p w14:paraId="69DDF08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r>
      <w:tr w:rsidR="00744544" w:rsidRPr="00A66C9F" w14:paraId="346B4B95" w14:textId="77777777" w:rsidTr="00107D5D">
        <w:tc>
          <w:tcPr>
            <w:tcW w:w="2880" w:type="dxa"/>
            <w:tcBorders>
              <w:bottom w:val="single" w:sz="4" w:space="0" w:color="auto"/>
            </w:tcBorders>
            <w:shd w:val="clear" w:color="auto" w:fill="FFFFFF"/>
            <w:noWrap/>
            <w:vAlign w:val="bottom"/>
            <w:hideMark/>
          </w:tcPr>
          <w:p w14:paraId="55A83E13" w14:textId="77777777" w:rsidR="00744544" w:rsidRPr="00A66C9F" w:rsidRDefault="00744544" w:rsidP="00107D5D">
            <w:pPr>
              <w:tabs>
                <w:tab w:val="left" w:pos="288"/>
                <w:tab w:val="left" w:pos="576"/>
                <w:tab w:val="left" w:pos="864"/>
                <w:tab w:val="left" w:pos="1152"/>
              </w:tabs>
              <w:suppressAutoHyphens/>
              <w:spacing w:before="40" w:after="81" w:line="210" w:lineRule="exact"/>
              <w:ind w:right="40"/>
              <w:rPr>
                <w:sz w:val="17"/>
                <w:szCs w:val="17"/>
                <w:lang w:val="fr-FR"/>
              </w:rPr>
            </w:pPr>
            <w:r w:rsidRPr="00A66C9F">
              <w:rPr>
                <w:sz w:val="17"/>
                <w:lang w:val="fr-FR"/>
              </w:rPr>
              <w:t>Investissements alternatifs et divers</w:t>
            </w:r>
          </w:p>
        </w:tc>
        <w:tc>
          <w:tcPr>
            <w:tcW w:w="1110" w:type="dxa"/>
            <w:tcBorders>
              <w:bottom w:val="single" w:sz="4" w:space="0" w:color="auto"/>
            </w:tcBorders>
            <w:shd w:val="clear" w:color="auto" w:fill="FFFFFF"/>
            <w:noWrap/>
            <w:vAlign w:val="bottom"/>
            <w:hideMark/>
          </w:tcPr>
          <w:p w14:paraId="326244E2"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szCs w:val="17"/>
                <w:lang w:val="fr-FR"/>
              </w:rPr>
              <w:t xml:space="preserve"> –</w:t>
            </w:r>
          </w:p>
        </w:tc>
        <w:tc>
          <w:tcPr>
            <w:tcW w:w="1110" w:type="dxa"/>
            <w:tcBorders>
              <w:bottom w:val="single" w:sz="4" w:space="0" w:color="auto"/>
            </w:tcBorders>
            <w:shd w:val="clear" w:color="auto" w:fill="FFFFFF"/>
            <w:noWrap/>
            <w:vAlign w:val="bottom"/>
            <w:hideMark/>
          </w:tcPr>
          <w:p w14:paraId="7EF964BE"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szCs w:val="17"/>
                <w:lang w:val="fr-FR"/>
              </w:rPr>
              <w:t xml:space="preserve"> –</w:t>
            </w:r>
          </w:p>
        </w:tc>
        <w:tc>
          <w:tcPr>
            <w:tcW w:w="1110" w:type="dxa"/>
            <w:tcBorders>
              <w:bottom w:val="single" w:sz="4" w:space="0" w:color="auto"/>
            </w:tcBorders>
            <w:shd w:val="clear" w:color="auto" w:fill="FFFFFF"/>
            <w:noWrap/>
            <w:vAlign w:val="bottom"/>
            <w:hideMark/>
          </w:tcPr>
          <w:p w14:paraId="409ADAA3"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szCs w:val="17"/>
                <w:lang w:val="fr-FR"/>
              </w:rPr>
              <w:t xml:space="preserve"> –</w:t>
            </w:r>
          </w:p>
        </w:tc>
        <w:tc>
          <w:tcPr>
            <w:tcW w:w="1110" w:type="dxa"/>
            <w:tcBorders>
              <w:bottom w:val="single" w:sz="4" w:space="0" w:color="auto"/>
            </w:tcBorders>
            <w:shd w:val="clear" w:color="auto" w:fill="FFFFFF"/>
            <w:noWrap/>
            <w:vAlign w:val="bottom"/>
            <w:hideMark/>
          </w:tcPr>
          <w:p w14:paraId="0FC284BF"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szCs w:val="17"/>
                <w:lang w:val="fr-FR"/>
              </w:rPr>
              <w:t xml:space="preserve"> –</w:t>
            </w:r>
          </w:p>
        </w:tc>
      </w:tr>
      <w:tr w:rsidR="00744544" w:rsidRPr="00A66C9F" w14:paraId="2ACCCD8F" w14:textId="77777777" w:rsidTr="00107D5D">
        <w:tc>
          <w:tcPr>
            <w:tcW w:w="2880" w:type="dxa"/>
            <w:tcBorders>
              <w:top w:val="single" w:sz="4" w:space="0" w:color="auto"/>
              <w:bottom w:val="single" w:sz="4" w:space="0" w:color="auto"/>
            </w:tcBorders>
            <w:shd w:val="clear" w:color="auto" w:fill="FFFFFF"/>
            <w:noWrap/>
            <w:vAlign w:val="bottom"/>
            <w:hideMark/>
          </w:tcPr>
          <w:p w14:paraId="133F75D0" w14:textId="77777777" w:rsidR="00744544" w:rsidRPr="00A66C9F" w:rsidRDefault="00744544" w:rsidP="00107D5D">
            <w:pPr>
              <w:tabs>
                <w:tab w:val="left" w:pos="288"/>
                <w:tab w:val="left" w:pos="576"/>
                <w:tab w:val="left" w:pos="864"/>
                <w:tab w:val="left" w:pos="1152"/>
              </w:tabs>
              <w:suppressAutoHyphens/>
              <w:spacing w:before="81" w:after="81" w:line="210" w:lineRule="exact"/>
              <w:ind w:right="40"/>
              <w:rPr>
                <w:b/>
                <w:sz w:val="17"/>
                <w:szCs w:val="17"/>
                <w:lang w:val="fr-FR"/>
              </w:rPr>
            </w:pPr>
            <w:r w:rsidRPr="00A66C9F">
              <w:rPr>
                <w:b/>
                <w:bCs/>
                <w:sz w:val="17"/>
                <w:lang w:val="fr-FR"/>
              </w:rPr>
              <w:tab/>
              <w:t>Total</w:t>
            </w:r>
          </w:p>
        </w:tc>
        <w:tc>
          <w:tcPr>
            <w:tcW w:w="1110" w:type="dxa"/>
            <w:tcBorders>
              <w:top w:val="single" w:sz="4" w:space="0" w:color="auto"/>
              <w:bottom w:val="single" w:sz="4" w:space="0" w:color="auto"/>
            </w:tcBorders>
            <w:shd w:val="clear" w:color="auto" w:fill="FFFFFF"/>
            <w:noWrap/>
            <w:vAlign w:val="bottom"/>
            <w:hideMark/>
          </w:tcPr>
          <w:p w14:paraId="04976882"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szCs w:val="17"/>
                <w:lang w:val="fr-FR"/>
              </w:rPr>
            </w:pPr>
            <w:r w:rsidRPr="00A66C9F">
              <w:rPr>
                <w:b/>
                <w:sz w:val="17"/>
                <w:szCs w:val="17"/>
                <w:lang w:val="fr-FR"/>
              </w:rPr>
              <w:t xml:space="preserve"> –</w:t>
            </w:r>
          </w:p>
        </w:tc>
        <w:tc>
          <w:tcPr>
            <w:tcW w:w="1110" w:type="dxa"/>
            <w:tcBorders>
              <w:top w:val="single" w:sz="4" w:space="0" w:color="auto"/>
              <w:bottom w:val="single" w:sz="4" w:space="0" w:color="auto"/>
            </w:tcBorders>
            <w:shd w:val="clear" w:color="auto" w:fill="FFFFFF"/>
            <w:noWrap/>
            <w:vAlign w:val="bottom"/>
            <w:hideMark/>
          </w:tcPr>
          <w:p w14:paraId="3F9102B1"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szCs w:val="17"/>
                <w:lang w:val="fr-FR"/>
              </w:rPr>
            </w:pPr>
            <w:r w:rsidRPr="00A66C9F">
              <w:rPr>
                <w:b/>
                <w:sz w:val="17"/>
                <w:szCs w:val="17"/>
                <w:lang w:val="fr-FR"/>
              </w:rPr>
              <w:t xml:space="preserve"> –</w:t>
            </w:r>
          </w:p>
        </w:tc>
        <w:tc>
          <w:tcPr>
            <w:tcW w:w="1110" w:type="dxa"/>
            <w:tcBorders>
              <w:top w:val="single" w:sz="4" w:space="0" w:color="auto"/>
              <w:bottom w:val="single" w:sz="4" w:space="0" w:color="auto"/>
            </w:tcBorders>
            <w:shd w:val="clear" w:color="auto" w:fill="FFFFFF"/>
            <w:noWrap/>
            <w:vAlign w:val="bottom"/>
            <w:hideMark/>
          </w:tcPr>
          <w:p w14:paraId="3921145F"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szCs w:val="17"/>
                <w:lang w:val="fr-FR"/>
              </w:rPr>
            </w:pPr>
            <w:r w:rsidRPr="00A66C9F">
              <w:rPr>
                <w:b/>
                <w:bCs/>
                <w:sz w:val="17"/>
                <w:lang w:val="fr-FR"/>
              </w:rPr>
              <w:t>43 719</w:t>
            </w:r>
          </w:p>
        </w:tc>
        <w:tc>
          <w:tcPr>
            <w:tcW w:w="1110" w:type="dxa"/>
            <w:tcBorders>
              <w:top w:val="single" w:sz="4" w:space="0" w:color="auto"/>
              <w:bottom w:val="single" w:sz="4" w:space="0" w:color="auto"/>
            </w:tcBorders>
            <w:shd w:val="clear" w:color="auto" w:fill="FFFFFF"/>
            <w:noWrap/>
            <w:vAlign w:val="bottom"/>
            <w:hideMark/>
          </w:tcPr>
          <w:p w14:paraId="451752B5"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szCs w:val="17"/>
                <w:lang w:val="fr-FR"/>
              </w:rPr>
            </w:pPr>
            <w:r w:rsidRPr="00A66C9F">
              <w:rPr>
                <w:b/>
                <w:bCs/>
                <w:sz w:val="17"/>
                <w:lang w:val="fr-FR"/>
              </w:rPr>
              <w:t>43 719</w:t>
            </w:r>
          </w:p>
        </w:tc>
      </w:tr>
      <w:tr w:rsidR="00744544" w:rsidRPr="00A66C9F" w14:paraId="687D76A1" w14:textId="77777777" w:rsidTr="00107D5D">
        <w:tc>
          <w:tcPr>
            <w:tcW w:w="2880" w:type="dxa"/>
            <w:tcBorders>
              <w:top w:val="single" w:sz="4" w:space="0" w:color="auto"/>
            </w:tcBorders>
            <w:shd w:val="clear" w:color="auto" w:fill="FFFFFF"/>
            <w:noWrap/>
            <w:vAlign w:val="bottom"/>
            <w:hideMark/>
          </w:tcPr>
          <w:p w14:paraId="0DF6BEB2" w14:textId="77777777" w:rsidR="00744544" w:rsidRPr="00A66C9F" w:rsidRDefault="00744544" w:rsidP="00107D5D">
            <w:pPr>
              <w:tabs>
                <w:tab w:val="left" w:pos="288"/>
                <w:tab w:val="left" w:pos="576"/>
                <w:tab w:val="left" w:pos="864"/>
                <w:tab w:val="left" w:pos="1152"/>
              </w:tabs>
              <w:suppressAutoHyphens/>
              <w:spacing w:before="81" w:after="40" w:line="210" w:lineRule="exact"/>
              <w:ind w:right="40"/>
              <w:rPr>
                <w:b/>
                <w:bCs/>
                <w:sz w:val="17"/>
                <w:szCs w:val="17"/>
                <w:lang w:val="fr-FR"/>
              </w:rPr>
            </w:pPr>
            <w:r w:rsidRPr="00A66C9F">
              <w:rPr>
                <w:b/>
                <w:bCs/>
                <w:sz w:val="17"/>
                <w:lang w:val="fr-FR"/>
              </w:rPr>
              <w:t>Transferts depuis</w:t>
            </w:r>
          </w:p>
        </w:tc>
        <w:tc>
          <w:tcPr>
            <w:tcW w:w="1110" w:type="dxa"/>
            <w:tcBorders>
              <w:top w:val="single" w:sz="4" w:space="0" w:color="auto"/>
            </w:tcBorders>
            <w:shd w:val="clear" w:color="auto" w:fill="FFFFFF"/>
            <w:noWrap/>
            <w:vAlign w:val="bottom"/>
          </w:tcPr>
          <w:p w14:paraId="4DFE5AAD" w14:textId="77777777" w:rsidR="00744544" w:rsidRPr="00A66C9F" w:rsidRDefault="00744544" w:rsidP="00107D5D">
            <w:pPr>
              <w:tabs>
                <w:tab w:val="left" w:pos="288"/>
                <w:tab w:val="left" w:pos="576"/>
                <w:tab w:val="left" w:pos="864"/>
                <w:tab w:val="left" w:pos="1152"/>
              </w:tabs>
              <w:suppressAutoHyphens/>
              <w:spacing w:before="81" w:after="40" w:line="210" w:lineRule="exact"/>
              <w:ind w:right="43"/>
              <w:jc w:val="right"/>
              <w:rPr>
                <w:b/>
                <w:bCs/>
                <w:sz w:val="17"/>
                <w:szCs w:val="17"/>
                <w:lang w:val="fr-FR"/>
              </w:rPr>
            </w:pPr>
          </w:p>
        </w:tc>
        <w:tc>
          <w:tcPr>
            <w:tcW w:w="1110" w:type="dxa"/>
            <w:tcBorders>
              <w:top w:val="single" w:sz="4" w:space="0" w:color="auto"/>
            </w:tcBorders>
            <w:shd w:val="clear" w:color="auto" w:fill="FFFFFF"/>
            <w:noWrap/>
            <w:vAlign w:val="bottom"/>
          </w:tcPr>
          <w:p w14:paraId="31E9788A" w14:textId="77777777" w:rsidR="00744544" w:rsidRPr="00A66C9F" w:rsidRDefault="00744544" w:rsidP="00107D5D">
            <w:pPr>
              <w:tabs>
                <w:tab w:val="left" w:pos="288"/>
                <w:tab w:val="left" w:pos="576"/>
                <w:tab w:val="left" w:pos="864"/>
                <w:tab w:val="left" w:pos="1152"/>
              </w:tabs>
              <w:suppressAutoHyphens/>
              <w:spacing w:before="81" w:after="40" w:line="210" w:lineRule="exact"/>
              <w:ind w:right="43"/>
              <w:jc w:val="right"/>
              <w:rPr>
                <w:b/>
                <w:bCs/>
                <w:sz w:val="17"/>
                <w:szCs w:val="17"/>
                <w:lang w:val="fr-FR"/>
              </w:rPr>
            </w:pPr>
          </w:p>
        </w:tc>
        <w:tc>
          <w:tcPr>
            <w:tcW w:w="1110" w:type="dxa"/>
            <w:tcBorders>
              <w:top w:val="single" w:sz="4" w:space="0" w:color="auto"/>
            </w:tcBorders>
            <w:shd w:val="clear" w:color="auto" w:fill="FFFFFF"/>
            <w:noWrap/>
            <w:vAlign w:val="bottom"/>
          </w:tcPr>
          <w:p w14:paraId="64C209DE" w14:textId="77777777" w:rsidR="00744544" w:rsidRPr="00A66C9F" w:rsidRDefault="00744544" w:rsidP="00107D5D">
            <w:pPr>
              <w:tabs>
                <w:tab w:val="left" w:pos="288"/>
                <w:tab w:val="left" w:pos="576"/>
                <w:tab w:val="left" w:pos="864"/>
                <w:tab w:val="left" w:pos="1152"/>
              </w:tabs>
              <w:suppressAutoHyphens/>
              <w:spacing w:before="81" w:after="40" w:line="210" w:lineRule="exact"/>
              <w:ind w:right="43"/>
              <w:jc w:val="right"/>
              <w:rPr>
                <w:b/>
                <w:bCs/>
                <w:sz w:val="17"/>
                <w:szCs w:val="17"/>
                <w:lang w:val="fr-FR"/>
              </w:rPr>
            </w:pPr>
          </w:p>
        </w:tc>
        <w:tc>
          <w:tcPr>
            <w:tcW w:w="1110" w:type="dxa"/>
            <w:tcBorders>
              <w:top w:val="single" w:sz="4" w:space="0" w:color="auto"/>
            </w:tcBorders>
            <w:shd w:val="clear" w:color="auto" w:fill="FFFFFF"/>
            <w:noWrap/>
            <w:vAlign w:val="bottom"/>
          </w:tcPr>
          <w:p w14:paraId="03016B49" w14:textId="77777777" w:rsidR="00744544" w:rsidRPr="00A66C9F" w:rsidRDefault="00744544" w:rsidP="00107D5D">
            <w:pPr>
              <w:tabs>
                <w:tab w:val="left" w:pos="288"/>
                <w:tab w:val="left" w:pos="576"/>
                <w:tab w:val="left" w:pos="864"/>
                <w:tab w:val="left" w:pos="1152"/>
              </w:tabs>
              <w:suppressAutoHyphens/>
              <w:spacing w:before="81" w:after="40" w:line="210" w:lineRule="exact"/>
              <w:ind w:right="43"/>
              <w:jc w:val="right"/>
              <w:rPr>
                <w:b/>
                <w:bCs/>
                <w:sz w:val="17"/>
                <w:szCs w:val="17"/>
                <w:lang w:val="fr-FR"/>
              </w:rPr>
            </w:pPr>
          </w:p>
        </w:tc>
      </w:tr>
      <w:tr w:rsidR="00744544" w:rsidRPr="00A66C9F" w14:paraId="3B816FF2" w14:textId="77777777" w:rsidTr="00107D5D">
        <w:tc>
          <w:tcPr>
            <w:tcW w:w="2880" w:type="dxa"/>
            <w:shd w:val="clear" w:color="auto" w:fill="FFFFFF"/>
            <w:noWrap/>
            <w:vAlign w:val="bottom"/>
            <w:hideMark/>
          </w:tcPr>
          <w:p w14:paraId="303CF7A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Valeurs à revenu fixe</w:t>
            </w:r>
          </w:p>
        </w:tc>
        <w:tc>
          <w:tcPr>
            <w:tcW w:w="1110" w:type="dxa"/>
            <w:shd w:val="clear" w:color="auto" w:fill="FFFFFF"/>
            <w:noWrap/>
            <w:vAlign w:val="bottom"/>
            <w:hideMark/>
          </w:tcPr>
          <w:p w14:paraId="2DF5812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1110" w:type="dxa"/>
            <w:shd w:val="clear" w:color="auto" w:fill="FFFFFF"/>
            <w:noWrap/>
            <w:vAlign w:val="bottom"/>
            <w:hideMark/>
          </w:tcPr>
          <w:p w14:paraId="3E67C96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(43 719)</w:t>
            </w:r>
          </w:p>
        </w:tc>
        <w:tc>
          <w:tcPr>
            <w:tcW w:w="1110" w:type="dxa"/>
            <w:shd w:val="clear" w:color="auto" w:fill="FFFFFF"/>
            <w:noWrap/>
            <w:vAlign w:val="bottom"/>
            <w:hideMark/>
          </w:tcPr>
          <w:p w14:paraId="2EA7066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1110" w:type="dxa"/>
            <w:shd w:val="clear" w:color="auto" w:fill="FFFFFF"/>
            <w:noWrap/>
            <w:vAlign w:val="bottom"/>
            <w:hideMark/>
          </w:tcPr>
          <w:p w14:paraId="58AE8DC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(43 719)</w:t>
            </w:r>
          </w:p>
        </w:tc>
      </w:tr>
      <w:tr w:rsidR="00744544" w:rsidRPr="00A66C9F" w14:paraId="38DE6733" w14:textId="77777777" w:rsidTr="00107D5D">
        <w:tc>
          <w:tcPr>
            <w:tcW w:w="2880" w:type="dxa"/>
            <w:shd w:val="clear" w:color="auto" w:fill="FFFFFF"/>
            <w:noWrap/>
            <w:vAlign w:val="bottom"/>
            <w:hideMark/>
          </w:tcPr>
          <w:p w14:paraId="6FB0654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Actions</w:t>
            </w:r>
          </w:p>
        </w:tc>
        <w:tc>
          <w:tcPr>
            <w:tcW w:w="1110" w:type="dxa"/>
            <w:shd w:val="clear" w:color="auto" w:fill="FFFFFF"/>
            <w:noWrap/>
            <w:vAlign w:val="bottom"/>
            <w:hideMark/>
          </w:tcPr>
          <w:p w14:paraId="5D2AA19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1110" w:type="dxa"/>
            <w:shd w:val="clear" w:color="auto" w:fill="FFFFFF"/>
            <w:noWrap/>
            <w:vAlign w:val="bottom"/>
            <w:hideMark/>
          </w:tcPr>
          <w:p w14:paraId="4785483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1110" w:type="dxa"/>
            <w:shd w:val="clear" w:color="auto" w:fill="FFFFFF"/>
            <w:noWrap/>
            <w:vAlign w:val="bottom"/>
            <w:hideMark/>
          </w:tcPr>
          <w:p w14:paraId="5F30283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1110" w:type="dxa"/>
            <w:shd w:val="clear" w:color="auto" w:fill="FFFFFF"/>
            <w:noWrap/>
            <w:vAlign w:val="bottom"/>
            <w:hideMark/>
          </w:tcPr>
          <w:p w14:paraId="5583B5B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r>
      <w:tr w:rsidR="00744544" w:rsidRPr="00A66C9F" w14:paraId="24EF552E" w14:textId="77777777" w:rsidTr="00107D5D">
        <w:tc>
          <w:tcPr>
            <w:tcW w:w="2880" w:type="dxa"/>
            <w:shd w:val="clear" w:color="auto" w:fill="FFFFFF"/>
            <w:noWrap/>
            <w:vAlign w:val="bottom"/>
          </w:tcPr>
          <w:p w14:paraId="4729DAD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Actifs réels</w:t>
            </w:r>
          </w:p>
        </w:tc>
        <w:tc>
          <w:tcPr>
            <w:tcW w:w="1110" w:type="dxa"/>
            <w:shd w:val="clear" w:color="auto" w:fill="FFFFFF"/>
            <w:noWrap/>
            <w:vAlign w:val="bottom"/>
          </w:tcPr>
          <w:p w14:paraId="2BBCE5E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w:t>
            </w:r>
          </w:p>
        </w:tc>
        <w:tc>
          <w:tcPr>
            <w:tcW w:w="1110" w:type="dxa"/>
            <w:shd w:val="clear" w:color="auto" w:fill="FFFFFF"/>
            <w:noWrap/>
            <w:vAlign w:val="bottom"/>
          </w:tcPr>
          <w:p w14:paraId="08CCEEE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w:t>
            </w:r>
          </w:p>
        </w:tc>
        <w:tc>
          <w:tcPr>
            <w:tcW w:w="1110" w:type="dxa"/>
            <w:shd w:val="clear" w:color="auto" w:fill="FFFFFF"/>
            <w:noWrap/>
            <w:vAlign w:val="bottom"/>
          </w:tcPr>
          <w:p w14:paraId="38F5731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w:t>
            </w:r>
          </w:p>
        </w:tc>
        <w:tc>
          <w:tcPr>
            <w:tcW w:w="1110" w:type="dxa"/>
            <w:shd w:val="clear" w:color="auto" w:fill="FFFFFF"/>
            <w:noWrap/>
            <w:vAlign w:val="bottom"/>
          </w:tcPr>
          <w:p w14:paraId="3B4D70D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w:t>
            </w:r>
          </w:p>
        </w:tc>
      </w:tr>
      <w:tr w:rsidR="00744544" w:rsidRPr="00A66C9F" w14:paraId="0BFFF248" w14:textId="77777777" w:rsidTr="00107D5D">
        <w:tc>
          <w:tcPr>
            <w:tcW w:w="2880" w:type="dxa"/>
            <w:tcBorders>
              <w:bottom w:val="single" w:sz="4" w:space="0" w:color="auto"/>
            </w:tcBorders>
            <w:shd w:val="clear" w:color="auto" w:fill="FFFFFF"/>
            <w:noWrap/>
            <w:vAlign w:val="bottom"/>
            <w:hideMark/>
          </w:tcPr>
          <w:p w14:paraId="0CA39477" w14:textId="77777777" w:rsidR="00744544" w:rsidRPr="00A66C9F" w:rsidRDefault="00744544" w:rsidP="00107D5D">
            <w:pPr>
              <w:tabs>
                <w:tab w:val="left" w:pos="288"/>
                <w:tab w:val="left" w:pos="576"/>
                <w:tab w:val="left" w:pos="864"/>
                <w:tab w:val="left" w:pos="1152"/>
              </w:tabs>
              <w:suppressAutoHyphens/>
              <w:spacing w:before="40" w:after="81" w:line="210" w:lineRule="exact"/>
              <w:ind w:right="40"/>
              <w:rPr>
                <w:sz w:val="17"/>
                <w:szCs w:val="17"/>
                <w:lang w:val="fr-FR"/>
              </w:rPr>
            </w:pPr>
            <w:r w:rsidRPr="00A66C9F">
              <w:rPr>
                <w:sz w:val="17"/>
                <w:lang w:val="fr-FR"/>
              </w:rPr>
              <w:t>Investissements alternatifs et divers</w:t>
            </w:r>
          </w:p>
        </w:tc>
        <w:tc>
          <w:tcPr>
            <w:tcW w:w="1110" w:type="dxa"/>
            <w:tcBorders>
              <w:bottom w:val="single" w:sz="4" w:space="0" w:color="auto"/>
            </w:tcBorders>
            <w:shd w:val="clear" w:color="auto" w:fill="FFFFFF"/>
            <w:noWrap/>
            <w:vAlign w:val="bottom"/>
            <w:hideMark/>
          </w:tcPr>
          <w:p w14:paraId="7A834908"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szCs w:val="17"/>
                <w:lang w:val="fr-FR"/>
              </w:rPr>
              <w:t>–</w:t>
            </w:r>
          </w:p>
        </w:tc>
        <w:tc>
          <w:tcPr>
            <w:tcW w:w="1110" w:type="dxa"/>
            <w:tcBorders>
              <w:bottom w:val="single" w:sz="4" w:space="0" w:color="auto"/>
            </w:tcBorders>
            <w:shd w:val="clear" w:color="auto" w:fill="FFFFFF"/>
            <w:noWrap/>
            <w:vAlign w:val="bottom"/>
            <w:hideMark/>
          </w:tcPr>
          <w:p w14:paraId="1995B3C4"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szCs w:val="17"/>
                <w:lang w:val="fr-FR"/>
              </w:rPr>
              <w:t>–</w:t>
            </w:r>
          </w:p>
        </w:tc>
        <w:tc>
          <w:tcPr>
            <w:tcW w:w="1110" w:type="dxa"/>
            <w:tcBorders>
              <w:bottom w:val="single" w:sz="4" w:space="0" w:color="auto"/>
            </w:tcBorders>
            <w:shd w:val="clear" w:color="auto" w:fill="FFFFFF"/>
            <w:noWrap/>
            <w:vAlign w:val="bottom"/>
            <w:hideMark/>
          </w:tcPr>
          <w:p w14:paraId="1F1E236C"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szCs w:val="17"/>
                <w:lang w:val="fr-FR"/>
              </w:rPr>
              <w:t>–</w:t>
            </w:r>
          </w:p>
        </w:tc>
        <w:tc>
          <w:tcPr>
            <w:tcW w:w="1110" w:type="dxa"/>
            <w:tcBorders>
              <w:bottom w:val="single" w:sz="4" w:space="0" w:color="auto"/>
            </w:tcBorders>
            <w:shd w:val="clear" w:color="auto" w:fill="FFFFFF"/>
            <w:noWrap/>
            <w:vAlign w:val="bottom"/>
            <w:hideMark/>
          </w:tcPr>
          <w:p w14:paraId="6241A912"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szCs w:val="17"/>
                <w:lang w:val="fr-FR"/>
              </w:rPr>
              <w:t>–</w:t>
            </w:r>
          </w:p>
        </w:tc>
      </w:tr>
      <w:tr w:rsidR="00744544" w:rsidRPr="00A66C9F" w14:paraId="479ABCC6" w14:textId="77777777" w:rsidTr="00107D5D">
        <w:tc>
          <w:tcPr>
            <w:tcW w:w="2880" w:type="dxa"/>
            <w:tcBorders>
              <w:top w:val="single" w:sz="4" w:space="0" w:color="auto"/>
              <w:bottom w:val="single" w:sz="12" w:space="0" w:color="auto"/>
            </w:tcBorders>
            <w:shd w:val="clear" w:color="auto" w:fill="FFFFFF"/>
            <w:noWrap/>
            <w:vAlign w:val="bottom"/>
            <w:hideMark/>
          </w:tcPr>
          <w:p w14:paraId="74FE665B" w14:textId="77777777" w:rsidR="00744544" w:rsidRPr="00A66C9F" w:rsidRDefault="00744544" w:rsidP="00107D5D">
            <w:pPr>
              <w:tabs>
                <w:tab w:val="left" w:pos="288"/>
                <w:tab w:val="left" w:pos="576"/>
                <w:tab w:val="left" w:pos="864"/>
                <w:tab w:val="left" w:pos="1152"/>
              </w:tabs>
              <w:suppressAutoHyphens/>
              <w:spacing w:before="81" w:after="81" w:line="210" w:lineRule="exact"/>
              <w:ind w:right="40"/>
              <w:rPr>
                <w:b/>
                <w:bCs/>
                <w:sz w:val="17"/>
                <w:szCs w:val="21"/>
                <w:lang w:val="fr-FR"/>
              </w:rPr>
            </w:pPr>
            <w:r w:rsidRPr="00A66C9F">
              <w:rPr>
                <w:b/>
                <w:bCs/>
                <w:sz w:val="17"/>
                <w:lang w:val="fr-FR"/>
              </w:rPr>
              <w:tab/>
              <w:t>Total</w:t>
            </w:r>
          </w:p>
        </w:tc>
        <w:tc>
          <w:tcPr>
            <w:tcW w:w="1110" w:type="dxa"/>
            <w:tcBorders>
              <w:top w:val="single" w:sz="4" w:space="0" w:color="auto"/>
              <w:bottom w:val="single" w:sz="12" w:space="0" w:color="auto"/>
            </w:tcBorders>
            <w:shd w:val="clear" w:color="auto" w:fill="FFFFFF"/>
            <w:noWrap/>
            <w:vAlign w:val="bottom"/>
            <w:hideMark/>
          </w:tcPr>
          <w:p w14:paraId="5EA9A5B8" w14:textId="77777777" w:rsidR="00744544" w:rsidRPr="00A66C9F" w:rsidRDefault="00744544" w:rsidP="00107D5D">
            <w:pPr>
              <w:tabs>
                <w:tab w:val="left" w:pos="288"/>
                <w:tab w:val="left" w:pos="576"/>
                <w:tab w:val="left" w:pos="864"/>
                <w:tab w:val="left" w:pos="1152"/>
              </w:tabs>
              <w:suppressAutoHyphens/>
              <w:spacing w:before="81" w:after="81" w:line="210" w:lineRule="exact"/>
              <w:ind w:right="40"/>
              <w:jc w:val="right"/>
              <w:rPr>
                <w:b/>
                <w:bCs/>
                <w:sz w:val="17"/>
                <w:szCs w:val="21"/>
                <w:lang w:val="fr-FR"/>
              </w:rPr>
            </w:pPr>
            <w:r w:rsidRPr="00A66C9F">
              <w:rPr>
                <w:b/>
                <w:bCs/>
                <w:sz w:val="17"/>
                <w:szCs w:val="21"/>
                <w:lang w:val="fr-FR"/>
              </w:rPr>
              <w:t>–</w:t>
            </w:r>
          </w:p>
        </w:tc>
        <w:tc>
          <w:tcPr>
            <w:tcW w:w="1110" w:type="dxa"/>
            <w:tcBorders>
              <w:top w:val="single" w:sz="4" w:space="0" w:color="auto"/>
              <w:bottom w:val="single" w:sz="12" w:space="0" w:color="auto"/>
            </w:tcBorders>
            <w:shd w:val="clear" w:color="auto" w:fill="FFFFFF"/>
            <w:noWrap/>
            <w:vAlign w:val="bottom"/>
            <w:hideMark/>
          </w:tcPr>
          <w:p w14:paraId="2D477D01" w14:textId="77777777" w:rsidR="00744544" w:rsidRPr="00A66C9F" w:rsidRDefault="00744544" w:rsidP="00107D5D">
            <w:pPr>
              <w:tabs>
                <w:tab w:val="left" w:pos="288"/>
                <w:tab w:val="left" w:pos="576"/>
                <w:tab w:val="left" w:pos="864"/>
                <w:tab w:val="left" w:pos="1152"/>
              </w:tabs>
              <w:suppressAutoHyphens/>
              <w:spacing w:before="81" w:after="81" w:line="210" w:lineRule="exact"/>
              <w:ind w:right="40"/>
              <w:jc w:val="right"/>
              <w:rPr>
                <w:b/>
                <w:bCs/>
                <w:sz w:val="17"/>
                <w:szCs w:val="21"/>
                <w:lang w:val="fr-FR"/>
              </w:rPr>
            </w:pPr>
            <w:r w:rsidRPr="00A66C9F">
              <w:rPr>
                <w:b/>
                <w:bCs/>
                <w:sz w:val="17"/>
                <w:lang w:val="fr-FR"/>
              </w:rPr>
              <w:t>(43 719)</w:t>
            </w:r>
          </w:p>
        </w:tc>
        <w:tc>
          <w:tcPr>
            <w:tcW w:w="1110" w:type="dxa"/>
            <w:tcBorders>
              <w:top w:val="single" w:sz="4" w:space="0" w:color="auto"/>
              <w:bottom w:val="single" w:sz="12" w:space="0" w:color="auto"/>
            </w:tcBorders>
            <w:shd w:val="clear" w:color="auto" w:fill="FFFFFF"/>
            <w:noWrap/>
            <w:vAlign w:val="bottom"/>
            <w:hideMark/>
          </w:tcPr>
          <w:p w14:paraId="2A935E31" w14:textId="77777777" w:rsidR="00744544" w:rsidRPr="00A66C9F" w:rsidRDefault="00744544" w:rsidP="00107D5D">
            <w:pPr>
              <w:tabs>
                <w:tab w:val="left" w:pos="288"/>
                <w:tab w:val="left" w:pos="576"/>
                <w:tab w:val="left" w:pos="864"/>
                <w:tab w:val="left" w:pos="1152"/>
              </w:tabs>
              <w:suppressAutoHyphens/>
              <w:spacing w:before="81" w:after="81" w:line="210" w:lineRule="exact"/>
              <w:ind w:right="40"/>
              <w:jc w:val="right"/>
              <w:rPr>
                <w:b/>
                <w:bCs/>
                <w:sz w:val="17"/>
                <w:szCs w:val="21"/>
                <w:lang w:val="fr-FR"/>
              </w:rPr>
            </w:pPr>
            <w:r w:rsidRPr="00A66C9F">
              <w:rPr>
                <w:b/>
                <w:bCs/>
                <w:sz w:val="17"/>
                <w:szCs w:val="21"/>
                <w:lang w:val="fr-FR"/>
              </w:rPr>
              <w:t>–</w:t>
            </w:r>
          </w:p>
        </w:tc>
        <w:tc>
          <w:tcPr>
            <w:tcW w:w="1110" w:type="dxa"/>
            <w:tcBorders>
              <w:top w:val="single" w:sz="4" w:space="0" w:color="auto"/>
              <w:bottom w:val="single" w:sz="12" w:space="0" w:color="auto"/>
            </w:tcBorders>
            <w:shd w:val="clear" w:color="auto" w:fill="FFFFFF"/>
            <w:noWrap/>
            <w:vAlign w:val="bottom"/>
            <w:hideMark/>
          </w:tcPr>
          <w:p w14:paraId="72913492" w14:textId="77777777" w:rsidR="00744544" w:rsidRPr="00A66C9F" w:rsidRDefault="00744544" w:rsidP="00107D5D">
            <w:pPr>
              <w:tabs>
                <w:tab w:val="left" w:pos="288"/>
                <w:tab w:val="left" w:pos="576"/>
                <w:tab w:val="left" w:pos="864"/>
                <w:tab w:val="left" w:pos="1152"/>
              </w:tabs>
              <w:suppressAutoHyphens/>
              <w:spacing w:before="81" w:after="81" w:line="210" w:lineRule="exact"/>
              <w:ind w:right="40"/>
              <w:jc w:val="right"/>
              <w:rPr>
                <w:b/>
                <w:bCs/>
                <w:sz w:val="17"/>
                <w:szCs w:val="21"/>
                <w:lang w:val="fr-FR"/>
              </w:rPr>
            </w:pPr>
            <w:r w:rsidRPr="00A66C9F">
              <w:rPr>
                <w:b/>
                <w:bCs/>
                <w:sz w:val="17"/>
                <w:lang w:val="fr-FR"/>
              </w:rPr>
              <w:t>(43 719)</w:t>
            </w:r>
          </w:p>
        </w:tc>
      </w:tr>
    </w:tbl>
    <w:p w14:paraId="1648DBF6" w14:textId="77777777" w:rsidR="00744544" w:rsidRPr="00A66C9F" w:rsidRDefault="00744544" w:rsidP="00744544">
      <w:pPr>
        <w:pStyle w:val="SingleTxt"/>
        <w:spacing w:after="0" w:line="120" w:lineRule="exact"/>
        <w:rPr>
          <w:sz w:val="10"/>
          <w:lang w:val="fr-FR"/>
        </w:rPr>
      </w:pPr>
    </w:p>
    <w:p w14:paraId="042B32A7" w14:textId="77777777" w:rsidR="00744544" w:rsidRPr="00A66C9F" w:rsidRDefault="00744544" w:rsidP="00744544">
      <w:pPr>
        <w:pStyle w:val="SingleTxt"/>
        <w:spacing w:after="0" w:line="120" w:lineRule="exact"/>
        <w:rPr>
          <w:sz w:val="10"/>
          <w:lang w:val="fr-FR"/>
        </w:rPr>
      </w:pPr>
    </w:p>
    <w:p w14:paraId="0842F2AF" w14:textId="77777777" w:rsidR="00744544" w:rsidRPr="00A66C9F" w:rsidRDefault="00744544" w:rsidP="00753AB8">
      <w:pPr>
        <w:pStyle w:val="SingleTxt"/>
        <w:numPr>
          <w:ilvl w:val="0"/>
          <w:numId w:val="15"/>
        </w:numPr>
        <w:spacing w:line="240" w:lineRule="exact"/>
        <w:rPr>
          <w:szCs w:val="20"/>
          <w:lang w:val="fr-FR"/>
        </w:rPr>
      </w:pPr>
      <w:r w:rsidRPr="00A66C9F">
        <w:rPr>
          <w:lang w:val="fr-FR"/>
        </w:rPr>
        <w:t xml:space="preserve">Pour l’année terminée le 31 décembre 2018, une valeur à revenu fixe, dont le montant détenu représentait 43,7 millions de dollars, a été transférée du niveau 2 au niveau 3. Son cours, qui était disponible auprès de nombreux vendeurs au 31 décembre 2017, ne l’était plus qu’auprès d’un seul vendeur au 31 décembre 2018, d’où la décision de la Caisse de le reclasser au niveau 3. </w:t>
      </w:r>
    </w:p>
    <w:p w14:paraId="0B64D807" w14:textId="77777777" w:rsidR="00744544" w:rsidRPr="00A66C9F" w:rsidRDefault="00744544" w:rsidP="00753AB8">
      <w:pPr>
        <w:pStyle w:val="SingleTxt"/>
        <w:numPr>
          <w:ilvl w:val="0"/>
          <w:numId w:val="15"/>
        </w:numPr>
        <w:spacing w:line="240" w:lineRule="exact"/>
        <w:rPr>
          <w:szCs w:val="20"/>
          <w:lang w:val="fr-FR"/>
        </w:rPr>
      </w:pPr>
      <w:r w:rsidRPr="00A66C9F">
        <w:rPr>
          <w:lang w:val="fr-FR"/>
        </w:rPr>
        <w:t>Le tableau ci-dessous présente les variations des instruments relevant du niveau 3 intervenues pendant la période terminée le 31 décembre 2019, par catégorie d’instrument financier.</w:t>
      </w:r>
    </w:p>
    <w:p w14:paraId="36C03DB7" w14:textId="77777777" w:rsidR="00744544" w:rsidRPr="00A66C9F" w:rsidRDefault="00744544" w:rsidP="00744544">
      <w:pPr>
        <w:pStyle w:val="SingleTxt"/>
        <w:spacing w:after="0" w:line="120" w:lineRule="exact"/>
        <w:rPr>
          <w:sz w:val="10"/>
          <w:lang w:val="fr-FR"/>
        </w:rPr>
      </w:pPr>
    </w:p>
    <w:p w14:paraId="080C5FAA" w14:textId="77777777" w:rsidR="00744544" w:rsidRPr="00A66C9F" w:rsidRDefault="00744544" w:rsidP="0074454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lang w:val="fr-FR"/>
        </w:rPr>
        <w:tab/>
      </w:r>
      <w:r w:rsidRPr="00A66C9F">
        <w:rPr>
          <w:sz w:val="14"/>
          <w:szCs w:val="14"/>
          <w:lang w:val="fr-FR"/>
        </w:rPr>
        <w:tab/>
        <w:t>(En milliers de dollars des États-Unis)</w:t>
      </w:r>
    </w:p>
    <w:p w14:paraId="5DBEA97D" w14:textId="77777777" w:rsidR="00744544" w:rsidRPr="00A66C9F" w:rsidRDefault="00744544" w:rsidP="00744544">
      <w:pPr>
        <w:pStyle w:val="SingleTxt"/>
        <w:spacing w:after="0" w:line="120" w:lineRule="exact"/>
        <w:rPr>
          <w:sz w:val="10"/>
          <w:lang w:val="fr-FR"/>
        </w:rPr>
      </w:pPr>
    </w:p>
    <w:p w14:paraId="76790B1B" w14:textId="77777777" w:rsidR="00744544" w:rsidRPr="00A66C9F" w:rsidRDefault="00744544" w:rsidP="00744544">
      <w:pPr>
        <w:pStyle w:val="SingleTxt"/>
        <w:spacing w:after="0" w:line="120" w:lineRule="exact"/>
        <w:rPr>
          <w:sz w:val="10"/>
          <w:lang w:val="fr-FR"/>
        </w:rPr>
      </w:pPr>
    </w:p>
    <w:tbl>
      <w:tblPr>
        <w:tblW w:w="8582" w:type="dxa"/>
        <w:tblInd w:w="1267" w:type="dxa"/>
        <w:tblLayout w:type="fixed"/>
        <w:tblCellMar>
          <w:left w:w="0" w:type="dxa"/>
          <w:right w:w="0" w:type="dxa"/>
        </w:tblCellMar>
        <w:tblLook w:val="04A0" w:firstRow="1" w:lastRow="0" w:firstColumn="1" w:lastColumn="0" w:noHBand="0" w:noVBand="1"/>
      </w:tblPr>
      <w:tblGrid>
        <w:gridCol w:w="3413"/>
        <w:gridCol w:w="1033"/>
        <w:gridCol w:w="1034"/>
        <w:gridCol w:w="1034"/>
        <w:gridCol w:w="1034"/>
        <w:gridCol w:w="1034"/>
      </w:tblGrid>
      <w:tr w:rsidR="00744544" w:rsidRPr="00A66C9F" w14:paraId="0843B344" w14:textId="77777777" w:rsidTr="00107D5D">
        <w:trPr>
          <w:trHeight w:val="720"/>
          <w:tblHeader/>
        </w:trPr>
        <w:tc>
          <w:tcPr>
            <w:tcW w:w="3413" w:type="dxa"/>
            <w:tcBorders>
              <w:top w:val="single" w:sz="4" w:space="0" w:color="auto"/>
              <w:bottom w:val="single" w:sz="12" w:space="0" w:color="auto"/>
            </w:tcBorders>
            <w:shd w:val="clear" w:color="auto" w:fill="FFFFFF"/>
            <w:vAlign w:val="bottom"/>
            <w:hideMark/>
          </w:tcPr>
          <w:p w14:paraId="1CABFDD3" w14:textId="77777777" w:rsidR="00744544" w:rsidRPr="00A66C9F" w:rsidRDefault="00744544" w:rsidP="00107D5D">
            <w:pPr>
              <w:suppressAutoHyphens/>
              <w:spacing w:before="81" w:after="81" w:line="160" w:lineRule="exact"/>
              <w:ind w:right="40"/>
              <w:rPr>
                <w:i/>
                <w:sz w:val="14"/>
                <w:lang w:val="fr-FR"/>
              </w:rPr>
            </w:pPr>
            <w:r w:rsidRPr="00A66C9F">
              <w:rPr>
                <w:i/>
                <w:sz w:val="14"/>
                <w:lang w:val="fr-FR"/>
              </w:rPr>
              <w:t> </w:t>
            </w:r>
          </w:p>
        </w:tc>
        <w:tc>
          <w:tcPr>
            <w:tcW w:w="1033" w:type="dxa"/>
            <w:tcBorders>
              <w:top w:val="single" w:sz="4" w:space="0" w:color="auto"/>
              <w:bottom w:val="single" w:sz="12" w:space="0" w:color="auto"/>
            </w:tcBorders>
            <w:shd w:val="clear" w:color="auto" w:fill="FFFFFF"/>
            <w:vAlign w:val="bottom"/>
            <w:hideMark/>
          </w:tcPr>
          <w:p w14:paraId="0D355A9A"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Actions</w:t>
            </w:r>
          </w:p>
        </w:tc>
        <w:tc>
          <w:tcPr>
            <w:tcW w:w="1034" w:type="dxa"/>
            <w:tcBorders>
              <w:top w:val="single" w:sz="4" w:space="0" w:color="auto"/>
              <w:bottom w:val="single" w:sz="12" w:space="0" w:color="auto"/>
            </w:tcBorders>
            <w:shd w:val="clear" w:color="auto" w:fill="FFFFFF"/>
            <w:vAlign w:val="bottom"/>
            <w:hideMark/>
          </w:tcPr>
          <w:p w14:paraId="52E17C58"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 xml:space="preserve">Valeurs </w:t>
            </w:r>
            <w:r w:rsidRPr="00A66C9F">
              <w:rPr>
                <w:i/>
                <w:sz w:val="14"/>
                <w:lang w:val="fr-FR"/>
              </w:rPr>
              <w:br/>
              <w:t>à revenu fixe</w:t>
            </w:r>
          </w:p>
        </w:tc>
        <w:tc>
          <w:tcPr>
            <w:tcW w:w="1034" w:type="dxa"/>
            <w:tcBorders>
              <w:top w:val="single" w:sz="4" w:space="0" w:color="auto"/>
              <w:bottom w:val="single" w:sz="12" w:space="0" w:color="auto"/>
            </w:tcBorders>
            <w:shd w:val="clear" w:color="auto" w:fill="FFFFFF"/>
            <w:vAlign w:val="bottom"/>
            <w:hideMark/>
          </w:tcPr>
          <w:p w14:paraId="2F6C10DD"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Actifs réels</w:t>
            </w:r>
          </w:p>
        </w:tc>
        <w:tc>
          <w:tcPr>
            <w:tcW w:w="1034" w:type="dxa"/>
            <w:tcBorders>
              <w:top w:val="single" w:sz="4" w:space="0" w:color="auto"/>
              <w:bottom w:val="single" w:sz="12" w:space="0" w:color="auto"/>
            </w:tcBorders>
            <w:shd w:val="clear" w:color="auto" w:fill="FFFFFF"/>
            <w:vAlign w:val="bottom"/>
            <w:hideMark/>
          </w:tcPr>
          <w:p w14:paraId="5FCFC068"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 xml:space="preserve">Investissements alternatifs </w:t>
            </w:r>
            <w:r w:rsidRPr="00A66C9F">
              <w:rPr>
                <w:i/>
                <w:sz w:val="14"/>
                <w:lang w:val="fr-FR"/>
              </w:rPr>
              <w:br/>
              <w:t>et divers</w:t>
            </w:r>
          </w:p>
        </w:tc>
        <w:tc>
          <w:tcPr>
            <w:tcW w:w="1034" w:type="dxa"/>
            <w:tcBorders>
              <w:top w:val="single" w:sz="4" w:space="0" w:color="auto"/>
              <w:bottom w:val="single" w:sz="12" w:space="0" w:color="auto"/>
            </w:tcBorders>
            <w:shd w:val="clear" w:color="auto" w:fill="FFFFFF"/>
            <w:vAlign w:val="bottom"/>
            <w:hideMark/>
          </w:tcPr>
          <w:p w14:paraId="4015329E"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Total</w:t>
            </w:r>
          </w:p>
        </w:tc>
      </w:tr>
      <w:tr w:rsidR="00744544" w:rsidRPr="00A66C9F" w14:paraId="3956C756" w14:textId="77777777" w:rsidTr="00107D5D">
        <w:trPr>
          <w:trHeight w:hRule="exact" w:val="115"/>
          <w:tblHeader/>
        </w:trPr>
        <w:tc>
          <w:tcPr>
            <w:tcW w:w="3413" w:type="dxa"/>
            <w:tcBorders>
              <w:top w:val="single" w:sz="12" w:space="0" w:color="auto"/>
            </w:tcBorders>
            <w:shd w:val="clear" w:color="auto" w:fill="FFFFFF"/>
            <w:vAlign w:val="bottom"/>
          </w:tcPr>
          <w:p w14:paraId="2840DF58" w14:textId="77777777" w:rsidR="00744544" w:rsidRPr="00A66C9F" w:rsidRDefault="00744544" w:rsidP="00107D5D">
            <w:pPr>
              <w:suppressAutoHyphens/>
              <w:spacing w:before="40" w:after="40" w:line="210" w:lineRule="exact"/>
              <w:ind w:right="40"/>
              <w:rPr>
                <w:sz w:val="17"/>
                <w:lang w:val="fr-FR"/>
              </w:rPr>
            </w:pPr>
          </w:p>
        </w:tc>
        <w:tc>
          <w:tcPr>
            <w:tcW w:w="1033" w:type="dxa"/>
            <w:tcBorders>
              <w:top w:val="single" w:sz="12" w:space="0" w:color="auto"/>
            </w:tcBorders>
            <w:shd w:val="clear" w:color="auto" w:fill="FFFFFF"/>
            <w:noWrap/>
            <w:vAlign w:val="bottom"/>
          </w:tcPr>
          <w:p w14:paraId="5BC4E9D1" w14:textId="77777777" w:rsidR="00744544" w:rsidRPr="00A66C9F" w:rsidRDefault="00744544" w:rsidP="00107D5D">
            <w:pPr>
              <w:suppressAutoHyphens/>
              <w:spacing w:before="40" w:after="40" w:line="210" w:lineRule="exact"/>
              <w:ind w:right="43"/>
              <w:jc w:val="right"/>
              <w:rPr>
                <w:sz w:val="17"/>
                <w:lang w:val="fr-FR"/>
              </w:rPr>
            </w:pPr>
          </w:p>
        </w:tc>
        <w:tc>
          <w:tcPr>
            <w:tcW w:w="1034" w:type="dxa"/>
            <w:tcBorders>
              <w:top w:val="single" w:sz="12" w:space="0" w:color="auto"/>
            </w:tcBorders>
            <w:shd w:val="clear" w:color="auto" w:fill="FFFFFF"/>
            <w:noWrap/>
            <w:vAlign w:val="bottom"/>
          </w:tcPr>
          <w:p w14:paraId="2C4ACF45" w14:textId="77777777" w:rsidR="00744544" w:rsidRPr="00A66C9F" w:rsidRDefault="00744544" w:rsidP="00107D5D">
            <w:pPr>
              <w:suppressAutoHyphens/>
              <w:spacing w:before="40" w:after="40" w:line="210" w:lineRule="exact"/>
              <w:ind w:right="43"/>
              <w:jc w:val="right"/>
              <w:rPr>
                <w:sz w:val="17"/>
                <w:lang w:val="fr-FR"/>
              </w:rPr>
            </w:pPr>
          </w:p>
        </w:tc>
        <w:tc>
          <w:tcPr>
            <w:tcW w:w="1034" w:type="dxa"/>
            <w:tcBorders>
              <w:top w:val="single" w:sz="12" w:space="0" w:color="auto"/>
            </w:tcBorders>
            <w:shd w:val="clear" w:color="auto" w:fill="FFFFFF"/>
            <w:noWrap/>
            <w:vAlign w:val="bottom"/>
          </w:tcPr>
          <w:p w14:paraId="4CFE4376" w14:textId="77777777" w:rsidR="00744544" w:rsidRPr="00A66C9F" w:rsidRDefault="00744544" w:rsidP="00107D5D">
            <w:pPr>
              <w:suppressAutoHyphens/>
              <w:spacing w:before="40" w:after="40" w:line="210" w:lineRule="exact"/>
              <w:ind w:right="43"/>
              <w:jc w:val="right"/>
              <w:rPr>
                <w:sz w:val="17"/>
                <w:lang w:val="fr-FR"/>
              </w:rPr>
            </w:pPr>
          </w:p>
        </w:tc>
        <w:tc>
          <w:tcPr>
            <w:tcW w:w="1034" w:type="dxa"/>
            <w:tcBorders>
              <w:top w:val="single" w:sz="12" w:space="0" w:color="auto"/>
            </w:tcBorders>
            <w:shd w:val="clear" w:color="auto" w:fill="FFFFFF"/>
            <w:noWrap/>
            <w:vAlign w:val="bottom"/>
          </w:tcPr>
          <w:p w14:paraId="516EE4F3" w14:textId="77777777" w:rsidR="00744544" w:rsidRPr="00A66C9F" w:rsidRDefault="00744544" w:rsidP="00107D5D">
            <w:pPr>
              <w:suppressAutoHyphens/>
              <w:spacing w:before="40" w:after="40" w:line="210" w:lineRule="exact"/>
              <w:ind w:right="43"/>
              <w:jc w:val="right"/>
              <w:rPr>
                <w:sz w:val="17"/>
                <w:lang w:val="fr-FR"/>
              </w:rPr>
            </w:pPr>
          </w:p>
        </w:tc>
        <w:tc>
          <w:tcPr>
            <w:tcW w:w="1034" w:type="dxa"/>
            <w:tcBorders>
              <w:top w:val="single" w:sz="12" w:space="0" w:color="auto"/>
            </w:tcBorders>
            <w:shd w:val="clear" w:color="auto" w:fill="FFFFFF"/>
            <w:vAlign w:val="bottom"/>
          </w:tcPr>
          <w:p w14:paraId="26522B60" w14:textId="77777777" w:rsidR="00744544" w:rsidRPr="00A66C9F" w:rsidRDefault="00744544" w:rsidP="00107D5D">
            <w:pPr>
              <w:suppressAutoHyphens/>
              <w:spacing w:before="40" w:after="40" w:line="210" w:lineRule="exact"/>
              <w:ind w:right="43"/>
              <w:jc w:val="right"/>
              <w:rPr>
                <w:sz w:val="17"/>
                <w:lang w:val="fr-FR"/>
              </w:rPr>
            </w:pPr>
          </w:p>
        </w:tc>
      </w:tr>
      <w:tr w:rsidR="00744544" w:rsidRPr="00A66C9F" w14:paraId="33FC5B3A" w14:textId="77777777" w:rsidTr="00107D5D">
        <w:tc>
          <w:tcPr>
            <w:tcW w:w="3413" w:type="dxa"/>
            <w:shd w:val="clear" w:color="auto" w:fill="FFFFFF"/>
            <w:vAlign w:val="bottom"/>
            <w:hideMark/>
          </w:tcPr>
          <w:p w14:paraId="5129F05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b/>
                <w:bCs/>
                <w:sz w:val="17"/>
                <w:lang w:val="fr-FR"/>
              </w:rPr>
            </w:pPr>
            <w:r w:rsidRPr="00A66C9F">
              <w:rPr>
                <w:b/>
                <w:bCs/>
                <w:sz w:val="17"/>
                <w:lang w:val="fr-FR"/>
              </w:rPr>
              <w:t>Solde d’ouverture</w:t>
            </w:r>
          </w:p>
        </w:tc>
        <w:tc>
          <w:tcPr>
            <w:tcW w:w="1033" w:type="dxa"/>
            <w:shd w:val="clear" w:color="auto" w:fill="FFFFFF"/>
            <w:noWrap/>
            <w:vAlign w:val="bottom"/>
            <w:hideMark/>
          </w:tcPr>
          <w:p w14:paraId="50F5A84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b/>
                <w:bCs/>
                <w:sz w:val="17"/>
                <w:lang w:val="fr-FR"/>
              </w:rPr>
            </w:pPr>
            <w:r w:rsidRPr="00A66C9F">
              <w:rPr>
                <w:b/>
                <w:bCs/>
                <w:sz w:val="17"/>
                <w:lang w:val="fr-FR"/>
              </w:rPr>
              <w:t>127 585</w:t>
            </w:r>
          </w:p>
        </w:tc>
        <w:tc>
          <w:tcPr>
            <w:tcW w:w="1034" w:type="dxa"/>
            <w:shd w:val="clear" w:color="auto" w:fill="FFFFFF"/>
            <w:noWrap/>
            <w:vAlign w:val="bottom"/>
            <w:hideMark/>
          </w:tcPr>
          <w:p w14:paraId="7B46470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b/>
                <w:bCs/>
                <w:sz w:val="17"/>
                <w:lang w:val="fr-FR"/>
              </w:rPr>
            </w:pPr>
            <w:r w:rsidRPr="00A66C9F">
              <w:rPr>
                <w:b/>
                <w:bCs/>
                <w:sz w:val="17"/>
                <w:lang w:val="fr-FR"/>
              </w:rPr>
              <w:t>88 692</w:t>
            </w:r>
          </w:p>
        </w:tc>
        <w:tc>
          <w:tcPr>
            <w:tcW w:w="1034" w:type="dxa"/>
            <w:shd w:val="clear" w:color="auto" w:fill="FFFFFF"/>
            <w:noWrap/>
            <w:vAlign w:val="bottom"/>
            <w:hideMark/>
          </w:tcPr>
          <w:p w14:paraId="521F7BB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b/>
                <w:bCs/>
                <w:sz w:val="17"/>
                <w:lang w:val="fr-FR"/>
              </w:rPr>
            </w:pPr>
            <w:r w:rsidRPr="00A66C9F">
              <w:rPr>
                <w:b/>
                <w:bCs/>
                <w:sz w:val="17"/>
                <w:lang w:val="fr-FR"/>
              </w:rPr>
              <w:t>4 092 843</w:t>
            </w:r>
          </w:p>
        </w:tc>
        <w:tc>
          <w:tcPr>
            <w:tcW w:w="1034" w:type="dxa"/>
            <w:shd w:val="clear" w:color="auto" w:fill="FFFFFF"/>
            <w:noWrap/>
            <w:vAlign w:val="bottom"/>
            <w:hideMark/>
          </w:tcPr>
          <w:p w14:paraId="1CDAAAF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b/>
                <w:bCs/>
                <w:sz w:val="17"/>
                <w:lang w:val="fr-FR"/>
              </w:rPr>
            </w:pPr>
            <w:r w:rsidRPr="00A66C9F">
              <w:rPr>
                <w:b/>
                <w:bCs/>
                <w:sz w:val="17"/>
                <w:lang w:val="fr-FR"/>
              </w:rPr>
              <w:t>2 743 377</w:t>
            </w:r>
          </w:p>
        </w:tc>
        <w:tc>
          <w:tcPr>
            <w:tcW w:w="1034" w:type="dxa"/>
            <w:shd w:val="clear" w:color="auto" w:fill="FFFFFF"/>
            <w:vAlign w:val="bottom"/>
            <w:hideMark/>
          </w:tcPr>
          <w:p w14:paraId="0BDCE2F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b/>
                <w:bCs/>
                <w:sz w:val="17"/>
                <w:lang w:val="fr-FR"/>
              </w:rPr>
            </w:pPr>
            <w:r w:rsidRPr="00A66C9F">
              <w:rPr>
                <w:b/>
                <w:bCs/>
                <w:sz w:val="17"/>
                <w:lang w:val="fr-FR"/>
              </w:rPr>
              <w:t>7 052 497</w:t>
            </w:r>
          </w:p>
        </w:tc>
      </w:tr>
      <w:tr w:rsidR="00744544" w:rsidRPr="00A66C9F" w14:paraId="0812C57C" w14:textId="77777777" w:rsidTr="00107D5D">
        <w:tc>
          <w:tcPr>
            <w:tcW w:w="3413" w:type="dxa"/>
            <w:shd w:val="clear" w:color="auto" w:fill="FFFFFF"/>
            <w:vAlign w:val="bottom"/>
            <w:hideMark/>
          </w:tcPr>
          <w:p w14:paraId="734481B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ab/>
              <w:t xml:space="preserve">Achats </w:t>
            </w:r>
          </w:p>
        </w:tc>
        <w:tc>
          <w:tcPr>
            <w:tcW w:w="1033" w:type="dxa"/>
            <w:shd w:val="clear" w:color="auto" w:fill="FFFFFF"/>
            <w:noWrap/>
            <w:vAlign w:val="bottom"/>
            <w:hideMark/>
          </w:tcPr>
          <w:p w14:paraId="2630DB1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7 941</w:t>
            </w:r>
          </w:p>
        </w:tc>
        <w:tc>
          <w:tcPr>
            <w:tcW w:w="1034" w:type="dxa"/>
            <w:shd w:val="clear" w:color="auto" w:fill="FFFFFF"/>
            <w:noWrap/>
            <w:vAlign w:val="bottom"/>
            <w:hideMark/>
          </w:tcPr>
          <w:p w14:paraId="3B51CF3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8 025</w:t>
            </w:r>
          </w:p>
        </w:tc>
        <w:tc>
          <w:tcPr>
            <w:tcW w:w="1034" w:type="dxa"/>
            <w:shd w:val="clear" w:color="auto" w:fill="FFFFFF"/>
            <w:noWrap/>
            <w:vAlign w:val="bottom"/>
            <w:hideMark/>
          </w:tcPr>
          <w:p w14:paraId="4C86F38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1 215 337</w:t>
            </w:r>
          </w:p>
        </w:tc>
        <w:tc>
          <w:tcPr>
            <w:tcW w:w="1034" w:type="dxa"/>
            <w:shd w:val="clear" w:color="auto" w:fill="FFFFFF"/>
            <w:noWrap/>
            <w:vAlign w:val="bottom"/>
            <w:hideMark/>
          </w:tcPr>
          <w:p w14:paraId="7039629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977 215</w:t>
            </w:r>
          </w:p>
        </w:tc>
        <w:tc>
          <w:tcPr>
            <w:tcW w:w="1034" w:type="dxa"/>
            <w:shd w:val="clear" w:color="auto" w:fill="FFFFFF"/>
            <w:vAlign w:val="bottom"/>
            <w:hideMark/>
          </w:tcPr>
          <w:p w14:paraId="6489732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2 208 518</w:t>
            </w:r>
          </w:p>
        </w:tc>
      </w:tr>
      <w:tr w:rsidR="00744544" w:rsidRPr="00A66C9F" w14:paraId="522A44D0" w14:textId="77777777" w:rsidTr="00107D5D">
        <w:tc>
          <w:tcPr>
            <w:tcW w:w="3413" w:type="dxa"/>
            <w:shd w:val="clear" w:color="auto" w:fill="FFFFFF"/>
            <w:vAlign w:val="bottom"/>
            <w:hideMark/>
          </w:tcPr>
          <w:p w14:paraId="532EC94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ab/>
              <w:t>Vente/remboursement de capital</w:t>
            </w:r>
          </w:p>
        </w:tc>
        <w:tc>
          <w:tcPr>
            <w:tcW w:w="1033" w:type="dxa"/>
            <w:shd w:val="clear" w:color="auto" w:fill="FFFFFF"/>
            <w:noWrap/>
            <w:vAlign w:val="bottom"/>
            <w:hideMark/>
          </w:tcPr>
          <w:p w14:paraId="44EBF76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(516)</w:t>
            </w:r>
          </w:p>
        </w:tc>
        <w:tc>
          <w:tcPr>
            <w:tcW w:w="1034" w:type="dxa"/>
            <w:shd w:val="clear" w:color="auto" w:fill="FFFFFF"/>
            <w:noWrap/>
            <w:vAlign w:val="bottom"/>
            <w:hideMark/>
          </w:tcPr>
          <w:p w14:paraId="2B7F82D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(308)</w:t>
            </w:r>
          </w:p>
        </w:tc>
        <w:tc>
          <w:tcPr>
            <w:tcW w:w="1034" w:type="dxa"/>
            <w:shd w:val="clear" w:color="auto" w:fill="FFFFFF"/>
            <w:noWrap/>
            <w:vAlign w:val="bottom"/>
            <w:hideMark/>
          </w:tcPr>
          <w:p w14:paraId="55CA2F3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(668 870)</w:t>
            </w:r>
          </w:p>
        </w:tc>
        <w:tc>
          <w:tcPr>
            <w:tcW w:w="1034" w:type="dxa"/>
            <w:shd w:val="clear" w:color="auto" w:fill="FFFFFF"/>
            <w:noWrap/>
            <w:vAlign w:val="bottom"/>
            <w:hideMark/>
          </w:tcPr>
          <w:p w14:paraId="4882400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(547 301)</w:t>
            </w:r>
          </w:p>
        </w:tc>
        <w:tc>
          <w:tcPr>
            <w:tcW w:w="1034" w:type="dxa"/>
            <w:shd w:val="clear" w:color="auto" w:fill="FFFFFF"/>
            <w:vAlign w:val="bottom"/>
            <w:hideMark/>
          </w:tcPr>
          <w:p w14:paraId="47DF075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(1 216 995)</w:t>
            </w:r>
          </w:p>
        </w:tc>
      </w:tr>
      <w:tr w:rsidR="00744544" w:rsidRPr="00A66C9F" w14:paraId="3CE74809" w14:textId="77777777" w:rsidTr="00107D5D">
        <w:tc>
          <w:tcPr>
            <w:tcW w:w="3413" w:type="dxa"/>
            <w:shd w:val="clear" w:color="auto" w:fill="FFFFFF"/>
            <w:vAlign w:val="bottom"/>
            <w:hideMark/>
          </w:tcPr>
          <w:p w14:paraId="3A9ECB1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ab/>
              <w:t>Transferts (depuis)/vers le niveau 3</w:t>
            </w:r>
          </w:p>
        </w:tc>
        <w:tc>
          <w:tcPr>
            <w:tcW w:w="1033" w:type="dxa"/>
            <w:shd w:val="clear" w:color="auto" w:fill="FFFFFF"/>
            <w:noWrap/>
            <w:vAlign w:val="bottom"/>
            <w:hideMark/>
          </w:tcPr>
          <w:p w14:paraId="78E1D79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szCs w:val="17"/>
                <w:lang w:val="fr-FR"/>
              </w:rPr>
              <w:t>–</w:t>
            </w:r>
          </w:p>
        </w:tc>
        <w:tc>
          <w:tcPr>
            <w:tcW w:w="1034" w:type="dxa"/>
            <w:shd w:val="clear" w:color="auto" w:fill="FFFFFF"/>
            <w:noWrap/>
            <w:vAlign w:val="bottom"/>
            <w:hideMark/>
          </w:tcPr>
          <w:p w14:paraId="0B17C7F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szCs w:val="17"/>
                <w:lang w:val="fr-FR"/>
              </w:rPr>
              <w:t>–</w:t>
            </w:r>
          </w:p>
        </w:tc>
        <w:tc>
          <w:tcPr>
            <w:tcW w:w="1034" w:type="dxa"/>
            <w:shd w:val="clear" w:color="auto" w:fill="FFFFFF"/>
            <w:noWrap/>
            <w:vAlign w:val="bottom"/>
            <w:hideMark/>
          </w:tcPr>
          <w:p w14:paraId="2A5E428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szCs w:val="17"/>
                <w:lang w:val="fr-FR"/>
              </w:rPr>
              <w:t>–</w:t>
            </w:r>
          </w:p>
        </w:tc>
        <w:tc>
          <w:tcPr>
            <w:tcW w:w="1034" w:type="dxa"/>
            <w:shd w:val="clear" w:color="auto" w:fill="FFFFFF"/>
            <w:noWrap/>
            <w:vAlign w:val="bottom"/>
            <w:hideMark/>
          </w:tcPr>
          <w:p w14:paraId="7D2B87B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szCs w:val="17"/>
                <w:lang w:val="fr-FR"/>
              </w:rPr>
              <w:t>–</w:t>
            </w:r>
          </w:p>
        </w:tc>
        <w:tc>
          <w:tcPr>
            <w:tcW w:w="1034" w:type="dxa"/>
            <w:shd w:val="clear" w:color="auto" w:fill="FFFFFF"/>
            <w:vAlign w:val="bottom"/>
            <w:hideMark/>
          </w:tcPr>
          <w:p w14:paraId="0A03552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szCs w:val="17"/>
                <w:lang w:val="fr-FR"/>
              </w:rPr>
              <w:t>–</w:t>
            </w:r>
          </w:p>
        </w:tc>
      </w:tr>
      <w:tr w:rsidR="00744544" w:rsidRPr="00A66C9F" w14:paraId="3727D0CA" w14:textId="77777777" w:rsidTr="00107D5D">
        <w:tc>
          <w:tcPr>
            <w:tcW w:w="3413" w:type="dxa"/>
            <w:tcBorders>
              <w:bottom w:val="single" w:sz="4" w:space="0" w:color="auto"/>
            </w:tcBorders>
            <w:shd w:val="clear" w:color="auto" w:fill="FFFFFF"/>
            <w:vAlign w:val="bottom"/>
            <w:hideMark/>
          </w:tcPr>
          <w:p w14:paraId="0FC34CF3" w14:textId="77777777" w:rsidR="00744544" w:rsidRPr="00A66C9F" w:rsidRDefault="00744544" w:rsidP="00107D5D">
            <w:pPr>
              <w:tabs>
                <w:tab w:val="left" w:pos="288"/>
                <w:tab w:val="left" w:pos="576"/>
                <w:tab w:val="left" w:pos="864"/>
                <w:tab w:val="left" w:pos="1152"/>
              </w:tabs>
              <w:suppressAutoHyphens/>
              <w:spacing w:before="40" w:after="81" w:line="210" w:lineRule="exact"/>
              <w:ind w:left="288" w:right="40" w:hanging="288"/>
              <w:rPr>
                <w:sz w:val="17"/>
                <w:lang w:val="fr-FR"/>
              </w:rPr>
            </w:pPr>
            <w:r w:rsidRPr="00A66C9F">
              <w:rPr>
                <w:sz w:val="17"/>
                <w:lang w:val="fr-FR"/>
              </w:rPr>
              <w:tab/>
              <w:t>Montant net des profits et pertes comptabilisés dans l’état des variations de l’actif net disponible pour le versement des prestations</w:t>
            </w:r>
          </w:p>
        </w:tc>
        <w:tc>
          <w:tcPr>
            <w:tcW w:w="1033" w:type="dxa"/>
            <w:tcBorders>
              <w:bottom w:val="single" w:sz="4" w:space="0" w:color="auto"/>
            </w:tcBorders>
            <w:shd w:val="clear" w:color="auto" w:fill="FFFFFF"/>
            <w:noWrap/>
            <w:vAlign w:val="bottom"/>
            <w:hideMark/>
          </w:tcPr>
          <w:p w14:paraId="526BCB49"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3 925</w:t>
            </w:r>
          </w:p>
        </w:tc>
        <w:tc>
          <w:tcPr>
            <w:tcW w:w="1034" w:type="dxa"/>
            <w:tcBorders>
              <w:bottom w:val="single" w:sz="4" w:space="0" w:color="auto"/>
            </w:tcBorders>
            <w:shd w:val="clear" w:color="auto" w:fill="FFFFFF"/>
            <w:noWrap/>
            <w:vAlign w:val="bottom"/>
            <w:hideMark/>
          </w:tcPr>
          <w:p w14:paraId="0C629487"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4 370</w:t>
            </w:r>
          </w:p>
        </w:tc>
        <w:tc>
          <w:tcPr>
            <w:tcW w:w="1034" w:type="dxa"/>
            <w:tcBorders>
              <w:bottom w:val="single" w:sz="4" w:space="0" w:color="auto"/>
            </w:tcBorders>
            <w:shd w:val="clear" w:color="auto" w:fill="FFFFFF"/>
            <w:noWrap/>
            <w:vAlign w:val="bottom"/>
            <w:hideMark/>
          </w:tcPr>
          <w:p w14:paraId="3CE8ACD3"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332 619</w:t>
            </w:r>
          </w:p>
        </w:tc>
        <w:tc>
          <w:tcPr>
            <w:tcW w:w="1034" w:type="dxa"/>
            <w:tcBorders>
              <w:bottom w:val="single" w:sz="4" w:space="0" w:color="auto"/>
            </w:tcBorders>
            <w:shd w:val="clear" w:color="auto" w:fill="FFFFFF"/>
            <w:noWrap/>
            <w:vAlign w:val="bottom"/>
            <w:hideMark/>
          </w:tcPr>
          <w:p w14:paraId="453AF3D1"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453 176</w:t>
            </w:r>
          </w:p>
        </w:tc>
        <w:tc>
          <w:tcPr>
            <w:tcW w:w="1034" w:type="dxa"/>
            <w:tcBorders>
              <w:bottom w:val="single" w:sz="4" w:space="0" w:color="auto"/>
            </w:tcBorders>
            <w:shd w:val="clear" w:color="auto" w:fill="FFFFFF"/>
            <w:vAlign w:val="bottom"/>
            <w:hideMark/>
          </w:tcPr>
          <w:p w14:paraId="01A8789D"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794 090</w:t>
            </w:r>
          </w:p>
        </w:tc>
      </w:tr>
      <w:tr w:rsidR="00744544" w:rsidRPr="00A66C9F" w14:paraId="6D6052AE" w14:textId="77777777" w:rsidTr="00107D5D">
        <w:tc>
          <w:tcPr>
            <w:tcW w:w="3413" w:type="dxa"/>
            <w:tcBorders>
              <w:top w:val="single" w:sz="4" w:space="0" w:color="auto"/>
              <w:bottom w:val="single" w:sz="4" w:space="0" w:color="auto"/>
            </w:tcBorders>
            <w:shd w:val="clear" w:color="auto" w:fill="FFFFFF"/>
            <w:vAlign w:val="bottom"/>
            <w:hideMark/>
          </w:tcPr>
          <w:p w14:paraId="0D81A03E" w14:textId="77777777" w:rsidR="00744544" w:rsidRPr="00A66C9F" w:rsidRDefault="00744544" w:rsidP="00107D5D">
            <w:pPr>
              <w:tabs>
                <w:tab w:val="left" w:pos="288"/>
                <w:tab w:val="left" w:pos="576"/>
                <w:tab w:val="left" w:pos="864"/>
                <w:tab w:val="left" w:pos="1152"/>
              </w:tabs>
              <w:suppressAutoHyphens/>
              <w:spacing w:before="81" w:after="81" w:line="210" w:lineRule="exact"/>
              <w:ind w:right="40"/>
              <w:rPr>
                <w:b/>
                <w:sz w:val="17"/>
                <w:lang w:val="fr-FR"/>
              </w:rPr>
            </w:pPr>
            <w:r w:rsidRPr="00A66C9F">
              <w:rPr>
                <w:b/>
                <w:sz w:val="17"/>
                <w:lang w:val="fr-FR"/>
              </w:rPr>
              <w:tab/>
              <w:t>Solde de clôture</w:t>
            </w:r>
          </w:p>
        </w:tc>
        <w:tc>
          <w:tcPr>
            <w:tcW w:w="1033" w:type="dxa"/>
            <w:tcBorders>
              <w:top w:val="single" w:sz="4" w:space="0" w:color="auto"/>
              <w:bottom w:val="single" w:sz="4" w:space="0" w:color="auto"/>
            </w:tcBorders>
            <w:shd w:val="clear" w:color="auto" w:fill="FFFFFF"/>
            <w:vAlign w:val="bottom"/>
            <w:hideMark/>
          </w:tcPr>
          <w:p w14:paraId="40ED14B5"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138 935</w:t>
            </w:r>
          </w:p>
        </w:tc>
        <w:tc>
          <w:tcPr>
            <w:tcW w:w="1034" w:type="dxa"/>
            <w:tcBorders>
              <w:top w:val="single" w:sz="4" w:space="0" w:color="auto"/>
              <w:bottom w:val="single" w:sz="4" w:space="0" w:color="auto"/>
            </w:tcBorders>
            <w:shd w:val="clear" w:color="auto" w:fill="FFFFFF"/>
            <w:vAlign w:val="bottom"/>
            <w:hideMark/>
          </w:tcPr>
          <w:p w14:paraId="624047B5"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100 779</w:t>
            </w:r>
          </w:p>
        </w:tc>
        <w:tc>
          <w:tcPr>
            <w:tcW w:w="1034" w:type="dxa"/>
            <w:tcBorders>
              <w:top w:val="single" w:sz="4" w:space="0" w:color="auto"/>
              <w:bottom w:val="single" w:sz="4" w:space="0" w:color="auto"/>
            </w:tcBorders>
            <w:vAlign w:val="bottom"/>
            <w:hideMark/>
          </w:tcPr>
          <w:p w14:paraId="570BD06E"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4 971 929</w:t>
            </w:r>
          </w:p>
        </w:tc>
        <w:tc>
          <w:tcPr>
            <w:tcW w:w="1034" w:type="dxa"/>
            <w:tcBorders>
              <w:top w:val="single" w:sz="4" w:space="0" w:color="auto"/>
              <w:bottom w:val="single" w:sz="4" w:space="0" w:color="auto"/>
            </w:tcBorders>
            <w:vAlign w:val="bottom"/>
            <w:hideMark/>
          </w:tcPr>
          <w:p w14:paraId="7B47F874"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3 626 467</w:t>
            </w:r>
          </w:p>
        </w:tc>
        <w:tc>
          <w:tcPr>
            <w:tcW w:w="1034" w:type="dxa"/>
            <w:tcBorders>
              <w:top w:val="single" w:sz="4" w:space="0" w:color="auto"/>
              <w:bottom w:val="single" w:sz="4" w:space="0" w:color="auto"/>
            </w:tcBorders>
            <w:shd w:val="clear" w:color="auto" w:fill="FFFFFF"/>
            <w:vAlign w:val="bottom"/>
            <w:hideMark/>
          </w:tcPr>
          <w:p w14:paraId="13137AF2"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8 838 110</w:t>
            </w:r>
          </w:p>
        </w:tc>
      </w:tr>
      <w:tr w:rsidR="00744544" w:rsidRPr="00A66C9F" w14:paraId="20C2410E" w14:textId="77777777" w:rsidTr="00107D5D">
        <w:tblPrEx>
          <w:tblBorders>
            <w:bottom w:val="single" w:sz="12" w:space="0" w:color="auto"/>
          </w:tblBorders>
        </w:tblPrEx>
        <w:trPr>
          <w:cantSplit/>
        </w:trPr>
        <w:tc>
          <w:tcPr>
            <w:tcW w:w="3413" w:type="dxa"/>
            <w:shd w:val="clear" w:color="auto" w:fill="FFFFFF"/>
            <w:vAlign w:val="bottom"/>
            <w:hideMark/>
          </w:tcPr>
          <w:p w14:paraId="2350C2F7" w14:textId="77777777" w:rsidR="00744544" w:rsidRPr="00A66C9F" w:rsidRDefault="00744544" w:rsidP="00107D5D">
            <w:pPr>
              <w:tabs>
                <w:tab w:val="left" w:pos="288"/>
                <w:tab w:val="left" w:pos="576"/>
                <w:tab w:val="left" w:pos="864"/>
                <w:tab w:val="left" w:pos="1152"/>
              </w:tabs>
              <w:suppressAutoHyphens/>
              <w:spacing w:before="81" w:after="40" w:line="210" w:lineRule="exact"/>
              <w:ind w:right="40"/>
              <w:rPr>
                <w:sz w:val="17"/>
                <w:lang w:val="fr-FR"/>
              </w:rPr>
            </w:pPr>
            <w:r w:rsidRPr="00A66C9F">
              <w:rPr>
                <w:sz w:val="17"/>
                <w:lang w:val="fr-FR"/>
              </w:rPr>
              <w:lastRenderedPageBreak/>
              <w:t>Variation des profits et pertes latents sur les actifs relevant du niveau 3 détenus à la fin de la période et compris dans l’état des variations de l’actif net disponible pour le versement des prestations</w:t>
            </w:r>
          </w:p>
        </w:tc>
        <w:tc>
          <w:tcPr>
            <w:tcW w:w="1033" w:type="dxa"/>
            <w:noWrap/>
            <w:vAlign w:val="bottom"/>
            <w:hideMark/>
          </w:tcPr>
          <w:p w14:paraId="6C544AFB" w14:textId="77777777" w:rsidR="00744544" w:rsidRPr="00A66C9F" w:rsidRDefault="00744544" w:rsidP="00107D5D">
            <w:pPr>
              <w:tabs>
                <w:tab w:val="left" w:pos="288"/>
                <w:tab w:val="left" w:pos="576"/>
                <w:tab w:val="left" w:pos="864"/>
                <w:tab w:val="left" w:pos="1152"/>
              </w:tabs>
              <w:suppressAutoHyphens/>
              <w:spacing w:before="81" w:after="40" w:line="210" w:lineRule="exact"/>
              <w:ind w:right="43"/>
              <w:jc w:val="right"/>
              <w:rPr>
                <w:sz w:val="17"/>
                <w:lang w:val="fr-FR"/>
              </w:rPr>
            </w:pPr>
            <w:r w:rsidRPr="00A66C9F">
              <w:rPr>
                <w:sz w:val="17"/>
                <w:lang w:val="fr-FR"/>
              </w:rPr>
              <w:t>(8 758)</w:t>
            </w:r>
          </w:p>
        </w:tc>
        <w:tc>
          <w:tcPr>
            <w:tcW w:w="1034" w:type="dxa"/>
            <w:vAlign w:val="bottom"/>
            <w:hideMark/>
          </w:tcPr>
          <w:p w14:paraId="78CD636F" w14:textId="77777777" w:rsidR="00744544" w:rsidRPr="00A66C9F" w:rsidRDefault="00744544" w:rsidP="00107D5D">
            <w:pPr>
              <w:tabs>
                <w:tab w:val="left" w:pos="288"/>
                <w:tab w:val="left" w:pos="576"/>
                <w:tab w:val="left" w:pos="864"/>
                <w:tab w:val="left" w:pos="1152"/>
              </w:tabs>
              <w:suppressAutoHyphens/>
              <w:spacing w:before="81" w:after="40" w:line="210" w:lineRule="exact"/>
              <w:ind w:right="43"/>
              <w:jc w:val="right"/>
              <w:rPr>
                <w:sz w:val="17"/>
                <w:lang w:val="fr-FR"/>
              </w:rPr>
            </w:pPr>
            <w:r w:rsidRPr="00A66C9F">
              <w:rPr>
                <w:sz w:val="17"/>
                <w:lang w:val="fr-FR"/>
              </w:rPr>
              <w:t>4 370</w:t>
            </w:r>
          </w:p>
        </w:tc>
        <w:tc>
          <w:tcPr>
            <w:tcW w:w="1034" w:type="dxa"/>
            <w:vAlign w:val="bottom"/>
            <w:hideMark/>
          </w:tcPr>
          <w:p w14:paraId="7A6C9B06" w14:textId="77777777" w:rsidR="00744544" w:rsidRPr="00A66C9F" w:rsidRDefault="00744544" w:rsidP="00107D5D">
            <w:pPr>
              <w:tabs>
                <w:tab w:val="left" w:pos="288"/>
                <w:tab w:val="left" w:pos="576"/>
                <w:tab w:val="left" w:pos="864"/>
                <w:tab w:val="left" w:pos="1152"/>
              </w:tabs>
              <w:suppressAutoHyphens/>
              <w:spacing w:before="81" w:after="40" w:line="210" w:lineRule="exact"/>
              <w:ind w:right="43"/>
              <w:jc w:val="right"/>
              <w:rPr>
                <w:sz w:val="17"/>
                <w:lang w:val="fr-FR"/>
              </w:rPr>
            </w:pPr>
            <w:r w:rsidRPr="00A66C9F">
              <w:rPr>
                <w:sz w:val="17"/>
                <w:lang w:val="fr-FR"/>
              </w:rPr>
              <w:t xml:space="preserve">96 583 </w:t>
            </w:r>
          </w:p>
        </w:tc>
        <w:tc>
          <w:tcPr>
            <w:tcW w:w="1034" w:type="dxa"/>
            <w:vAlign w:val="bottom"/>
            <w:hideMark/>
          </w:tcPr>
          <w:p w14:paraId="33841F34" w14:textId="77777777" w:rsidR="00744544" w:rsidRPr="00A66C9F" w:rsidRDefault="00744544" w:rsidP="00107D5D">
            <w:pPr>
              <w:tabs>
                <w:tab w:val="left" w:pos="288"/>
                <w:tab w:val="left" w:pos="576"/>
                <w:tab w:val="left" w:pos="864"/>
                <w:tab w:val="left" w:pos="1152"/>
              </w:tabs>
              <w:suppressAutoHyphens/>
              <w:spacing w:before="81" w:after="40" w:line="210" w:lineRule="exact"/>
              <w:ind w:right="43"/>
              <w:jc w:val="right"/>
              <w:rPr>
                <w:sz w:val="17"/>
                <w:lang w:val="fr-FR"/>
              </w:rPr>
            </w:pPr>
            <w:r w:rsidRPr="00A66C9F">
              <w:rPr>
                <w:sz w:val="17"/>
                <w:lang w:val="fr-FR"/>
              </w:rPr>
              <w:t>444 865</w:t>
            </w:r>
          </w:p>
        </w:tc>
        <w:tc>
          <w:tcPr>
            <w:tcW w:w="1034" w:type="dxa"/>
            <w:noWrap/>
            <w:vAlign w:val="bottom"/>
            <w:hideMark/>
          </w:tcPr>
          <w:p w14:paraId="6EADE8A0" w14:textId="77777777" w:rsidR="00744544" w:rsidRPr="00A66C9F" w:rsidRDefault="00744544" w:rsidP="00107D5D">
            <w:pPr>
              <w:tabs>
                <w:tab w:val="left" w:pos="288"/>
                <w:tab w:val="left" w:pos="576"/>
                <w:tab w:val="left" w:pos="864"/>
                <w:tab w:val="left" w:pos="1152"/>
              </w:tabs>
              <w:suppressAutoHyphens/>
              <w:spacing w:before="81" w:after="40" w:line="210" w:lineRule="exact"/>
              <w:ind w:right="43"/>
              <w:jc w:val="right"/>
              <w:rPr>
                <w:sz w:val="17"/>
                <w:lang w:val="fr-FR"/>
              </w:rPr>
            </w:pPr>
            <w:r w:rsidRPr="00A66C9F">
              <w:rPr>
                <w:sz w:val="17"/>
                <w:lang w:val="fr-FR"/>
              </w:rPr>
              <w:t>537 060</w:t>
            </w:r>
          </w:p>
        </w:tc>
      </w:tr>
    </w:tbl>
    <w:p w14:paraId="57468489" w14:textId="77777777" w:rsidR="00744544" w:rsidRPr="00A66C9F" w:rsidRDefault="00744544" w:rsidP="00744544">
      <w:pPr>
        <w:pStyle w:val="SingleTxt"/>
        <w:spacing w:after="0" w:line="120" w:lineRule="exact"/>
        <w:rPr>
          <w:sz w:val="10"/>
          <w:lang w:val="fr-FR"/>
        </w:rPr>
      </w:pPr>
    </w:p>
    <w:p w14:paraId="47575C6D" w14:textId="77777777" w:rsidR="00744544" w:rsidRPr="00A66C9F" w:rsidRDefault="00744544" w:rsidP="00744544">
      <w:pPr>
        <w:pStyle w:val="SingleTxt"/>
        <w:spacing w:after="0" w:line="120" w:lineRule="exact"/>
        <w:rPr>
          <w:sz w:val="10"/>
          <w:lang w:val="fr-FR"/>
        </w:rPr>
      </w:pPr>
    </w:p>
    <w:p w14:paraId="7D81A792" w14:textId="77777777" w:rsidR="00744544" w:rsidRPr="00A66C9F" w:rsidRDefault="00744544" w:rsidP="00753AB8">
      <w:pPr>
        <w:pStyle w:val="SingleTxt"/>
        <w:numPr>
          <w:ilvl w:val="0"/>
          <w:numId w:val="15"/>
        </w:numPr>
        <w:spacing w:line="240" w:lineRule="exact"/>
        <w:rPr>
          <w:szCs w:val="20"/>
          <w:lang w:val="fr-FR"/>
        </w:rPr>
      </w:pPr>
      <w:r w:rsidRPr="00A66C9F">
        <w:rPr>
          <w:lang w:val="fr-FR"/>
        </w:rPr>
        <w:t>Le tableau ci-dessous présente les variations des instruments relevant du niveau 3 intervenues pendant la période terminée le 31 décembre 2018, par catégorie d’instrument financier.</w:t>
      </w:r>
    </w:p>
    <w:p w14:paraId="72069468" w14:textId="77777777" w:rsidR="00744544" w:rsidRPr="00A66C9F" w:rsidRDefault="00744544" w:rsidP="00744544">
      <w:pPr>
        <w:pStyle w:val="SingleTxt"/>
        <w:spacing w:after="0" w:line="120" w:lineRule="exact"/>
        <w:rPr>
          <w:sz w:val="10"/>
          <w:lang w:val="fr-FR"/>
        </w:rPr>
      </w:pPr>
    </w:p>
    <w:p w14:paraId="01784A1A" w14:textId="77777777" w:rsidR="00744544" w:rsidRPr="00A66C9F" w:rsidRDefault="00744544" w:rsidP="0074454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lang w:val="fr-FR"/>
        </w:rPr>
        <w:tab/>
      </w:r>
      <w:r w:rsidRPr="00A66C9F">
        <w:rPr>
          <w:lang w:val="fr-FR"/>
        </w:rPr>
        <w:tab/>
      </w:r>
      <w:r w:rsidRPr="00A66C9F">
        <w:rPr>
          <w:sz w:val="14"/>
          <w:szCs w:val="14"/>
          <w:lang w:val="fr-FR"/>
        </w:rPr>
        <w:t>(En milliers de dollars des États-Unis)</w:t>
      </w:r>
    </w:p>
    <w:p w14:paraId="7EBF85B5" w14:textId="77777777" w:rsidR="00744544" w:rsidRPr="00A66C9F" w:rsidRDefault="00744544" w:rsidP="00744544">
      <w:pPr>
        <w:pStyle w:val="SingleTxt"/>
        <w:spacing w:after="0" w:line="120" w:lineRule="exact"/>
        <w:rPr>
          <w:sz w:val="10"/>
          <w:lang w:val="fr-FR"/>
        </w:rPr>
      </w:pPr>
    </w:p>
    <w:p w14:paraId="14796ECA" w14:textId="77777777" w:rsidR="00744544" w:rsidRPr="00A66C9F" w:rsidRDefault="00744544" w:rsidP="00744544">
      <w:pPr>
        <w:pStyle w:val="SingleTxt"/>
        <w:spacing w:after="0" w:line="120" w:lineRule="exact"/>
        <w:rPr>
          <w:sz w:val="10"/>
          <w:lang w:val="fr-FR"/>
        </w:rPr>
      </w:pPr>
    </w:p>
    <w:tbl>
      <w:tblPr>
        <w:tblW w:w="8582" w:type="dxa"/>
        <w:tblInd w:w="1267" w:type="dxa"/>
        <w:tblLayout w:type="fixed"/>
        <w:tblCellMar>
          <w:left w:w="0" w:type="dxa"/>
          <w:right w:w="0" w:type="dxa"/>
        </w:tblCellMar>
        <w:tblLook w:val="04A0" w:firstRow="1" w:lastRow="0" w:firstColumn="1" w:lastColumn="0" w:noHBand="0" w:noVBand="1"/>
      </w:tblPr>
      <w:tblGrid>
        <w:gridCol w:w="3413"/>
        <w:gridCol w:w="1033"/>
        <w:gridCol w:w="1034"/>
        <w:gridCol w:w="1034"/>
        <w:gridCol w:w="1034"/>
        <w:gridCol w:w="1034"/>
      </w:tblGrid>
      <w:tr w:rsidR="00744544" w:rsidRPr="00A66C9F" w14:paraId="42F718FC" w14:textId="77777777" w:rsidTr="00107D5D">
        <w:trPr>
          <w:trHeight w:val="720"/>
          <w:tblHeader/>
        </w:trPr>
        <w:tc>
          <w:tcPr>
            <w:tcW w:w="3413" w:type="dxa"/>
            <w:tcBorders>
              <w:top w:val="single" w:sz="4" w:space="0" w:color="auto"/>
              <w:bottom w:val="single" w:sz="12" w:space="0" w:color="auto"/>
            </w:tcBorders>
            <w:shd w:val="clear" w:color="auto" w:fill="FFFFFF"/>
            <w:vAlign w:val="bottom"/>
            <w:hideMark/>
          </w:tcPr>
          <w:p w14:paraId="119BE7F8" w14:textId="77777777" w:rsidR="00744544" w:rsidRPr="00A66C9F" w:rsidRDefault="00744544" w:rsidP="00107D5D">
            <w:pPr>
              <w:suppressAutoHyphens/>
              <w:spacing w:before="81" w:after="81" w:line="160" w:lineRule="exact"/>
              <w:ind w:right="43"/>
              <w:rPr>
                <w:i/>
                <w:iCs/>
                <w:sz w:val="14"/>
                <w:szCs w:val="18"/>
                <w:lang w:val="fr-FR"/>
              </w:rPr>
            </w:pPr>
            <w:r w:rsidRPr="00A66C9F">
              <w:rPr>
                <w:i/>
                <w:iCs/>
                <w:sz w:val="14"/>
                <w:szCs w:val="18"/>
                <w:lang w:val="fr-FR"/>
              </w:rPr>
              <w:t> </w:t>
            </w:r>
          </w:p>
        </w:tc>
        <w:tc>
          <w:tcPr>
            <w:tcW w:w="1033" w:type="dxa"/>
            <w:tcBorders>
              <w:top w:val="single" w:sz="4" w:space="0" w:color="auto"/>
              <w:bottom w:val="single" w:sz="12" w:space="0" w:color="auto"/>
            </w:tcBorders>
            <w:shd w:val="clear" w:color="auto" w:fill="FFFFFF"/>
            <w:vAlign w:val="bottom"/>
            <w:hideMark/>
          </w:tcPr>
          <w:p w14:paraId="251ECB7E" w14:textId="77777777" w:rsidR="00744544" w:rsidRPr="00A66C9F" w:rsidRDefault="00744544" w:rsidP="00107D5D">
            <w:pPr>
              <w:suppressAutoHyphens/>
              <w:spacing w:before="81" w:after="81" w:line="160" w:lineRule="exact"/>
              <w:ind w:right="43"/>
              <w:jc w:val="right"/>
              <w:rPr>
                <w:i/>
                <w:iCs/>
                <w:sz w:val="14"/>
                <w:szCs w:val="18"/>
                <w:lang w:val="fr-FR"/>
              </w:rPr>
            </w:pPr>
            <w:r w:rsidRPr="00A66C9F">
              <w:rPr>
                <w:i/>
                <w:iCs/>
                <w:sz w:val="14"/>
                <w:lang w:val="fr-FR"/>
              </w:rPr>
              <w:t>Actions</w:t>
            </w:r>
          </w:p>
        </w:tc>
        <w:tc>
          <w:tcPr>
            <w:tcW w:w="1034" w:type="dxa"/>
            <w:tcBorders>
              <w:top w:val="single" w:sz="4" w:space="0" w:color="auto"/>
              <w:bottom w:val="single" w:sz="12" w:space="0" w:color="auto"/>
            </w:tcBorders>
            <w:shd w:val="clear" w:color="auto" w:fill="FFFFFF"/>
            <w:vAlign w:val="bottom"/>
            <w:hideMark/>
          </w:tcPr>
          <w:p w14:paraId="297175AB" w14:textId="77777777" w:rsidR="00744544" w:rsidRPr="00A66C9F" w:rsidRDefault="00744544" w:rsidP="00107D5D">
            <w:pPr>
              <w:suppressAutoHyphens/>
              <w:spacing w:before="81" w:after="81" w:line="160" w:lineRule="exact"/>
              <w:ind w:right="43"/>
              <w:jc w:val="right"/>
              <w:rPr>
                <w:i/>
                <w:iCs/>
                <w:sz w:val="14"/>
                <w:lang w:val="fr-FR"/>
              </w:rPr>
            </w:pPr>
            <w:r w:rsidRPr="00A66C9F">
              <w:rPr>
                <w:i/>
                <w:iCs/>
                <w:sz w:val="14"/>
                <w:lang w:val="fr-FR"/>
              </w:rPr>
              <w:t xml:space="preserve">Valeurs </w:t>
            </w:r>
            <w:r w:rsidRPr="00A66C9F">
              <w:rPr>
                <w:i/>
                <w:iCs/>
                <w:sz w:val="14"/>
                <w:lang w:val="fr-FR"/>
              </w:rPr>
              <w:br/>
              <w:t>à revenu fixe</w:t>
            </w:r>
          </w:p>
        </w:tc>
        <w:tc>
          <w:tcPr>
            <w:tcW w:w="1034" w:type="dxa"/>
            <w:tcBorders>
              <w:top w:val="single" w:sz="4" w:space="0" w:color="auto"/>
              <w:bottom w:val="single" w:sz="12" w:space="0" w:color="auto"/>
            </w:tcBorders>
            <w:shd w:val="clear" w:color="auto" w:fill="FFFFFF"/>
            <w:vAlign w:val="bottom"/>
            <w:hideMark/>
          </w:tcPr>
          <w:p w14:paraId="00BBF33F" w14:textId="77777777" w:rsidR="00744544" w:rsidRPr="00A66C9F" w:rsidRDefault="00744544" w:rsidP="00107D5D">
            <w:pPr>
              <w:suppressAutoHyphens/>
              <w:spacing w:before="81" w:after="81" w:line="160" w:lineRule="exact"/>
              <w:ind w:right="43" w:hanging="25"/>
              <w:jc w:val="right"/>
              <w:rPr>
                <w:i/>
                <w:iCs/>
                <w:sz w:val="14"/>
                <w:szCs w:val="18"/>
                <w:lang w:val="fr-FR"/>
              </w:rPr>
            </w:pPr>
            <w:r w:rsidRPr="00A66C9F">
              <w:rPr>
                <w:i/>
                <w:iCs/>
                <w:sz w:val="14"/>
                <w:lang w:val="fr-FR"/>
              </w:rPr>
              <w:t>Actifs réels</w:t>
            </w:r>
          </w:p>
        </w:tc>
        <w:tc>
          <w:tcPr>
            <w:tcW w:w="1034" w:type="dxa"/>
            <w:tcBorders>
              <w:top w:val="single" w:sz="4" w:space="0" w:color="auto"/>
              <w:bottom w:val="single" w:sz="12" w:space="0" w:color="auto"/>
            </w:tcBorders>
            <w:shd w:val="clear" w:color="auto" w:fill="FFFFFF"/>
            <w:vAlign w:val="bottom"/>
            <w:hideMark/>
          </w:tcPr>
          <w:p w14:paraId="456F6E5C" w14:textId="77777777" w:rsidR="00744544" w:rsidRPr="00A66C9F" w:rsidRDefault="00744544" w:rsidP="00107D5D">
            <w:pPr>
              <w:suppressAutoHyphens/>
              <w:spacing w:before="81" w:after="81" w:line="160" w:lineRule="exact"/>
              <w:ind w:right="43"/>
              <w:jc w:val="right"/>
              <w:rPr>
                <w:i/>
                <w:iCs/>
                <w:sz w:val="14"/>
                <w:szCs w:val="18"/>
                <w:lang w:val="fr-FR"/>
              </w:rPr>
            </w:pPr>
            <w:r w:rsidRPr="00A66C9F">
              <w:rPr>
                <w:i/>
                <w:iCs/>
                <w:sz w:val="14"/>
                <w:lang w:val="fr-FR"/>
              </w:rPr>
              <w:t xml:space="preserve">Investissements alternatifs </w:t>
            </w:r>
            <w:r w:rsidRPr="00A66C9F">
              <w:rPr>
                <w:i/>
                <w:iCs/>
                <w:sz w:val="14"/>
                <w:lang w:val="fr-FR"/>
              </w:rPr>
              <w:br/>
              <w:t>et divers</w:t>
            </w:r>
          </w:p>
        </w:tc>
        <w:tc>
          <w:tcPr>
            <w:tcW w:w="1034" w:type="dxa"/>
            <w:tcBorders>
              <w:top w:val="single" w:sz="4" w:space="0" w:color="auto"/>
              <w:bottom w:val="single" w:sz="12" w:space="0" w:color="auto"/>
            </w:tcBorders>
            <w:shd w:val="clear" w:color="auto" w:fill="FFFFFF"/>
            <w:vAlign w:val="bottom"/>
            <w:hideMark/>
          </w:tcPr>
          <w:p w14:paraId="5EE99B49" w14:textId="77777777" w:rsidR="00744544" w:rsidRPr="00A66C9F" w:rsidRDefault="00744544" w:rsidP="00107D5D">
            <w:pPr>
              <w:suppressAutoHyphens/>
              <w:spacing w:before="81" w:after="81" w:line="160" w:lineRule="exact"/>
              <w:ind w:right="43"/>
              <w:jc w:val="right"/>
              <w:rPr>
                <w:i/>
                <w:iCs/>
                <w:sz w:val="14"/>
                <w:szCs w:val="18"/>
                <w:lang w:val="fr-FR"/>
              </w:rPr>
            </w:pPr>
            <w:r w:rsidRPr="00A66C9F">
              <w:rPr>
                <w:i/>
                <w:iCs/>
                <w:sz w:val="14"/>
                <w:lang w:val="fr-FR"/>
              </w:rPr>
              <w:t>Total</w:t>
            </w:r>
          </w:p>
        </w:tc>
      </w:tr>
      <w:tr w:rsidR="00744544" w:rsidRPr="00A66C9F" w14:paraId="0BBA4558" w14:textId="77777777" w:rsidTr="00107D5D">
        <w:trPr>
          <w:trHeight w:hRule="exact" w:val="115"/>
          <w:tblHeader/>
        </w:trPr>
        <w:tc>
          <w:tcPr>
            <w:tcW w:w="3413" w:type="dxa"/>
            <w:tcBorders>
              <w:top w:val="single" w:sz="12" w:space="0" w:color="auto"/>
            </w:tcBorders>
            <w:shd w:val="clear" w:color="auto" w:fill="FFFFFF"/>
            <w:vAlign w:val="bottom"/>
          </w:tcPr>
          <w:p w14:paraId="1C8650BE" w14:textId="77777777" w:rsidR="00744544" w:rsidRPr="00A66C9F" w:rsidRDefault="00744544" w:rsidP="00107D5D">
            <w:pPr>
              <w:suppressAutoHyphens/>
              <w:spacing w:before="40" w:after="40" w:line="210" w:lineRule="exact"/>
              <w:ind w:right="40"/>
              <w:rPr>
                <w:b/>
                <w:bCs/>
                <w:sz w:val="17"/>
                <w:lang w:val="fr-FR"/>
              </w:rPr>
            </w:pPr>
          </w:p>
        </w:tc>
        <w:tc>
          <w:tcPr>
            <w:tcW w:w="1033" w:type="dxa"/>
            <w:tcBorders>
              <w:top w:val="single" w:sz="12" w:space="0" w:color="auto"/>
            </w:tcBorders>
            <w:shd w:val="clear" w:color="auto" w:fill="FFFFFF"/>
            <w:noWrap/>
            <w:vAlign w:val="bottom"/>
          </w:tcPr>
          <w:p w14:paraId="67D450A7" w14:textId="77777777" w:rsidR="00744544" w:rsidRPr="00A66C9F" w:rsidRDefault="00744544" w:rsidP="00107D5D">
            <w:pPr>
              <w:suppressAutoHyphens/>
              <w:spacing w:before="40" w:after="40" w:line="210" w:lineRule="exact"/>
              <w:ind w:right="43"/>
              <w:jc w:val="right"/>
              <w:rPr>
                <w:b/>
                <w:bCs/>
                <w:sz w:val="17"/>
                <w:lang w:val="fr-FR"/>
              </w:rPr>
            </w:pPr>
          </w:p>
        </w:tc>
        <w:tc>
          <w:tcPr>
            <w:tcW w:w="1034" w:type="dxa"/>
            <w:tcBorders>
              <w:top w:val="single" w:sz="12" w:space="0" w:color="auto"/>
            </w:tcBorders>
            <w:shd w:val="clear" w:color="auto" w:fill="FFFFFF"/>
            <w:noWrap/>
            <w:vAlign w:val="bottom"/>
          </w:tcPr>
          <w:p w14:paraId="57270962" w14:textId="77777777" w:rsidR="00744544" w:rsidRPr="00A66C9F" w:rsidRDefault="00744544" w:rsidP="00107D5D">
            <w:pPr>
              <w:suppressAutoHyphens/>
              <w:spacing w:before="40" w:after="40" w:line="210" w:lineRule="exact"/>
              <w:ind w:right="43"/>
              <w:jc w:val="right"/>
              <w:rPr>
                <w:b/>
                <w:bCs/>
                <w:sz w:val="17"/>
                <w:lang w:val="fr-FR"/>
              </w:rPr>
            </w:pPr>
          </w:p>
        </w:tc>
        <w:tc>
          <w:tcPr>
            <w:tcW w:w="1034" w:type="dxa"/>
            <w:tcBorders>
              <w:top w:val="single" w:sz="12" w:space="0" w:color="auto"/>
            </w:tcBorders>
            <w:shd w:val="clear" w:color="auto" w:fill="FFFFFF"/>
            <w:noWrap/>
            <w:vAlign w:val="bottom"/>
          </w:tcPr>
          <w:p w14:paraId="0F9FD1F7" w14:textId="77777777" w:rsidR="00744544" w:rsidRPr="00A66C9F" w:rsidRDefault="00744544" w:rsidP="00107D5D">
            <w:pPr>
              <w:suppressAutoHyphens/>
              <w:spacing w:before="40" w:after="40" w:line="210" w:lineRule="exact"/>
              <w:ind w:right="43"/>
              <w:jc w:val="right"/>
              <w:rPr>
                <w:b/>
                <w:bCs/>
                <w:sz w:val="17"/>
                <w:lang w:val="fr-FR"/>
              </w:rPr>
            </w:pPr>
          </w:p>
        </w:tc>
        <w:tc>
          <w:tcPr>
            <w:tcW w:w="1034" w:type="dxa"/>
            <w:tcBorders>
              <w:top w:val="single" w:sz="12" w:space="0" w:color="auto"/>
            </w:tcBorders>
            <w:shd w:val="clear" w:color="auto" w:fill="FFFFFF"/>
            <w:noWrap/>
            <w:vAlign w:val="bottom"/>
          </w:tcPr>
          <w:p w14:paraId="0146B0A6" w14:textId="77777777" w:rsidR="00744544" w:rsidRPr="00A66C9F" w:rsidRDefault="00744544" w:rsidP="00107D5D">
            <w:pPr>
              <w:suppressAutoHyphens/>
              <w:spacing w:before="40" w:after="40" w:line="210" w:lineRule="exact"/>
              <w:ind w:right="43"/>
              <w:jc w:val="right"/>
              <w:rPr>
                <w:b/>
                <w:bCs/>
                <w:sz w:val="17"/>
                <w:lang w:val="fr-FR"/>
              </w:rPr>
            </w:pPr>
          </w:p>
        </w:tc>
        <w:tc>
          <w:tcPr>
            <w:tcW w:w="1034" w:type="dxa"/>
            <w:tcBorders>
              <w:top w:val="single" w:sz="12" w:space="0" w:color="auto"/>
            </w:tcBorders>
            <w:shd w:val="clear" w:color="auto" w:fill="FFFFFF"/>
            <w:vAlign w:val="bottom"/>
          </w:tcPr>
          <w:p w14:paraId="0FF38176" w14:textId="77777777" w:rsidR="00744544" w:rsidRPr="00A66C9F" w:rsidRDefault="00744544" w:rsidP="00107D5D">
            <w:pPr>
              <w:suppressAutoHyphens/>
              <w:spacing w:before="40" w:after="40" w:line="210" w:lineRule="exact"/>
              <w:ind w:right="43"/>
              <w:jc w:val="right"/>
              <w:rPr>
                <w:b/>
                <w:bCs/>
                <w:sz w:val="17"/>
                <w:lang w:val="fr-FR"/>
              </w:rPr>
            </w:pPr>
          </w:p>
        </w:tc>
      </w:tr>
      <w:tr w:rsidR="00744544" w:rsidRPr="00A66C9F" w14:paraId="1140F15D" w14:textId="77777777" w:rsidTr="00107D5D">
        <w:tc>
          <w:tcPr>
            <w:tcW w:w="3413" w:type="dxa"/>
            <w:shd w:val="clear" w:color="auto" w:fill="FFFFFF"/>
            <w:vAlign w:val="bottom"/>
            <w:hideMark/>
          </w:tcPr>
          <w:p w14:paraId="0402E5C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b/>
                <w:bCs/>
                <w:sz w:val="17"/>
                <w:szCs w:val="17"/>
                <w:lang w:val="fr-FR"/>
              </w:rPr>
            </w:pPr>
            <w:r w:rsidRPr="00A66C9F">
              <w:rPr>
                <w:b/>
                <w:bCs/>
                <w:sz w:val="17"/>
                <w:lang w:val="fr-FR"/>
              </w:rPr>
              <w:t>Solde d’ouverture</w:t>
            </w:r>
          </w:p>
        </w:tc>
        <w:tc>
          <w:tcPr>
            <w:tcW w:w="1033" w:type="dxa"/>
            <w:shd w:val="clear" w:color="auto" w:fill="FFFFFF"/>
            <w:noWrap/>
            <w:vAlign w:val="bottom"/>
            <w:hideMark/>
          </w:tcPr>
          <w:p w14:paraId="7E36945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b/>
                <w:bCs/>
                <w:sz w:val="17"/>
                <w:szCs w:val="17"/>
                <w:lang w:val="fr-FR"/>
              </w:rPr>
            </w:pPr>
            <w:r w:rsidRPr="00A66C9F">
              <w:rPr>
                <w:b/>
                <w:bCs/>
                <w:sz w:val="17"/>
                <w:lang w:val="fr-FR"/>
              </w:rPr>
              <w:t>146 906</w:t>
            </w:r>
          </w:p>
        </w:tc>
        <w:tc>
          <w:tcPr>
            <w:tcW w:w="1034" w:type="dxa"/>
            <w:shd w:val="clear" w:color="auto" w:fill="FFFFFF"/>
            <w:noWrap/>
            <w:vAlign w:val="bottom"/>
            <w:hideMark/>
          </w:tcPr>
          <w:p w14:paraId="0EE6C6C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b/>
                <w:bCs/>
                <w:sz w:val="17"/>
                <w:szCs w:val="17"/>
                <w:lang w:val="fr-FR"/>
              </w:rPr>
            </w:pPr>
            <w:r w:rsidRPr="00A66C9F">
              <w:rPr>
                <w:b/>
                <w:bCs/>
                <w:sz w:val="17"/>
                <w:lang w:val="fr-FR"/>
              </w:rPr>
              <w:t>138 571</w:t>
            </w:r>
          </w:p>
        </w:tc>
        <w:tc>
          <w:tcPr>
            <w:tcW w:w="1034" w:type="dxa"/>
            <w:shd w:val="clear" w:color="auto" w:fill="FFFFFF"/>
            <w:noWrap/>
            <w:vAlign w:val="bottom"/>
            <w:hideMark/>
          </w:tcPr>
          <w:p w14:paraId="4663D23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b/>
                <w:bCs/>
                <w:sz w:val="17"/>
                <w:szCs w:val="17"/>
                <w:lang w:val="fr-FR"/>
              </w:rPr>
            </w:pPr>
            <w:r w:rsidRPr="00A66C9F">
              <w:rPr>
                <w:b/>
                <w:bCs/>
                <w:sz w:val="17"/>
                <w:lang w:val="fr-FR"/>
              </w:rPr>
              <w:t>3 959 936</w:t>
            </w:r>
          </w:p>
        </w:tc>
        <w:tc>
          <w:tcPr>
            <w:tcW w:w="1034" w:type="dxa"/>
            <w:shd w:val="clear" w:color="auto" w:fill="FFFFFF"/>
            <w:noWrap/>
            <w:vAlign w:val="bottom"/>
            <w:hideMark/>
          </w:tcPr>
          <w:p w14:paraId="7E84B51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b/>
                <w:bCs/>
                <w:sz w:val="17"/>
                <w:szCs w:val="17"/>
                <w:lang w:val="fr-FR"/>
              </w:rPr>
            </w:pPr>
            <w:r w:rsidRPr="00A66C9F">
              <w:rPr>
                <w:b/>
                <w:bCs/>
                <w:sz w:val="17"/>
                <w:lang w:val="fr-FR"/>
              </w:rPr>
              <w:t>2 403 366</w:t>
            </w:r>
          </w:p>
        </w:tc>
        <w:tc>
          <w:tcPr>
            <w:tcW w:w="1034" w:type="dxa"/>
            <w:shd w:val="clear" w:color="auto" w:fill="FFFFFF"/>
            <w:vAlign w:val="bottom"/>
            <w:hideMark/>
          </w:tcPr>
          <w:p w14:paraId="4423174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b/>
                <w:bCs/>
                <w:sz w:val="17"/>
                <w:szCs w:val="17"/>
                <w:lang w:val="fr-FR"/>
              </w:rPr>
            </w:pPr>
            <w:r w:rsidRPr="00A66C9F">
              <w:rPr>
                <w:b/>
                <w:bCs/>
                <w:sz w:val="17"/>
                <w:lang w:val="fr-FR"/>
              </w:rPr>
              <w:t>6 648 779</w:t>
            </w:r>
          </w:p>
        </w:tc>
      </w:tr>
      <w:tr w:rsidR="00744544" w:rsidRPr="00A66C9F" w14:paraId="4C50D952" w14:textId="77777777" w:rsidTr="00107D5D">
        <w:tc>
          <w:tcPr>
            <w:tcW w:w="3413" w:type="dxa"/>
            <w:shd w:val="clear" w:color="auto" w:fill="FFFFFF"/>
            <w:vAlign w:val="bottom"/>
            <w:hideMark/>
          </w:tcPr>
          <w:p w14:paraId="037825D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ab/>
              <w:t xml:space="preserve">Achats </w:t>
            </w:r>
          </w:p>
        </w:tc>
        <w:tc>
          <w:tcPr>
            <w:tcW w:w="1033" w:type="dxa"/>
            <w:shd w:val="clear" w:color="auto" w:fill="FFFFFF"/>
            <w:noWrap/>
            <w:vAlign w:val="bottom"/>
            <w:hideMark/>
          </w:tcPr>
          <w:p w14:paraId="3350BDF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2 480</w:t>
            </w:r>
          </w:p>
        </w:tc>
        <w:tc>
          <w:tcPr>
            <w:tcW w:w="1034" w:type="dxa"/>
            <w:shd w:val="clear" w:color="auto" w:fill="FFFFFF"/>
            <w:noWrap/>
            <w:vAlign w:val="bottom"/>
            <w:hideMark/>
          </w:tcPr>
          <w:p w14:paraId="3B9569A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1 545</w:t>
            </w:r>
          </w:p>
        </w:tc>
        <w:tc>
          <w:tcPr>
            <w:tcW w:w="1034" w:type="dxa"/>
            <w:shd w:val="clear" w:color="auto" w:fill="FFFFFF"/>
            <w:noWrap/>
            <w:vAlign w:val="bottom"/>
            <w:hideMark/>
          </w:tcPr>
          <w:p w14:paraId="6E03F8B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703 952</w:t>
            </w:r>
          </w:p>
        </w:tc>
        <w:tc>
          <w:tcPr>
            <w:tcW w:w="1034" w:type="dxa"/>
            <w:shd w:val="clear" w:color="auto" w:fill="FFFFFF"/>
            <w:noWrap/>
            <w:vAlign w:val="bottom"/>
            <w:hideMark/>
          </w:tcPr>
          <w:p w14:paraId="2969BA1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720 636</w:t>
            </w:r>
          </w:p>
        </w:tc>
        <w:tc>
          <w:tcPr>
            <w:tcW w:w="1034" w:type="dxa"/>
            <w:shd w:val="clear" w:color="auto" w:fill="FFFFFF"/>
            <w:vAlign w:val="bottom"/>
            <w:hideMark/>
          </w:tcPr>
          <w:p w14:paraId="5815830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1 428 613</w:t>
            </w:r>
          </w:p>
        </w:tc>
      </w:tr>
      <w:tr w:rsidR="00744544" w:rsidRPr="00A66C9F" w14:paraId="76EA58DF" w14:textId="77777777" w:rsidTr="00107D5D">
        <w:tc>
          <w:tcPr>
            <w:tcW w:w="3413" w:type="dxa"/>
            <w:shd w:val="clear" w:color="auto" w:fill="FFFFFF"/>
            <w:vAlign w:val="bottom"/>
            <w:hideMark/>
          </w:tcPr>
          <w:p w14:paraId="54ADEB9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ab/>
              <w:t>Vente/remboursement de capital</w:t>
            </w:r>
          </w:p>
        </w:tc>
        <w:tc>
          <w:tcPr>
            <w:tcW w:w="1033" w:type="dxa"/>
            <w:shd w:val="clear" w:color="auto" w:fill="FFFFFF"/>
            <w:noWrap/>
            <w:vAlign w:val="bottom"/>
            <w:hideMark/>
          </w:tcPr>
          <w:p w14:paraId="2F33E0A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(71)</w:t>
            </w:r>
          </w:p>
        </w:tc>
        <w:tc>
          <w:tcPr>
            <w:tcW w:w="1034" w:type="dxa"/>
            <w:shd w:val="clear" w:color="auto" w:fill="FFFFFF"/>
            <w:noWrap/>
            <w:vAlign w:val="bottom"/>
            <w:hideMark/>
          </w:tcPr>
          <w:p w14:paraId="743EA74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(88 062)</w:t>
            </w:r>
          </w:p>
        </w:tc>
        <w:tc>
          <w:tcPr>
            <w:tcW w:w="1034" w:type="dxa"/>
            <w:shd w:val="clear" w:color="auto" w:fill="FFFFFF"/>
            <w:noWrap/>
            <w:vAlign w:val="bottom"/>
            <w:hideMark/>
          </w:tcPr>
          <w:p w14:paraId="22A55B7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(810 005)</w:t>
            </w:r>
          </w:p>
        </w:tc>
        <w:tc>
          <w:tcPr>
            <w:tcW w:w="1034" w:type="dxa"/>
            <w:shd w:val="clear" w:color="auto" w:fill="FFFFFF"/>
            <w:noWrap/>
            <w:vAlign w:val="bottom"/>
            <w:hideMark/>
          </w:tcPr>
          <w:p w14:paraId="3CB2AF1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(517 237)</w:t>
            </w:r>
          </w:p>
        </w:tc>
        <w:tc>
          <w:tcPr>
            <w:tcW w:w="1034" w:type="dxa"/>
            <w:shd w:val="clear" w:color="auto" w:fill="FFFFFF"/>
            <w:vAlign w:val="bottom"/>
            <w:hideMark/>
          </w:tcPr>
          <w:p w14:paraId="2DF3A41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(1 415 375)</w:t>
            </w:r>
          </w:p>
        </w:tc>
      </w:tr>
      <w:tr w:rsidR="00744544" w:rsidRPr="00A66C9F" w14:paraId="28CE1462" w14:textId="77777777" w:rsidTr="00107D5D">
        <w:tc>
          <w:tcPr>
            <w:tcW w:w="3413" w:type="dxa"/>
            <w:shd w:val="clear" w:color="auto" w:fill="FFFFFF"/>
            <w:vAlign w:val="bottom"/>
            <w:hideMark/>
          </w:tcPr>
          <w:p w14:paraId="17605967" w14:textId="77777777" w:rsidR="00744544" w:rsidRPr="00A66C9F" w:rsidRDefault="00744544" w:rsidP="00107D5D">
            <w:pPr>
              <w:tabs>
                <w:tab w:val="left" w:pos="0"/>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ab/>
              <w:t>Transferts (depuis)/vers le niveau 3</w:t>
            </w:r>
          </w:p>
        </w:tc>
        <w:tc>
          <w:tcPr>
            <w:tcW w:w="1033" w:type="dxa"/>
            <w:shd w:val="clear" w:color="auto" w:fill="FFFFFF"/>
            <w:noWrap/>
            <w:vAlign w:val="bottom"/>
            <w:hideMark/>
          </w:tcPr>
          <w:p w14:paraId="6652779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1034" w:type="dxa"/>
            <w:shd w:val="clear" w:color="auto" w:fill="FFFFFF"/>
            <w:noWrap/>
            <w:vAlign w:val="bottom"/>
            <w:hideMark/>
          </w:tcPr>
          <w:p w14:paraId="04C2DE6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43 719</w:t>
            </w:r>
          </w:p>
        </w:tc>
        <w:tc>
          <w:tcPr>
            <w:tcW w:w="1034" w:type="dxa"/>
            <w:shd w:val="clear" w:color="auto" w:fill="FFFFFF"/>
            <w:noWrap/>
            <w:vAlign w:val="bottom"/>
            <w:hideMark/>
          </w:tcPr>
          <w:p w14:paraId="42DA191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1034" w:type="dxa"/>
            <w:shd w:val="clear" w:color="auto" w:fill="FFFFFF"/>
            <w:noWrap/>
            <w:vAlign w:val="bottom"/>
            <w:hideMark/>
          </w:tcPr>
          <w:p w14:paraId="44023A4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szCs w:val="17"/>
                <w:lang w:val="fr-FR"/>
              </w:rPr>
              <w:t xml:space="preserve"> –</w:t>
            </w:r>
          </w:p>
        </w:tc>
        <w:tc>
          <w:tcPr>
            <w:tcW w:w="1034" w:type="dxa"/>
            <w:shd w:val="clear" w:color="auto" w:fill="FFFFFF"/>
            <w:vAlign w:val="bottom"/>
            <w:hideMark/>
          </w:tcPr>
          <w:p w14:paraId="2481F62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43 719</w:t>
            </w:r>
          </w:p>
        </w:tc>
      </w:tr>
      <w:tr w:rsidR="00744544" w:rsidRPr="00A66C9F" w14:paraId="337B675B" w14:textId="77777777" w:rsidTr="00107D5D">
        <w:tc>
          <w:tcPr>
            <w:tcW w:w="3413" w:type="dxa"/>
            <w:tcBorders>
              <w:bottom w:val="single" w:sz="4" w:space="0" w:color="auto"/>
            </w:tcBorders>
            <w:shd w:val="clear" w:color="auto" w:fill="FFFFFF"/>
            <w:vAlign w:val="bottom"/>
            <w:hideMark/>
          </w:tcPr>
          <w:p w14:paraId="04F0CCFF" w14:textId="77777777" w:rsidR="00744544" w:rsidRPr="00A66C9F" w:rsidRDefault="00744544" w:rsidP="00107D5D">
            <w:pPr>
              <w:tabs>
                <w:tab w:val="left" w:pos="288"/>
                <w:tab w:val="left" w:pos="576"/>
                <w:tab w:val="left" w:pos="864"/>
                <w:tab w:val="left" w:pos="1152"/>
              </w:tabs>
              <w:suppressAutoHyphens/>
              <w:spacing w:before="40" w:after="81" w:line="210" w:lineRule="exact"/>
              <w:ind w:left="288" w:right="43" w:hanging="288"/>
              <w:rPr>
                <w:sz w:val="17"/>
                <w:szCs w:val="17"/>
                <w:lang w:val="fr-FR"/>
              </w:rPr>
            </w:pPr>
            <w:r w:rsidRPr="00A66C9F">
              <w:rPr>
                <w:sz w:val="17"/>
                <w:lang w:val="fr-FR"/>
              </w:rPr>
              <w:tab/>
              <w:t>Montant net des profits et pertes comptabilisés dans l’état des variations de l’actif net disponible pour le versement des prestations</w:t>
            </w:r>
          </w:p>
        </w:tc>
        <w:tc>
          <w:tcPr>
            <w:tcW w:w="1033" w:type="dxa"/>
            <w:tcBorders>
              <w:bottom w:val="single" w:sz="4" w:space="0" w:color="auto"/>
            </w:tcBorders>
            <w:shd w:val="clear" w:color="auto" w:fill="FFFFFF"/>
            <w:noWrap/>
            <w:vAlign w:val="bottom"/>
            <w:hideMark/>
          </w:tcPr>
          <w:p w14:paraId="24F4FA80"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lang w:val="fr-FR"/>
              </w:rPr>
              <w:t>(21 730)</w:t>
            </w:r>
          </w:p>
        </w:tc>
        <w:tc>
          <w:tcPr>
            <w:tcW w:w="1034" w:type="dxa"/>
            <w:tcBorders>
              <w:bottom w:val="single" w:sz="4" w:space="0" w:color="auto"/>
            </w:tcBorders>
            <w:shd w:val="clear" w:color="auto" w:fill="FFFFFF"/>
            <w:noWrap/>
            <w:vAlign w:val="bottom"/>
            <w:hideMark/>
          </w:tcPr>
          <w:p w14:paraId="653ACC40"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lang w:val="fr-FR"/>
              </w:rPr>
              <w:t>(7 081)</w:t>
            </w:r>
          </w:p>
        </w:tc>
        <w:tc>
          <w:tcPr>
            <w:tcW w:w="1034" w:type="dxa"/>
            <w:tcBorders>
              <w:bottom w:val="single" w:sz="4" w:space="0" w:color="auto"/>
            </w:tcBorders>
            <w:shd w:val="clear" w:color="auto" w:fill="FFFFFF"/>
            <w:noWrap/>
            <w:vAlign w:val="bottom"/>
            <w:hideMark/>
          </w:tcPr>
          <w:p w14:paraId="1BBAA598"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lang w:val="fr-FR"/>
              </w:rPr>
              <w:t>238 960</w:t>
            </w:r>
          </w:p>
        </w:tc>
        <w:tc>
          <w:tcPr>
            <w:tcW w:w="1034" w:type="dxa"/>
            <w:tcBorders>
              <w:bottom w:val="single" w:sz="4" w:space="0" w:color="auto"/>
            </w:tcBorders>
            <w:shd w:val="clear" w:color="auto" w:fill="FFFFFF"/>
            <w:noWrap/>
            <w:vAlign w:val="bottom"/>
            <w:hideMark/>
          </w:tcPr>
          <w:p w14:paraId="626F72BC"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lang w:val="fr-FR"/>
              </w:rPr>
              <w:t>136 612</w:t>
            </w:r>
          </w:p>
        </w:tc>
        <w:tc>
          <w:tcPr>
            <w:tcW w:w="1034" w:type="dxa"/>
            <w:tcBorders>
              <w:bottom w:val="single" w:sz="4" w:space="0" w:color="auto"/>
            </w:tcBorders>
            <w:shd w:val="clear" w:color="auto" w:fill="FFFFFF"/>
            <w:vAlign w:val="bottom"/>
            <w:hideMark/>
          </w:tcPr>
          <w:p w14:paraId="6891912D"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lang w:val="fr-FR"/>
              </w:rPr>
              <w:t>346 761</w:t>
            </w:r>
          </w:p>
        </w:tc>
      </w:tr>
      <w:tr w:rsidR="00744544" w:rsidRPr="00A66C9F" w14:paraId="1952AF48" w14:textId="77777777" w:rsidTr="00107D5D">
        <w:tc>
          <w:tcPr>
            <w:tcW w:w="3413" w:type="dxa"/>
            <w:tcBorders>
              <w:top w:val="single" w:sz="4" w:space="0" w:color="auto"/>
              <w:bottom w:val="single" w:sz="4" w:space="0" w:color="auto"/>
            </w:tcBorders>
            <w:shd w:val="clear" w:color="auto" w:fill="FFFFFF"/>
            <w:vAlign w:val="bottom"/>
            <w:hideMark/>
          </w:tcPr>
          <w:p w14:paraId="2038D924"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rPr>
                <w:b/>
                <w:bCs/>
                <w:sz w:val="17"/>
                <w:szCs w:val="17"/>
                <w:lang w:val="fr-FR"/>
              </w:rPr>
            </w:pPr>
            <w:r w:rsidRPr="00A66C9F">
              <w:rPr>
                <w:b/>
                <w:bCs/>
                <w:sz w:val="17"/>
                <w:lang w:val="fr-FR"/>
              </w:rPr>
              <w:tab/>
              <w:t>Solde de clôture</w:t>
            </w:r>
          </w:p>
        </w:tc>
        <w:tc>
          <w:tcPr>
            <w:tcW w:w="1033" w:type="dxa"/>
            <w:tcBorders>
              <w:top w:val="single" w:sz="4" w:space="0" w:color="auto"/>
              <w:bottom w:val="single" w:sz="4" w:space="0" w:color="auto"/>
            </w:tcBorders>
            <w:shd w:val="clear" w:color="auto" w:fill="FFFFFF"/>
            <w:vAlign w:val="bottom"/>
            <w:hideMark/>
          </w:tcPr>
          <w:p w14:paraId="3FEEEDB4"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bCs/>
                <w:sz w:val="17"/>
                <w:szCs w:val="17"/>
                <w:lang w:val="fr-FR"/>
              </w:rPr>
            </w:pPr>
            <w:r w:rsidRPr="00A66C9F">
              <w:rPr>
                <w:b/>
                <w:bCs/>
                <w:sz w:val="17"/>
                <w:lang w:val="fr-FR"/>
              </w:rPr>
              <w:t>127 585</w:t>
            </w:r>
          </w:p>
        </w:tc>
        <w:tc>
          <w:tcPr>
            <w:tcW w:w="1034" w:type="dxa"/>
            <w:tcBorders>
              <w:top w:val="single" w:sz="4" w:space="0" w:color="auto"/>
              <w:bottom w:val="single" w:sz="4" w:space="0" w:color="auto"/>
            </w:tcBorders>
            <w:shd w:val="clear" w:color="auto" w:fill="FFFFFF"/>
            <w:vAlign w:val="bottom"/>
            <w:hideMark/>
          </w:tcPr>
          <w:p w14:paraId="4C21F200"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bCs/>
                <w:sz w:val="17"/>
                <w:szCs w:val="17"/>
                <w:lang w:val="fr-FR"/>
              </w:rPr>
            </w:pPr>
            <w:r w:rsidRPr="00A66C9F">
              <w:rPr>
                <w:b/>
                <w:bCs/>
                <w:sz w:val="17"/>
                <w:lang w:val="fr-FR"/>
              </w:rPr>
              <w:t>88 692</w:t>
            </w:r>
          </w:p>
        </w:tc>
        <w:tc>
          <w:tcPr>
            <w:tcW w:w="1034" w:type="dxa"/>
            <w:tcBorders>
              <w:top w:val="single" w:sz="4" w:space="0" w:color="auto"/>
              <w:bottom w:val="single" w:sz="4" w:space="0" w:color="auto"/>
            </w:tcBorders>
            <w:vAlign w:val="bottom"/>
            <w:hideMark/>
          </w:tcPr>
          <w:p w14:paraId="4D4DBB26"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bCs/>
                <w:sz w:val="17"/>
                <w:szCs w:val="17"/>
                <w:lang w:val="fr-FR"/>
              </w:rPr>
            </w:pPr>
            <w:r w:rsidRPr="00A66C9F">
              <w:rPr>
                <w:b/>
                <w:bCs/>
                <w:sz w:val="17"/>
                <w:lang w:val="fr-FR"/>
              </w:rPr>
              <w:t>4 092 843</w:t>
            </w:r>
          </w:p>
        </w:tc>
        <w:tc>
          <w:tcPr>
            <w:tcW w:w="1034" w:type="dxa"/>
            <w:tcBorders>
              <w:top w:val="single" w:sz="4" w:space="0" w:color="auto"/>
              <w:bottom w:val="single" w:sz="4" w:space="0" w:color="auto"/>
            </w:tcBorders>
            <w:vAlign w:val="bottom"/>
            <w:hideMark/>
          </w:tcPr>
          <w:p w14:paraId="3A116FC8"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bCs/>
                <w:sz w:val="17"/>
                <w:szCs w:val="17"/>
                <w:lang w:val="fr-FR"/>
              </w:rPr>
            </w:pPr>
            <w:r w:rsidRPr="00A66C9F">
              <w:rPr>
                <w:b/>
                <w:bCs/>
                <w:sz w:val="17"/>
                <w:lang w:val="fr-FR"/>
              </w:rPr>
              <w:t>2 743 377</w:t>
            </w:r>
          </w:p>
        </w:tc>
        <w:tc>
          <w:tcPr>
            <w:tcW w:w="1034" w:type="dxa"/>
            <w:tcBorders>
              <w:top w:val="single" w:sz="4" w:space="0" w:color="auto"/>
              <w:bottom w:val="single" w:sz="4" w:space="0" w:color="auto"/>
            </w:tcBorders>
            <w:shd w:val="clear" w:color="auto" w:fill="FFFFFF"/>
            <w:vAlign w:val="bottom"/>
            <w:hideMark/>
          </w:tcPr>
          <w:p w14:paraId="49FA105D"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bCs/>
                <w:sz w:val="17"/>
                <w:szCs w:val="17"/>
                <w:lang w:val="fr-FR"/>
              </w:rPr>
            </w:pPr>
            <w:r w:rsidRPr="00A66C9F">
              <w:rPr>
                <w:b/>
                <w:bCs/>
                <w:sz w:val="17"/>
                <w:lang w:val="fr-FR"/>
              </w:rPr>
              <w:t>7 052 497</w:t>
            </w:r>
          </w:p>
        </w:tc>
      </w:tr>
      <w:tr w:rsidR="00744544" w:rsidRPr="00A66C9F" w14:paraId="1B1DAE83" w14:textId="77777777" w:rsidTr="00107D5D">
        <w:tc>
          <w:tcPr>
            <w:tcW w:w="3413" w:type="dxa"/>
            <w:tcBorders>
              <w:top w:val="single" w:sz="4" w:space="0" w:color="auto"/>
              <w:bottom w:val="single" w:sz="12" w:space="0" w:color="auto"/>
            </w:tcBorders>
            <w:shd w:val="clear" w:color="auto" w:fill="FFFFFF"/>
            <w:vAlign w:val="bottom"/>
            <w:hideMark/>
          </w:tcPr>
          <w:p w14:paraId="141B1B6D" w14:textId="77777777" w:rsidR="00744544" w:rsidRPr="00A66C9F" w:rsidRDefault="00744544" w:rsidP="00107D5D">
            <w:pPr>
              <w:tabs>
                <w:tab w:val="left" w:pos="288"/>
                <w:tab w:val="left" w:pos="576"/>
                <w:tab w:val="left" w:pos="864"/>
                <w:tab w:val="left" w:pos="1152"/>
              </w:tabs>
              <w:suppressAutoHyphens/>
              <w:spacing w:before="81" w:after="40" w:line="210" w:lineRule="exact"/>
              <w:ind w:right="40"/>
              <w:rPr>
                <w:sz w:val="17"/>
                <w:szCs w:val="17"/>
                <w:lang w:val="fr-FR"/>
              </w:rPr>
            </w:pPr>
            <w:r w:rsidRPr="00A66C9F">
              <w:rPr>
                <w:sz w:val="17"/>
                <w:lang w:val="fr-FR"/>
              </w:rPr>
              <w:t>Variation des profits et pertes latents sur les actifs relevant du niveau 3 détenus à la fin de la période et compris dans l’état des variations de l’actif net disponible pour le versement des prestations</w:t>
            </w:r>
          </w:p>
        </w:tc>
        <w:tc>
          <w:tcPr>
            <w:tcW w:w="1033" w:type="dxa"/>
            <w:tcBorders>
              <w:top w:val="single" w:sz="4" w:space="0" w:color="auto"/>
              <w:bottom w:val="single" w:sz="12" w:space="0" w:color="auto"/>
            </w:tcBorders>
            <w:noWrap/>
            <w:vAlign w:val="bottom"/>
            <w:hideMark/>
          </w:tcPr>
          <w:p w14:paraId="6EF7D5E6" w14:textId="77777777" w:rsidR="00744544" w:rsidRPr="00A66C9F" w:rsidRDefault="00744544" w:rsidP="00107D5D">
            <w:pPr>
              <w:tabs>
                <w:tab w:val="left" w:pos="288"/>
                <w:tab w:val="left" w:pos="576"/>
                <w:tab w:val="left" w:pos="864"/>
                <w:tab w:val="left" w:pos="1152"/>
              </w:tabs>
              <w:suppressAutoHyphens/>
              <w:spacing w:before="81" w:after="40" w:line="210" w:lineRule="exact"/>
              <w:ind w:right="43"/>
              <w:jc w:val="right"/>
              <w:rPr>
                <w:sz w:val="17"/>
                <w:szCs w:val="17"/>
                <w:lang w:val="fr-FR"/>
              </w:rPr>
            </w:pPr>
            <w:r w:rsidRPr="00A66C9F">
              <w:rPr>
                <w:sz w:val="17"/>
                <w:lang w:val="fr-FR"/>
              </w:rPr>
              <w:t>(8 659)</w:t>
            </w:r>
          </w:p>
        </w:tc>
        <w:tc>
          <w:tcPr>
            <w:tcW w:w="1034" w:type="dxa"/>
            <w:tcBorders>
              <w:top w:val="single" w:sz="4" w:space="0" w:color="auto"/>
              <w:bottom w:val="single" w:sz="12" w:space="0" w:color="auto"/>
            </w:tcBorders>
            <w:vAlign w:val="bottom"/>
            <w:hideMark/>
          </w:tcPr>
          <w:p w14:paraId="34D5C653" w14:textId="77777777" w:rsidR="00744544" w:rsidRPr="00A66C9F" w:rsidRDefault="00744544" w:rsidP="00107D5D">
            <w:pPr>
              <w:tabs>
                <w:tab w:val="left" w:pos="288"/>
                <w:tab w:val="left" w:pos="576"/>
                <w:tab w:val="left" w:pos="864"/>
                <w:tab w:val="left" w:pos="1152"/>
              </w:tabs>
              <w:suppressAutoHyphens/>
              <w:spacing w:before="81" w:after="40" w:line="210" w:lineRule="exact"/>
              <w:ind w:right="43"/>
              <w:jc w:val="right"/>
              <w:rPr>
                <w:sz w:val="17"/>
                <w:szCs w:val="17"/>
                <w:lang w:val="fr-FR"/>
              </w:rPr>
            </w:pPr>
            <w:r w:rsidRPr="00A66C9F">
              <w:rPr>
                <w:sz w:val="17"/>
                <w:lang w:val="fr-FR"/>
              </w:rPr>
              <w:t>(6 514)</w:t>
            </w:r>
          </w:p>
        </w:tc>
        <w:tc>
          <w:tcPr>
            <w:tcW w:w="1034" w:type="dxa"/>
            <w:tcBorders>
              <w:top w:val="single" w:sz="4" w:space="0" w:color="auto"/>
              <w:bottom w:val="single" w:sz="12" w:space="0" w:color="auto"/>
            </w:tcBorders>
            <w:vAlign w:val="bottom"/>
            <w:hideMark/>
          </w:tcPr>
          <w:p w14:paraId="08263C0B" w14:textId="77777777" w:rsidR="00744544" w:rsidRPr="00A66C9F" w:rsidRDefault="00744544" w:rsidP="00107D5D">
            <w:pPr>
              <w:tabs>
                <w:tab w:val="left" w:pos="288"/>
                <w:tab w:val="left" w:pos="576"/>
                <w:tab w:val="left" w:pos="864"/>
                <w:tab w:val="left" w:pos="1152"/>
              </w:tabs>
              <w:suppressAutoHyphens/>
              <w:spacing w:before="81" w:after="40" w:line="210" w:lineRule="exact"/>
              <w:ind w:right="43"/>
              <w:jc w:val="right"/>
              <w:rPr>
                <w:sz w:val="17"/>
                <w:szCs w:val="17"/>
                <w:lang w:val="fr-FR"/>
              </w:rPr>
            </w:pPr>
            <w:r w:rsidRPr="00A66C9F">
              <w:rPr>
                <w:sz w:val="17"/>
                <w:lang w:val="fr-FR"/>
              </w:rPr>
              <w:t>241 785</w:t>
            </w:r>
          </w:p>
        </w:tc>
        <w:tc>
          <w:tcPr>
            <w:tcW w:w="1034" w:type="dxa"/>
            <w:tcBorders>
              <w:top w:val="single" w:sz="4" w:space="0" w:color="auto"/>
              <w:bottom w:val="single" w:sz="12" w:space="0" w:color="auto"/>
            </w:tcBorders>
            <w:vAlign w:val="bottom"/>
            <w:hideMark/>
          </w:tcPr>
          <w:p w14:paraId="3DDA15F6" w14:textId="77777777" w:rsidR="00744544" w:rsidRPr="00A66C9F" w:rsidRDefault="00744544" w:rsidP="00107D5D">
            <w:pPr>
              <w:tabs>
                <w:tab w:val="left" w:pos="288"/>
                <w:tab w:val="left" w:pos="576"/>
                <w:tab w:val="left" w:pos="864"/>
                <w:tab w:val="left" w:pos="1152"/>
              </w:tabs>
              <w:suppressAutoHyphens/>
              <w:spacing w:before="81" w:after="40" w:line="210" w:lineRule="exact"/>
              <w:ind w:right="43"/>
              <w:jc w:val="right"/>
              <w:rPr>
                <w:sz w:val="17"/>
                <w:szCs w:val="17"/>
                <w:lang w:val="fr-FR"/>
              </w:rPr>
            </w:pPr>
            <w:r w:rsidRPr="00A66C9F">
              <w:rPr>
                <w:sz w:val="17"/>
                <w:lang w:val="fr-FR"/>
              </w:rPr>
              <w:t>313 387</w:t>
            </w:r>
          </w:p>
        </w:tc>
        <w:tc>
          <w:tcPr>
            <w:tcW w:w="1034" w:type="dxa"/>
            <w:tcBorders>
              <w:top w:val="single" w:sz="4" w:space="0" w:color="auto"/>
              <w:bottom w:val="single" w:sz="12" w:space="0" w:color="auto"/>
            </w:tcBorders>
            <w:noWrap/>
            <w:vAlign w:val="bottom"/>
            <w:hideMark/>
          </w:tcPr>
          <w:p w14:paraId="72895F66" w14:textId="77777777" w:rsidR="00744544" w:rsidRPr="00A66C9F" w:rsidRDefault="00744544" w:rsidP="00107D5D">
            <w:pPr>
              <w:tabs>
                <w:tab w:val="left" w:pos="288"/>
                <w:tab w:val="left" w:pos="576"/>
                <w:tab w:val="left" w:pos="864"/>
                <w:tab w:val="left" w:pos="1152"/>
              </w:tabs>
              <w:suppressAutoHyphens/>
              <w:spacing w:before="81" w:after="40" w:line="210" w:lineRule="exact"/>
              <w:ind w:right="43"/>
              <w:jc w:val="right"/>
              <w:rPr>
                <w:bCs/>
                <w:sz w:val="17"/>
                <w:szCs w:val="17"/>
                <w:lang w:val="fr-FR"/>
              </w:rPr>
            </w:pPr>
            <w:r w:rsidRPr="00A66C9F">
              <w:rPr>
                <w:sz w:val="17"/>
                <w:lang w:val="fr-FR"/>
              </w:rPr>
              <w:t>539 999</w:t>
            </w:r>
          </w:p>
        </w:tc>
      </w:tr>
    </w:tbl>
    <w:p w14:paraId="5CBCA524" w14:textId="77777777" w:rsidR="00744544" w:rsidRPr="00A66C9F" w:rsidRDefault="00744544" w:rsidP="00744544">
      <w:pPr>
        <w:pStyle w:val="SingleTxt"/>
        <w:spacing w:after="0" w:line="120" w:lineRule="exact"/>
        <w:rPr>
          <w:sz w:val="10"/>
          <w:lang w:val="fr-FR"/>
        </w:rPr>
      </w:pPr>
    </w:p>
    <w:p w14:paraId="4C182FD8" w14:textId="77777777" w:rsidR="00744544" w:rsidRPr="00A66C9F" w:rsidRDefault="00744544" w:rsidP="00744544">
      <w:pPr>
        <w:pStyle w:val="SingleTxt"/>
        <w:spacing w:after="0" w:line="120" w:lineRule="exact"/>
        <w:rPr>
          <w:sz w:val="10"/>
          <w:lang w:val="fr-FR"/>
        </w:rPr>
      </w:pPr>
    </w:p>
    <w:p w14:paraId="56F03C2C" w14:textId="77777777" w:rsidR="00744544" w:rsidRPr="00A66C9F" w:rsidRDefault="00744544" w:rsidP="00744544">
      <w:pPr>
        <w:pStyle w:val="SingleTxt"/>
        <w:spacing w:after="0" w:line="120" w:lineRule="exact"/>
        <w:rPr>
          <w:sz w:val="10"/>
          <w:lang w:val="fr-FR"/>
        </w:rPr>
      </w:pPr>
    </w:p>
    <w:p w14:paraId="5941417E"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Note 7</w:t>
      </w:r>
    </w:p>
    <w:p w14:paraId="377A72FD"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Produits à recevoir sur les investissements</w:t>
      </w:r>
    </w:p>
    <w:p w14:paraId="6F9A232F" w14:textId="77777777" w:rsidR="00744544" w:rsidRPr="00A66C9F" w:rsidRDefault="00744544" w:rsidP="00744544">
      <w:pPr>
        <w:pStyle w:val="SingleTxt"/>
        <w:spacing w:after="0" w:line="120" w:lineRule="exact"/>
        <w:rPr>
          <w:sz w:val="10"/>
          <w:lang w:val="fr-FR"/>
        </w:rPr>
      </w:pPr>
    </w:p>
    <w:p w14:paraId="0744A2A9" w14:textId="77777777" w:rsidR="00744544" w:rsidRPr="00A66C9F" w:rsidRDefault="00744544" w:rsidP="00753AB8">
      <w:pPr>
        <w:pStyle w:val="SingleTxt"/>
        <w:numPr>
          <w:ilvl w:val="0"/>
          <w:numId w:val="15"/>
        </w:numPr>
        <w:spacing w:line="240" w:lineRule="exact"/>
        <w:rPr>
          <w:szCs w:val="20"/>
          <w:lang w:val="fr-FR"/>
        </w:rPr>
      </w:pPr>
      <w:bookmarkStart w:id="173" w:name="_Toc450645505"/>
      <w:bookmarkStart w:id="174" w:name="_Toc450645614"/>
      <w:bookmarkStart w:id="175" w:name="_Toc450831167"/>
      <w:bookmarkStart w:id="176" w:name="_Toc450831276"/>
      <w:bookmarkStart w:id="177" w:name="_Toc450834618"/>
      <w:bookmarkStart w:id="178" w:name="_Toc450901671"/>
      <w:bookmarkStart w:id="179" w:name="_Toc451169326"/>
      <w:bookmarkStart w:id="180" w:name="_Toc437435640"/>
      <w:bookmarkStart w:id="181" w:name="_Toc437435684"/>
      <w:bookmarkStart w:id="182" w:name="_Toc437435726"/>
      <w:bookmarkStart w:id="183" w:name="_Toc437435768"/>
      <w:bookmarkStart w:id="184" w:name="_Toc437435641"/>
      <w:bookmarkStart w:id="185" w:name="_Toc437435685"/>
      <w:bookmarkStart w:id="186" w:name="_Toc437435727"/>
      <w:bookmarkStart w:id="187" w:name="_Toc437435769"/>
      <w:bookmarkStart w:id="188" w:name="_Toc437435642"/>
      <w:bookmarkStart w:id="189" w:name="_Toc437435686"/>
      <w:bookmarkStart w:id="190" w:name="_Toc437435728"/>
      <w:bookmarkStart w:id="191" w:name="_Toc437435770"/>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A66C9F">
        <w:rPr>
          <w:lang w:val="fr-FR"/>
        </w:rPr>
        <w:t xml:space="preserve">Les produits à recevoir sur les investissements sont les revenus procurés par les investissements qui n’ont pas encore été perçus à la date de l’état de l’actif net disponible pour le versement des prestations. </w:t>
      </w:r>
    </w:p>
    <w:p w14:paraId="6F20E61D" w14:textId="77777777" w:rsidR="00744544" w:rsidRPr="00A66C9F" w:rsidRDefault="00744544" w:rsidP="00744544">
      <w:pPr>
        <w:pStyle w:val="SingleTxt"/>
        <w:spacing w:after="0" w:line="120" w:lineRule="exact"/>
        <w:rPr>
          <w:sz w:val="10"/>
          <w:lang w:val="fr-FR"/>
        </w:rPr>
      </w:pPr>
    </w:p>
    <w:p w14:paraId="5C28D3A1" w14:textId="77777777" w:rsidR="00744544" w:rsidRPr="00A66C9F" w:rsidRDefault="00744544" w:rsidP="0074454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lang w:val="fr-FR"/>
        </w:rPr>
        <w:tab/>
      </w:r>
      <w:r w:rsidRPr="00A66C9F">
        <w:rPr>
          <w:lang w:val="fr-FR"/>
        </w:rPr>
        <w:tab/>
      </w:r>
      <w:r w:rsidRPr="00A66C9F">
        <w:rPr>
          <w:sz w:val="14"/>
          <w:szCs w:val="14"/>
          <w:lang w:val="fr-FR"/>
        </w:rPr>
        <w:t>(En milliers de dollars des États-Unis)</w:t>
      </w:r>
    </w:p>
    <w:p w14:paraId="254BB350" w14:textId="77777777" w:rsidR="00744544" w:rsidRPr="00A66C9F" w:rsidRDefault="00744544" w:rsidP="00744544">
      <w:pPr>
        <w:pStyle w:val="SingleTxt"/>
        <w:keepNext/>
        <w:spacing w:after="0" w:line="120" w:lineRule="exact"/>
        <w:rPr>
          <w:sz w:val="10"/>
          <w:lang w:val="fr-FR"/>
        </w:rPr>
      </w:pPr>
    </w:p>
    <w:p w14:paraId="642AC626" w14:textId="77777777" w:rsidR="00744544" w:rsidRPr="00A66C9F" w:rsidRDefault="00744544" w:rsidP="00744544">
      <w:pPr>
        <w:pStyle w:val="SingleTxt"/>
        <w:keepNext/>
        <w:spacing w:after="0" w:line="120" w:lineRule="exact"/>
        <w:rPr>
          <w:sz w:val="10"/>
          <w:lang w:val="fr-FR"/>
        </w:rPr>
      </w:pPr>
    </w:p>
    <w:tbl>
      <w:tblPr>
        <w:tblW w:w="7320" w:type="dxa"/>
        <w:tblInd w:w="1260" w:type="dxa"/>
        <w:tblLayout w:type="fixed"/>
        <w:tblCellMar>
          <w:left w:w="0" w:type="dxa"/>
          <w:right w:w="0" w:type="dxa"/>
        </w:tblCellMar>
        <w:tblLook w:val="04A0" w:firstRow="1" w:lastRow="0" w:firstColumn="1" w:lastColumn="0" w:noHBand="0" w:noVBand="1"/>
      </w:tblPr>
      <w:tblGrid>
        <w:gridCol w:w="4680"/>
        <w:gridCol w:w="1350"/>
        <w:gridCol w:w="1290"/>
      </w:tblGrid>
      <w:tr w:rsidR="00744544" w:rsidRPr="00A66C9F" w14:paraId="49D0B951" w14:textId="77777777" w:rsidTr="00107D5D">
        <w:trPr>
          <w:trHeight w:val="324"/>
          <w:tblHeader/>
        </w:trPr>
        <w:tc>
          <w:tcPr>
            <w:tcW w:w="4680" w:type="dxa"/>
            <w:tcBorders>
              <w:top w:val="single" w:sz="4" w:space="0" w:color="auto"/>
              <w:bottom w:val="single" w:sz="12" w:space="0" w:color="auto"/>
            </w:tcBorders>
            <w:shd w:val="clear" w:color="auto" w:fill="auto"/>
            <w:noWrap/>
            <w:vAlign w:val="bottom"/>
            <w:hideMark/>
          </w:tcPr>
          <w:p w14:paraId="58008196" w14:textId="77777777" w:rsidR="00744544" w:rsidRPr="00A66C9F" w:rsidRDefault="00744544" w:rsidP="00107D5D">
            <w:pPr>
              <w:suppressAutoHyphens/>
              <w:spacing w:before="81" w:beforeAutospacing="1" w:after="81" w:afterAutospacing="1" w:line="160" w:lineRule="exact"/>
              <w:ind w:right="40"/>
              <w:rPr>
                <w:bCs/>
                <w:i/>
                <w:iCs/>
                <w:sz w:val="14"/>
                <w:szCs w:val="24"/>
                <w:lang w:val="fr-FR"/>
              </w:rPr>
            </w:pPr>
          </w:p>
        </w:tc>
        <w:tc>
          <w:tcPr>
            <w:tcW w:w="1350" w:type="dxa"/>
            <w:tcBorders>
              <w:top w:val="single" w:sz="4" w:space="0" w:color="auto"/>
              <w:bottom w:val="single" w:sz="12" w:space="0" w:color="auto"/>
            </w:tcBorders>
            <w:shd w:val="clear" w:color="auto" w:fill="auto"/>
            <w:vAlign w:val="bottom"/>
          </w:tcPr>
          <w:p w14:paraId="267832E8" w14:textId="77777777" w:rsidR="00744544" w:rsidRPr="00A66C9F" w:rsidDel="005F43B7" w:rsidRDefault="00744544" w:rsidP="00107D5D">
            <w:pPr>
              <w:pStyle w:val="BodyText"/>
              <w:suppressAutoHyphens/>
              <w:spacing w:before="81" w:after="81" w:line="160" w:lineRule="exact"/>
              <w:ind w:right="43"/>
              <w:jc w:val="right"/>
              <w:rPr>
                <w:bCs/>
                <w:i/>
                <w:iCs/>
                <w:spacing w:val="4"/>
                <w:w w:val="103"/>
                <w:kern w:val="14"/>
                <w:sz w:val="14"/>
                <w:lang w:val="fr-FR"/>
              </w:rPr>
            </w:pPr>
            <w:r w:rsidRPr="00A66C9F">
              <w:rPr>
                <w:i/>
                <w:iCs/>
                <w:spacing w:val="4"/>
                <w:w w:val="103"/>
                <w:kern w:val="14"/>
                <w:sz w:val="14"/>
                <w:lang w:val="fr-FR"/>
              </w:rPr>
              <w:t>31 décembre 2019</w:t>
            </w:r>
          </w:p>
        </w:tc>
        <w:tc>
          <w:tcPr>
            <w:tcW w:w="1290" w:type="dxa"/>
            <w:tcBorders>
              <w:top w:val="single" w:sz="4" w:space="0" w:color="auto"/>
              <w:bottom w:val="single" w:sz="12" w:space="0" w:color="auto"/>
            </w:tcBorders>
            <w:shd w:val="clear" w:color="auto" w:fill="auto"/>
            <w:vAlign w:val="bottom"/>
            <w:hideMark/>
          </w:tcPr>
          <w:p w14:paraId="6C45B8D5" w14:textId="77777777" w:rsidR="00744544" w:rsidRPr="00A66C9F" w:rsidRDefault="00744544" w:rsidP="00107D5D">
            <w:pPr>
              <w:pStyle w:val="BodyText"/>
              <w:suppressAutoHyphens/>
              <w:spacing w:before="81" w:after="81" w:line="160" w:lineRule="exact"/>
              <w:ind w:right="43"/>
              <w:jc w:val="right"/>
              <w:rPr>
                <w:bCs/>
                <w:i/>
                <w:iCs/>
                <w:spacing w:val="4"/>
                <w:w w:val="103"/>
                <w:kern w:val="14"/>
                <w:sz w:val="14"/>
                <w:szCs w:val="24"/>
                <w:lang w:val="fr-FR"/>
              </w:rPr>
            </w:pPr>
            <w:r w:rsidRPr="00A66C9F">
              <w:rPr>
                <w:i/>
                <w:iCs/>
                <w:spacing w:val="4"/>
                <w:w w:val="103"/>
                <w:kern w:val="14"/>
                <w:sz w:val="14"/>
                <w:lang w:val="fr-FR"/>
              </w:rPr>
              <w:t>31 décembre 2018</w:t>
            </w:r>
          </w:p>
        </w:tc>
      </w:tr>
      <w:tr w:rsidR="00744544" w:rsidRPr="00A66C9F" w14:paraId="121A4D33" w14:textId="77777777" w:rsidTr="00107D5D">
        <w:trPr>
          <w:trHeight w:hRule="exact" w:val="115"/>
          <w:tblHeader/>
        </w:trPr>
        <w:tc>
          <w:tcPr>
            <w:tcW w:w="4680" w:type="dxa"/>
            <w:tcBorders>
              <w:top w:val="single" w:sz="12" w:space="0" w:color="auto"/>
            </w:tcBorders>
            <w:shd w:val="clear" w:color="auto" w:fill="auto"/>
            <w:vAlign w:val="bottom"/>
          </w:tcPr>
          <w:p w14:paraId="67622EAB" w14:textId="77777777" w:rsidR="00744544" w:rsidRPr="00A66C9F" w:rsidRDefault="00744544" w:rsidP="00107D5D">
            <w:pPr>
              <w:suppressAutoHyphens/>
              <w:spacing w:before="40" w:beforeAutospacing="1" w:after="40" w:afterAutospacing="1" w:line="210" w:lineRule="exact"/>
              <w:ind w:right="40"/>
              <w:rPr>
                <w:sz w:val="17"/>
                <w:lang w:val="fr-FR"/>
              </w:rPr>
            </w:pPr>
          </w:p>
        </w:tc>
        <w:tc>
          <w:tcPr>
            <w:tcW w:w="1350" w:type="dxa"/>
            <w:tcBorders>
              <w:top w:val="single" w:sz="12" w:space="0" w:color="auto"/>
            </w:tcBorders>
            <w:shd w:val="clear" w:color="auto" w:fill="auto"/>
            <w:vAlign w:val="bottom"/>
          </w:tcPr>
          <w:p w14:paraId="3CA53295" w14:textId="77777777" w:rsidR="00744544" w:rsidRPr="00A66C9F" w:rsidRDefault="00744544" w:rsidP="00107D5D">
            <w:pPr>
              <w:suppressAutoHyphens/>
              <w:spacing w:before="40" w:after="40" w:line="210" w:lineRule="exact"/>
              <w:ind w:right="43"/>
              <w:jc w:val="right"/>
              <w:rPr>
                <w:sz w:val="17"/>
                <w:lang w:val="fr-FR"/>
              </w:rPr>
            </w:pPr>
          </w:p>
        </w:tc>
        <w:tc>
          <w:tcPr>
            <w:tcW w:w="1290" w:type="dxa"/>
            <w:tcBorders>
              <w:top w:val="single" w:sz="12" w:space="0" w:color="auto"/>
            </w:tcBorders>
            <w:shd w:val="clear" w:color="auto" w:fill="auto"/>
            <w:vAlign w:val="bottom"/>
          </w:tcPr>
          <w:p w14:paraId="28925D84" w14:textId="77777777" w:rsidR="00744544" w:rsidRPr="00A66C9F" w:rsidRDefault="00744544" w:rsidP="00107D5D">
            <w:pPr>
              <w:suppressAutoHyphens/>
              <w:spacing w:before="40" w:after="40" w:line="210" w:lineRule="exact"/>
              <w:ind w:right="43"/>
              <w:jc w:val="right"/>
              <w:rPr>
                <w:sz w:val="17"/>
                <w:lang w:val="fr-FR"/>
              </w:rPr>
            </w:pPr>
          </w:p>
        </w:tc>
      </w:tr>
      <w:tr w:rsidR="00744544" w:rsidRPr="00A66C9F" w14:paraId="1590DCAE" w14:textId="77777777" w:rsidTr="00107D5D">
        <w:trPr>
          <w:trHeight w:val="20"/>
          <w:tblHeader/>
        </w:trPr>
        <w:tc>
          <w:tcPr>
            <w:tcW w:w="4680" w:type="dxa"/>
            <w:shd w:val="clear" w:color="auto" w:fill="auto"/>
            <w:vAlign w:val="bottom"/>
            <w:hideMark/>
          </w:tcPr>
          <w:p w14:paraId="1610528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Trésorerie et équivalents de trésorerie</w:t>
            </w:r>
          </w:p>
        </w:tc>
        <w:tc>
          <w:tcPr>
            <w:tcW w:w="1350" w:type="dxa"/>
            <w:shd w:val="clear" w:color="auto" w:fill="auto"/>
            <w:vAlign w:val="bottom"/>
          </w:tcPr>
          <w:p w14:paraId="0B39E27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130</w:t>
            </w:r>
          </w:p>
        </w:tc>
        <w:tc>
          <w:tcPr>
            <w:tcW w:w="1290" w:type="dxa"/>
            <w:shd w:val="clear" w:color="auto" w:fill="auto"/>
            <w:vAlign w:val="bottom"/>
          </w:tcPr>
          <w:p w14:paraId="46B1297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142</w:t>
            </w:r>
          </w:p>
        </w:tc>
      </w:tr>
      <w:tr w:rsidR="00744544" w:rsidRPr="00A66C9F" w14:paraId="390563B1" w14:textId="77777777" w:rsidTr="00107D5D">
        <w:trPr>
          <w:trHeight w:val="20"/>
        </w:trPr>
        <w:tc>
          <w:tcPr>
            <w:tcW w:w="4680" w:type="dxa"/>
            <w:shd w:val="clear" w:color="auto" w:fill="auto"/>
            <w:vAlign w:val="bottom"/>
            <w:hideMark/>
          </w:tcPr>
          <w:p w14:paraId="716EAAE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 xml:space="preserve">Valeurs à revenu fixe </w:t>
            </w:r>
          </w:p>
        </w:tc>
        <w:tc>
          <w:tcPr>
            <w:tcW w:w="1350" w:type="dxa"/>
            <w:shd w:val="clear" w:color="auto" w:fill="auto"/>
            <w:vAlign w:val="bottom"/>
          </w:tcPr>
          <w:p w14:paraId="3D9EE90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101 121</w:t>
            </w:r>
          </w:p>
        </w:tc>
        <w:tc>
          <w:tcPr>
            <w:tcW w:w="1290" w:type="dxa"/>
            <w:shd w:val="clear" w:color="auto" w:fill="auto"/>
            <w:vAlign w:val="bottom"/>
          </w:tcPr>
          <w:p w14:paraId="145FC49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108 180</w:t>
            </w:r>
          </w:p>
        </w:tc>
      </w:tr>
      <w:tr w:rsidR="00744544" w:rsidRPr="00A66C9F" w14:paraId="6B976BBA" w14:textId="77777777" w:rsidTr="00107D5D">
        <w:trPr>
          <w:trHeight w:val="20"/>
        </w:trPr>
        <w:tc>
          <w:tcPr>
            <w:tcW w:w="4680" w:type="dxa"/>
            <w:shd w:val="clear" w:color="auto" w:fill="auto"/>
            <w:vAlign w:val="bottom"/>
            <w:hideMark/>
          </w:tcPr>
          <w:p w14:paraId="1ECE55C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 xml:space="preserve">Dividendes à recevoir sur actions </w:t>
            </w:r>
          </w:p>
        </w:tc>
        <w:tc>
          <w:tcPr>
            <w:tcW w:w="1350" w:type="dxa"/>
            <w:shd w:val="clear" w:color="auto" w:fill="auto"/>
            <w:vAlign w:val="bottom"/>
          </w:tcPr>
          <w:p w14:paraId="6CBE141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56 820</w:t>
            </w:r>
          </w:p>
        </w:tc>
        <w:tc>
          <w:tcPr>
            <w:tcW w:w="1290" w:type="dxa"/>
            <w:shd w:val="clear" w:color="auto" w:fill="auto"/>
            <w:vAlign w:val="bottom"/>
          </w:tcPr>
          <w:p w14:paraId="53151A1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47 742</w:t>
            </w:r>
          </w:p>
        </w:tc>
      </w:tr>
      <w:tr w:rsidR="00744544" w:rsidRPr="00A66C9F" w14:paraId="7FD4F1E4" w14:textId="77777777" w:rsidTr="00107D5D">
        <w:trPr>
          <w:trHeight w:val="20"/>
        </w:trPr>
        <w:tc>
          <w:tcPr>
            <w:tcW w:w="4680" w:type="dxa"/>
            <w:tcBorders>
              <w:bottom w:val="single" w:sz="4" w:space="0" w:color="auto"/>
            </w:tcBorders>
            <w:shd w:val="clear" w:color="auto" w:fill="auto"/>
            <w:vAlign w:val="bottom"/>
            <w:hideMark/>
          </w:tcPr>
          <w:p w14:paraId="2B0CAA52" w14:textId="77777777" w:rsidR="00744544" w:rsidRPr="00A66C9F" w:rsidRDefault="00744544" w:rsidP="00107D5D">
            <w:pPr>
              <w:tabs>
                <w:tab w:val="left" w:pos="288"/>
                <w:tab w:val="left" w:pos="576"/>
                <w:tab w:val="left" w:pos="864"/>
                <w:tab w:val="left" w:pos="1152"/>
              </w:tabs>
              <w:suppressAutoHyphens/>
              <w:spacing w:before="40" w:after="81" w:line="210" w:lineRule="exact"/>
              <w:ind w:right="40"/>
              <w:rPr>
                <w:sz w:val="17"/>
                <w:szCs w:val="17"/>
                <w:lang w:val="fr-FR"/>
              </w:rPr>
            </w:pPr>
            <w:r w:rsidRPr="00A66C9F">
              <w:rPr>
                <w:sz w:val="17"/>
                <w:lang w:val="fr-FR"/>
              </w:rPr>
              <w:t xml:space="preserve">Actifs réels et investissements alternatifs </w:t>
            </w:r>
          </w:p>
        </w:tc>
        <w:tc>
          <w:tcPr>
            <w:tcW w:w="1350" w:type="dxa"/>
            <w:tcBorders>
              <w:bottom w:val="single" w:sz="4" w:space="0" w:color="auto"/>
            </w:tcBorders>
            <w:shd w:val="clear" w:color="auto" w:fill="auto"/>
            <w:vAlign w:val="bottom"/>
          </w:tcPr>
          <w:p w14:paraId="1FEEC70F"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lang w:val="fr-FR"/>
              </w:rPr>
              <w:t>5 092</w:t>
            </w:r>
          </w:p>
        </w:tc>
        <w:tc>
          <w:tcPr>
            <w:tcW w:w="1290" w:type="dxa"/>
            <w:tcBorders>
              <w:bottom w:val="single" w:sz="4" w:space="0" w:color="auto"/>
            </w:tcBorders>
            <w:shd w:val="clear" w:color="auto" w:fill="auto"/>
            <w:vAlign w:val="bottom"/>
          </w:tcPr>
          <w:p w14:paraId="265757ED"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lang w:val="fr-FR"/>
              </w:rPr>
              <w:t>2 187</w:t>
            </w:r>
          </w:p>
        </w:tc>
      </w:tr>
      <w:tr w:rsidR="00744544" w:rsidRPr="00A66C9F" w14:paraId="544D05F3" w14:textId="77777777" w:rsidTr="00107D5D">
        <w:trPr>
          <w:trHeight w:val="20"/>
        </w:trPr>
        <w:tc>
          <w:tcPr>
            <w:tcW w:w="4680" w:type="dxa"/>
            <w:tcBorders>
              <w:top w:val="single" w:sz="4" w:space="0" w:color="auto"/>
              <w:bottom w:val="single" w:sz="12" w:space="0" w:color="auto"/>
            </w:tcBorders>
            <w:shd w:val="clear" w:color="auto" w:fill="auto"/>
            <w:vAlign w:val="bottom"/>
            <w:hideMark/>
          </w:tcPr>
          <w:p w14:paraId="2750AD05" w14:textId="77777777" w:rsidR="00744544" w:rsidRPr="00A66C9F" w:rsidRDefault="00744544" w:rsidP="00107D5D">
            <w:pPr>
              <w:tabs>
                <w:tab w:val="left" w:pos="288"/>
                <w:tab w:val="left" w:pos="576"/>
                <w:tab w:val="left" w:pos="864"/>
                <w:tab w:val="left" w:pos="1152"/>
              </w:tabs>
              <w:suppressAutoHyphens/>
              <w:spacing w:before="81" w:after="81" w:line="210" w:lineRule="exact"/>
              <w:ind w:right="40"/>
              <w:jc w:val="both"/>
              <w:rPr>
                <w:b/>
                <w:bCs/>
                <w:sz w:val="17"/>
                <w:szCs w:val="21"/>
                <w:lang w:val="fr-FR"/>
              </w:rPr>
            </w:pPr>
            <w:r w:rsidRPr="00A66C9F">
              <w:rPr>
                <w:b/>
                <w:bCs/>
                <w:sz w:val="17"/>
                <w:lang w:val="fr-FR"/>
              </w:rPr>
              <w:tab/>
              <w:t>Total des produits à recevoir sur les investissements</w:t>
            </w:r>
          </w:p>
        </w:tc>
        <w:tc>
          <w:tcPr>
            <w:tcW w:w="1350" w:type="dxa"/>
            <w:tcBorders>
              <w:top w:val="single" w:sz="4" w:space="0" w:color="auto"/>
              <w:bottom w:val="single" w:sz="12" w:space="0" w:color="auto"/>
            </w:tcBorders>
            <w:shd w:val="clear" w:color="auto" w:fill="auto"/>
            <w:vAlign w:val="bottom"/>
          </w:tcPr>
          <w:p w14:paraId="5D0A4F96" w14:textId="77777777" w:rsidR="00744544" w:rsidRPr="00A66C9F" w:rsidRDefault="00744544" w:rsidP="00107D5D">
            <w:pPr>
              <w:tabs>
                <w:tab w:val="left" w:pos="288"/>
                <w:tab w:val="left" w:pos="576"/>
                <w:tab w:val="left" w:pos="864"/>
                <w:tab w:val="left" w:pos="1152"/>
              </w:tabs>
              <w:suppressAutoHyphens/>
              <w:spacing w:before="81" w:after="81" w:line="210" w:lineRule="exact"/>
              <w:ind w:right="40"/>
              <w:jc w:val="right"/>
              <w:rPr>
                <w:b/>
                <w:bCs/>
                <w:sz w:val="17"/>
                <w:szCs w:val="21"/>
                <w:lang w:val="fr-FR"/>
              </w:rPr>
            </w:pPr>
            <w:r w:rsidRPr="00A66C9F">
              <w:rPr>
                <w:b/>
                <w:bCs/>
                <w:sz w:val="17"/>
                <w:lang w:val="fr-FR"/>
              </w:rPr>
              <w:t>163 163</w:t>
            </w:r>
          </w:p>
        </w:tc>
        <w:tc>
          <w:tcPr>
            <w:tcW w:w="1290" w:type="dxa"/>
            <w:tcBorders>
              <w:top w:val="single" w:sz="4" w:space="0" w:color="auto"/>
              <w:bottom w:val="single" w:sz="12" w:space="0" w:color="auto"/>
            </w:tcBorders>
            <w:shd w:val="clear" w:color="auto" w:fill="auto"/>
            <w:vAlign w:val="bottom"/>
          </w:tcPr>
          <w:p w14:paraId="6F9C253A" w14:textId="77777777" w:rsidR="00744544" w:rsidRPr="00A66C9F" w:rsidRDefault="00744544" w:rsidP="00107D5D">
            <w:pPr>
              <w:tabs>
                <w:tab w:val="left" w:pos="288"/>
                <w:tab w:val="left" w:pos="576"/>
                <w:tab w:val="left" w:pos="864"/>
                <w:tab w:val="left" w:pos="1152"/>
              </w:tabs>
              <w:suppressAutoHyphens/>
              <w:spacing w:before="81" w:after="81" w:line="210" w:lineRule="exact"/>
              <w:ind w:right="40"/>
              <w:jc w:val="right"/>
              <w:rPr>
                <w:b/>
                <w:bCs/>
                <w:sz w:val="17"/>
                <w:szCs w:val="21"/>
                <w:lang w:val="fr-FR"/>
              </w:rPr>
            </w:pPr>
            <w:r w:rsidRPr="00A66C9F">
              <w:rPr>
                <w:b/>
                <w:bCs/>
                <w:sz w:val="17"/>
                <w:lang w:val="fr-FR"/>
              </w:rPr>
              <w:t>158 251</w:t>
            </w:r>
          </w:p>
        </w:tc>
      </w:tr>
    </w:tbl>
    <w:p w14:paraId="29EA1A10" w14:textId="77777777" w:rsidR="00744544" w:rsidRPr="00A66C9F" w:rsidRDefault="00744544" w:rsidP="00744544">
      <w:pPr>
        <w:pStyle w:val="SingleTxt"/>
        <w:spacing w:after="0" w:line="120" w:lineRule="exact"/>
        <w:rPr>
          <w:sz w:val="10"/>
          <w:lang w:val="fr-FR"/>
        </w:rPr>
      </w:pPr>
    </w:p>
    <w:p w14:paraId="14F6A90A" w14:textId="77777777" w:rsidR="00744544" w:rsidRPr="00A66C9F" w:rsidRDefault="00744544" w:rsidP="00744544">
      <w:pPr>
        <w:pStyle w:val="SingleTxt"/>
        <w:spacing w:after="0" w:line="120" w:lineRule="exact"/>
        <w:rPr>
          <w:sz w:val="10"/>
          <w:lang w:val="fr-FR"/>
        </w:rPr>
      </w:pPr>
    </w:p>
    <w:p w14:paraId="55BF9436" w14:textId="77777777" w:rsidR="00744544" w:rsidRPr="00A66C9F" w:rsidRDefault="00744544" w:rsidP="00744544">
      <w:pPr>
        <w:pStyle w:val="SingleTxt"/>
        <w:spacing w:after="0" w:line="120" w:lineRule="exact"/>
        <w:rPr>
          <w:sz w:val="10"/>
          <w:lang w:val="fr-FR"/>
        </w:rPr>
      </w:pPr>
    </w:p>
    <w:p w14:paraId="31A5C292"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92" w:name="_Toc38529174"/>
      <w:r w:rsidRPr="00A66C9F">
        <w:rPr>
          <w:lang w:val="fr-FR"/>
        </w:rPr>
        <w:lastRenderedPageBreak/>
        <w:tab/>
      </w:r>
      <w:r w:rsidRPr="00A66C9F">
        <w:rPr>
          <w:lang w:val="fr-FR"/>
        </w:rPr>
        <w:tab/>
        <w:t>Note 8</w:t>
      </w:r>
    </w:p>
    <w:p w14:paraId="3F26248B"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Créances sur des administrations fiscales</w:t>
      </w:r>
    </w:p>
    <w:p w14:paraId="3554C99B" w14:textId="77777777" w:rsidR="00744544" w:rsidRPr="00A66C9F" w:rsidRDefault="00744544" w:rsidP="00744544">
      <w:pPr>
        <w:pStyle w:val="SingleTxt"/>
        <w:spacing w:after="0" w:line="120" w:lineRule="exact"/>
        <w:rPr>
          <w:sz w:val="10"/>
          <w:lang w:val="fr-FR"/>
        </w:rPr>
      </w:pPr>
    </w:p>
    <w:bookmarkEnd w:id="192"/>
    <w:p w14:paraId="10C7025F" w14:textId="77777777" w:rsidR="00744544" w:rsidRPr="00A66C9F" w:rsidRDefault="00744544" w:rsidP="00753AB8">
      <w:pPr>
        <w:pStyle w:val="SingleTxt"/>
        <w:numPr>
          <w:ilvl w:val="0"/>
          <w:numId w:val="15"/>
        </w:numPr>
        <w:spacing w:line="240" w:lineRule="exact"/>
        <w:rPr>
          <w:szCs w:val="20"/>
          <w:lang w:val="fr-FR"/>
        </w:rPr>
      </w:pPr>
      <w:r w:rsidRPr="00A66C9F">
        <w:rPr>
          <w:lang w:val="fr-FR"/>
        </w:rPr>
        <w:t>Le tableau ci-dessous présente les créances sur des administrations fiscales au 31 décembre 2019 et au 31 décembre 2018 ainsi que les charges fiscales pour les années terminées le 31 décembre 2019 et le 31 décembre 2018, réparties par pays.</w:t>
      </w:r>
    </w:p>
    <w:p w14:paraId="36F72223" w14:textId="0F502AA8" w:rsidR="00381108" w:rsidRPr="00A66C9F" w:rsidRDefault="00381108" w:rsidP="00DB7521">
      <w:pPr>
        <w:pStyle w:val="SingleTxt"/>
        <w:tabs>
          <w:tab w:val="right" w:pos="1685"/>
        </w:tabs>
        <w:ind w:left="1742" w:hanging="475"/>
        <w:rPr>
          <w:lang w:val="fr-FR"/>
        </w:rPr>
      </w:pPr>
    </w:p>
    <w:p w14:paraId="118115B3" w14:textId="4CA83A0E" w:rsidR="00744544" w:rsidRPr="00A66C9F" w:rsidRDefault="00744544">
      <w:pPr>
        <w:spacing w:after="200" w:line="276" w:lineRule="auto"/>
        <w:rPr>
          <w:lang w:val="fr-FR"/>
        </w:rPr>
      </w:pPr>
      <w:r w:rsidRPr="00A66C9F">
        <w:rPr>
          <w:lang w:val="fr-FR"/>
        </w:rPr>
        <w:br w:type="page"/>
      </w:r>
    </w:p>
    <w:p w14:paraId="45606184" w14:textId="77777777" w:rsidR="00744544" w:rsidRPr="00A66C9F" w:rsidRDefault="00744544" w:rsidP="00DB7521">
      <w:pPr>
        <w:pStyle w:val="SingleTxt"/>
        <w:tabs>
          <w:tab w:val="right" w:pos="1685"/>
        </w:tabs>
        <w:ind w:left="1742" w:hanging="475"/>
        <w:rPr>
          <w:lang w:val="fr-FR"/>
        </w:rPr>
        <w:sectPr w:rsidR="00744544" w:rsidRPr="00A66C9F" w:rsidSect="00F423A2">
          <w:headerReference w:type="default" r:id="rId34"/>
          <w:type w:val="continuous"/>
          <w:pgSz w:w="12240" w:h="15840"/>
          <w:pgMar w:top="1440" w:right="1200" w:bottom="1152" w:left="1200" w:header="432" w:footer="504" w:gutter="0"/>
          <w:cols w:space="720"/>
          <w:noEndnote/>
          <w:docGrid w:linePitch="360"/>
        </w:sectPr>
      </w:pPr>
    </w:p>
    <w:p w14:paraId="40C70A5F" w14:textId="77777777" w:rsidR="00744544" w:rsidRPr="00A66C9F" w:rsidRDefault="00744544" w:rsidP="0074454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sz w:val="14"/>
          <w:szCs w:val="14"/>
          <w:lang w:val="fr-FR"/>
        </w:rPr>
        <w:lastRenderedPageBreak/>
        <w:t>(En milliers de dollars des États-Unis)</w:t>
      </w:r>
    </w:p>
    <w:p w14:paraId="2EE5ABFD" w14:textId="77777777" w:rsidR="00744544" w:rsidRPr="00A66C9F" w:rsidRDefault="00744544" w:rsidP="00744544">
      <w:pPr>
        <w:pStyle w:val="SingleTxt"/>
        <w:spacing w:after="0" w:line="100" w:lineRule="exact"/>
        <w:rPr>
          <w:sz w:val="10"/>
          <w:lang w:val="fr-FR"/>
        </w:rPr>
      </w:pPr>
    </w:p>
    <w:p w14:paraId="3C03DBB5" w14:textId="77777777" w:rsidR="00744544" w:rsidRPr="00A66C9F" w:rsidRDefault="00744544" w:rsidP="00744544">
      <w:pPr>
        <w:pStyle w:val="SingleTxt"/>
        <w:spacing w:after="0" w:line="100" w:lineRule="exact"/>
        <w:rPr>
          <w:sz w:val="10"/>
          <w:lang w:val="fr-FR"/>
        </w:rPr>
      </w:pPr>
    </w:p>
    <w:tbl>
      <w:tblPr>
        <w:tblW w:w="0" w:type="auto"/>
        <w:tblLayout w:type="fixed"/>
        <w:tblCellMar>
          <w:left w:w="0" w:type="dxa"/>
          <w:right w:w="0" w:type="dxa"/>
        </w:tblCellMar>
        <w:tblLook w:val="04A0" w:firstRow="1" w:lastRow="0" w:firstColumn="1" w:lastColumn="0" w:noHBand="0" w:noVBand="1"/>
      </w:tblPr>
      <w:tblGrid>
        <w:gridCol w:w="2520"/>
        <w:gridCol w:w="900"/>
        <w:gridCol w:w="630"/>
        <w:gridCol w:w="720"/>
        <w:gridCol w:w="90"/>
        <w:gridCol w:w="900"/>
        <w:gridCol w:w="990"/>
        <w:gridCol w:w="837"/>
        <w:gridCol w:w="90"/>
        <w:gridCol w:w="1053"/>
        <w:gridCol w:w="720"/>
        <w:gridCol w:w="873"/>
        <w:gridCol w:w="117"/>
        <w:gridCol w:w="900"/>
        <w:gridCol w:w="1080"/>
        <w:gridCol w:w="828"/>
      </w:tblGrid>
      <w:tr w:rsidR="00744544" w:rsidRPr="00A66C9F" w14:paraId="1AD871FD" w14:textId="77777777" w:rsidTr="00107D5D">
        <w:trPr>
          <w:tblHeader/>
        </w:trPr>
        <w:tc>
          <w:tcPr>
            <w:tcW w:w="2520" w:type="dxa"/>
            <w:tcBorders>
              <w:top w:val="single" w:sz="4" w:space="0" w:color="auto"/>
            </w:tcBorders>
            <w:shd w:val="clear" w:color="auto" w:fill="auto"/>
            <w:noWrap/>
            <w:vAlign w:val="center"/>
            <w:hideMark/>
          </w:tcPr>
          <w:p w14:paraId="7B107D93" w14:textId="77777777" w:rsidR="00744544" w:rsidRPr="00A66C9F" w:rsidRDefault="00744544" w:rsidP="00107D5D">
            <w:pPr>
              <w:suppressAutoHyphens/>
              <w:spacing w:before="81" w:after="81" w:line="140" w:lineRule="exact"/>
              <w:jc w:val="center"/>
              <w:rPr>
                <w:i/>
                <w:iCs/>
                <w:sz w:val="14"/>
                <w:szCs w:val="18"/>
                <w:lang w:val="fr-FR"/>
              </w:rPr>
            </w:pPr>
            <w:r w:rsidRPr="00A66C9F">
              <w:rPr>
                <w:i/>
                <w:iCs/>
                <w:sz w:val="14"/>
                <w:szCs w:val="18"/>
                <w:lang w:val="fr-FR"/>
              </w:rPr>
              <w:t> </w:t>
            </w:r>
          </w:p>
        </w:tc>
        <w:tc>
          <w:tcPr>
            <w:tcW w:w="2250" w:type="dxa"/>
            <w:gridSpan w:val="3"/>
            <w:tcBorders>
              <w:top w:val="single" w:sz="4" w:space="0" w:color="auto"/>
              <w:bottom w:val="single" w:sz="4" w:space="0" w:color="auto"/>
            </w:tcBorders>
            <w:shd w:val="clear" w:color="auto" w:fill="auto"/>
            <w:noWrap/>
            <w:vAlign w:val="center"/>
            <w:hideMark/>
          </w:tcPr>
          <w:p w14:paraId="42AE73E7" w14:textId="77777777" w:rsidR="00744544" w:rsidRPr="00A66C9F" w:rsidRDefault="00744544" w:rsidP="00107D5D">
            <w:pPr>
              <w:suppressAutoHyphens/>
              <w:spacing w:before="81" w:after="81" w:line="140" w:lineRule="exact"/>
              <w:jc w:val="center"/>
              <w:rPr>
                <w:i/>
                <w:iCs/>
                <w:sz w:val="14"/>
                <w:szCs w:val="18"/>
                <w:lang w:val="fr-FR"/>
              </w:rPr>
            </w:pPr>
            <w:r w:rsidRPr="00A66C9F">
              <w:rPr>
                <w:i/>
                <w:iCs/>
                <w:sz w:val="14"/>
                <w:lang w:val="fr-FR"/>
              </w:rPr>
              <w:t>Pour l’année 2019</w:t>
            </w:r>
          </w:p>
        </w:tc>
        <w:tc>
          <w:tcPr>
            <w:tcW w:w="90" w:type="dxa"/>
            <w:tcBorders>
              <w:top w:val="single" w:sz="4" w:space="0" w:color="auto"/>
            </w:tcBorders>
            <w:shd w:val="clear" w:color="auto" w:fill="auto"/>
            <w:noWrap/>
            <w:vAlign w:val="center"/>
            <w:hideMark/>
          </w:tcPr>
          <w:p w14:paraId="39A1365E" w14:textId="77777777" w:rsidR="00744544" w:rsidRPr="00A66C9F" w:rsidRDefault="00744544" w:rsidP="00107D5D">
            <w:pPr>
              <w:suppressAutoHyphens/>
              <w:spacing w:before="81" w:after="81" w:line="140" w:lineRule="exact"/>
              <w:jc w:val="right"/>
              <w:rPr>
                <w:i/>
                <w:iCs/>
                <w:sz w:val="14"/>
                <w:szCs w:val="18"/>
                <w:lang w:val="fr-FR"/>
              </w:rPr>
            </w:pPr>
            <w:r w:rsidRPr="00A66C9F">
              <w:rPr>
                <w:i/>
                <w:iCs/>
                <w:sz w:val="14"/>
                <w:szCs w:val="18"/>
                <w:lang w:val="fr-FR"/>
              </w:rPr>
              <w:t> </w:t>
            </w:r>
          </w:p>
        </w:tc>
        <w:tc>
          <w:tcPr>
            <w:tcW w:w="2727" w:type="dxa"/>
            <w:gridSpan w:val="3"/>
            <w:tcBorders>
              <w:top w:val="single" w:sz="4" w:space="0" w:color="auto"/>
              <w:bottom w:val="single" w:sz="4" w:space="0" w:color="auto"/>
            </w:tcBorders>
            <w:shd w:val="clear" w:color="auto" w:fill="auto"/>
            <w:noWrap/>
            <w:vAlign w:val="center"/>
            <w:hideMark/>
          </w:tcPr>
          <w:p w14:paraId="78AF78A1" w14:textId="77777777" w:rsidR="00744544" w:rsidRPr="00A66C9F" w:rsidRDefault="00744544" w:rsidP="00107D5D">
            <w:pPr>
              <w:suppressAutoHyphens/>
              <w:spacing w:before="81" w:after="81" w:line="140" w:lineRule="exact"/>
              <w:jc w:val="center"/>
              <w:rPr>
                <w:i/>
                <w:iCs/>
                <w:sz w:val="14"/>
                <w:szCs w:val="18"/>
                <w:lang w:val="fr-FR"/>
              </w:rPr>
            </w:pPr>
            <w:r w:rsidRPr="00A66C9F">
              <w:rPr>
                <w:i/>
                <w:iCs/>
                <w:sz w:val="14"/>
                <w:lang w:val="fr-FR"/>
              </w:rPr>
              <w:t>Au 31 décembre 2019</w:t>
            </w:r>
          </w:p>
        </w:tc>
        <w:tc>
          <w:tcPr>
            <w:tcW w:w="90" w:type="dxa"/>
            <w:tcBorders>
              <w:top w:val="single" w:sz="4" w:space="0" w:color="auto"/>
            </w:tcBorders>
            <w:shd w:val="clear" w:color="auto" w:fill="auto"/>
            <w:noWrap/>
            <w:vAlign w:val="center"/>
            <w:hideMark/>
          </w:tcPr>
          <w:p w14:paraId="7EB3B970" w14:textId="77777777" w:rsidR="00744544" w:rsidRPr="00A66C9F" w:rsidRDefault="00744544" w:rsidP="00107D5D">
            <w:pPr>
              <w:suppressAutoHyphens/>
              <w:spacing w:before="81" w:after="81" w:line="140" w:lineRule="exact"/>
              <w:jc w:val="right"/>
              <w:rPr>
                <w:i/>
                <w:iCs/>
                <w:sz w:val="14"/>
                <w:szCs w:val="18"/>
                <w:lang w:val="fr-FR"/>
              </w:rPr>
            </w:pPr>
            <w:r w:rsidRPr="00A66C9F">
              <w:rPr>
                <w:i/>
                <w:iCs/>
                <w:sz w:val="14"/>
                <w:szCs w:val="18"/>
                <w:lang w:val="fr-FR"/>
              </w:rPr>
              <w:t> </w:t>
            </w:r>
          </w:p>
        </w:tc>
        <w:tc>
          <w:tcPr>
            <w:tcW w:w="2646" w:type="dxa"/>
            <w:gridSpan w:val="3"/>
            <w:tcBorders>
              <w:top w:val="single" w:sz="4" w:space="0" w:color="auto"/>
              <w:bottom w:val="single" w:sz="4" w:space="0" w:color="auto"/>
            </w:tcBorders>
            <w:shd w:val="clear" w:color="auto" w:fill="auto"/>
            <w:noWrap/>
            <w:vAlign w:val="center"/>
            <w:hideMark/>
          </w:tcPr>
          <w:p w14:paraId="4FDDEEC1" w14:textId="77777777" w:rsidR="00744544" w:rsidRPr="00A66C9F" w:rsidRDefault="00744544" w:rsidP="00107D5D">
            <w:pPr>
              <w:suppressAutoHyphens/>
              <w:spacing w:before="81" w:after="81" w:line="140" w:lineRule="exact"/>
              <w:jc w:val="center"/>
              <w:rPr>
                <w:i/>
                <w:iCs/>
                <w:sz w:val="14"/>
                <w:szCs w:val="18"/>
                <w:lang w:val="fr-FR"/>
              </w:rPr>
            </w:pPr>
            <w:r w:rsidRPr="00A66C9F">
              <w:rPr>
                <w:i/>
                <w:iCs/>
                <w:sz w:val="14"/>
                <w:lang w:val="fr-FR"/>
              </w:rPr>
              <w:t>Pour l’année 2018</w:t>
            </w:r>
          </w:p>
        </w:tc>
        <w:tc>
          <w:tcPr>
            <w:tcW w:w="117" w:type="dxa"/>
            <w:tcBorders>
              <w:top w:val="single" w:sz="4" w:space="0" w:color="auto"/>
            </w:tcBorders>
            <w:shd w:val="clear" w:color="auto" w:fill="auto"/>
            <w:noWrap/>
            <w:vAlign w:val="center"/>
            <w:hideMark/>
          </w:tcPr>
          <w:p w14:paraId="101D3FB4" w14:textId="77777777" w:rsidR="00744544" w:rsidRPr="00A66C9F" w:rsidRDefault="00744544" w:rsidP="00107D5D">
            <w:pPr>
              <w:suppressAutoHyphens/>
              <w:spacing w:before="81" w:after="81" w:line="140" w:lineRule="exact"/>
              <w:jc w:val="center"/>
              <w:rPr>
                <w:i/>
                <w:iCs/>
                <w:sz w:val="14"/>
                <w:szCs w:val="18"/>
                <w:lang w:val="fr-FR"/>
              </w:rPr>
            </w:pPr>
          </w:p>
        </w:tc>
        <w:tc>
          <w:tcPr>
            <w:tcW w:w="2808" w:type="dxa"/>
            <w:gridSpan w:val="3"/>
            <w:tcBorders>
              <w:top w:val="single" w:sz="4" w:space="0" w:color="auto"/>
              <w:bottom w:val="single" w:sz="4" w:space="0" w:color="auto"/>
            </w:tcBorders>
            <w:shd w:val="clear" w:color="auto" w:fill="auto"/>
            <w:noWrap/>
            <w:vAlign w:val="center"/>
            <w:hideMark/>
          </w:tcPr>
          <w:p w14:paraId="4D218AD8" w14:textId="77777777" w:rsidR="00744544" w:rsidRPr="00A66C9F" w:rsidRDefault="00744544" w:rsidP="00107D5D">
            <w:pPr>
              <w:suppressAutoHyphens/>
              <w:spacing w:before="81" w:after="81" w:line="140" w:lineRule="exact"/>
              <w:jc w:val="center"/>
              <w:rPr>
                <w:i/>
                <w:iCs/>
                <w:sz w:val="14"/>
                <w:szCs w:val="18"/>
                <w:lang w:val="fr-FR"/>
              </w:rPr>
            </w:pPr>
            <w:r w:rsidRPr="00A66C9F">
              <w:rPr>
                <w:i/>
                <w:iCs/>
                <w:sz w:val="14"/>
                <w:lang w:val="fr-FR"/>
              </w:rPr>
              <w:t>Au 31 décembre 2018</w:t>
            </w:r>
          </w:p>
        </w:tc>
      </w:tr>
      <w:tr w:rsidR="00744544" w:rsidRPr="00A66C9F" w14:paraId="3DE8BF29" w14:textId="77777777" w:rsidTr="00107D5D">
        <w:trPr>
          <w:tblHeader/>
        </w:trPr>
        <w:tc>
          <w:tcPr>
            <w:tcW w:w="2520" w:type="dxa"/>
            <w:tcBorders>
              <w:bottom w:val="single" w:sz="12" w:space="0" w:color="auto"/>
            </w:tcBorders>
            <w:shd w:val="clear" w:color="auto" w:fill="auto"/>
            <w:noWrap/>
            <w:vAlign w:val="bottom"/>
            <w:hideMark/>
          </w:tcPr>
          <w:p w14:paraId="7C99B180" w14:textId="77777777" w:rsidR="00744544" w:rsidRPr="00A66C9F" w:rsidRDefault="00744544" w:rsidP="00107D5D">
            <w:pPr>
              <w:suppressAutoHyphens/>
              <w:spacing w:before="81" w:after="81" w:line="140" w:lineRule="exact"/>
              <w:rPr>
                <w:i/>
                <w:iCs/>
                <w:sz w:val="14"/>
                <w:szCs w:val="17"/>
                <w:lang w:val="fr-FR"/>
              </w:rPr>
            </w:pPr>
            <w:r w:rsidRPr="00A66C9F">
              <w:rPr>
                <w:i/>
                <w:iCs/>
                <w:sz w:val="14"/>
                <w:lang w:val="fr-FR"/>
              </w:rPr>
              <w:t>Pays</w:t>
            </w:r>
          </w:p>
        </w:tc>
        <w:tc>
          <w:tcPr>
            <w:tcW w:w="900" w:type="dxa"/>
            <w:tcBorders>
              <w:bottom w:val="single" w:sz="12" w:space="0" w:color="auto"/>
            </w:tcBorders>
            <w:shd w:val="clear" w:color="auto" w:fill="auto"/>
            <w:vAlign w:val="bottom"/>
            <w:hideMark/>
          </w:tcPr>
          <w:p w14:paraId="2F3B7D5A" w14:textId="77777777" w:rsidR="00744544" w:rsidRPr="00A66C9F" w:rsidRDefault="00744544" w:rsidP="00107D5D">
            <w:pPr>
              <w:suppressAutoHyphens/>
              <w:spacing w:before="81" w:after="81" w:line="140" w:lineRule="exact"/>
              <w:ind w:right="43"/>
              <w:jc w:val="right"/>
              <w:rPr>
                <w:i/>
                <w:iCs/>
                <w:sz w:val="14"/>
                <w:szCs w:val="17"/>
                <w:lang w:val="fr-FR"/>
              </w:rPr>
            </w:pPr>
            <w:r w:rsidRPr="00A66C9F">
              <w:rPr>
                <w:i/>
                <w:iCs/>
                <w:sz w:val="14"/>
                <w:lang w:val="fr-FR"/>
              </w:rPr>
              <w:t xml:space="preserve">Impôt retenu </w:t>
            </w:r>
            <w:r w:rsidRPr="00A66C9F">
              <w:rPr>
                <w:i/>
                <w:iCs/>
                <w:sz w:val="14"/>
                <w:lang w:val="fr-FR"/>
              </w:rPr>
              <w:br/>
              <w:t>à la source</w:t>
            </w:r>
          </w:p>
        </w:tc>
        <w:tc>
          <w:tcPr>
            <w:tcW w:w="630" w:type="dxa"/>
            <w:tcBorders>
              <w:bottom w:val="single" w:sz="12" w:space="0" w:color="auto"/>
            </w:tcBorders>
            <w:shd w:val="clear" w:color="auto" w:fill="auto"/>
            <w:vAlign w:val="bottom"/>
            <w:hideMark/>
          </w:tcPr>
          <w:p w14:paraId="1844B74C" w14:textId="77777777" w:rsidR="00744544" w:rsidRPr="00A66C9F" w:rsidRDefault="00744544" w:rsidP="00107D5D">
            <w:pPr>
              <w:suppressAutoHyphens/>
              <w:spacing w:before="81" w:after="81" w:line="140" w:lineRule="exact"/>
              <w:ind w:right="43"/>
              <w:jc w:val="right"/>
              <w:rPr>
                <w:i/>
                <w:iCs/>
                <w:sz w:val="14"/>
                <w:szCs w:val="17"/>
                <w:lang w:val="fr-FR"/>
              </w:rPr>
            </w:pPr>
            <w:r w:rsidRPr="00A66C9F">
              <w:rPr>
                <w:i/>
                <w:iCs/>
                <w:sz w:val="14"/>
                <w:lang w:val="fr-FR"/>
              </w:rPr>
              <w:t>Impôt reversé</w:t>
            </w:r>
            <w:r w:rsidRPr="00A66C9F">
              <w:rPr>
                <w:i/>
                <w:sz w:val="14"/>
                <w:lang w:val="fr-FR"/>
              </w:rPr>
              <w:t xml:space="preserve"> </w:t>
            </w:r>
          </w:p>
        </w:tc>
        <w:tc>
          <w:tcPr>
            <w:tcW w:w="720" w:type="dxa"/>
            <w:tcBorders>
              <w:bottom w:val="single" w:sz="12" w:space="0" w:color="auto"/>
            </w:tcBorders>
            <w:shd w:val="clear" w:color="auto" w:fill="auto"/>
            <w:vAlign w:val="bottom"/>
            <w:hideMark/>
          </w:tcPr>
          <w:p w14:paraId="1F388AAB" w14:textId="77777777" w:rsidR="00744544" w:rsidRPr="00A66C9F" w:rsidRDefault="00744544" w:rsidP="00107D5D">
            <w:pPr>
              <w:suppressAutoHyphens/>
              <w:spacing w:before="81" w:after="81" w:line="140" w:lineRule="exact"/>
              <w:ind w:right="43"/>
              <w:jc w:val="right"/>
              <w:rPr>
                <w:i/>
                <w:iCs/>
                <w:sz w:val="14"/>
                <w:szCs w:val="17"/>
                <w:lang w:val="fr-FR"/>
              </w:rPr>
            </w:pPr>
            <w:r w:rsidRPr="00A66C9F">
              <w:rPr>
                <w:i/>
                <w:iCs/>
                <w:sz w:val="14"/>
                <w:lang w:val="fr-FR"/>
              </w:rPr>
              <w:t xml:space="preserve">Charges </w:t>
            </w:r>
            <w:r w:rsidRPr="00A66C9F">
              <w:rPr>
                <w:i/>
                <w:iCs/>
                <w:sz w:val="14"/>
                <w:lang w:val="fr-FR"/>
              </w:rPr>
              <w:br/>
              <w:t>fiscales</w:t>
            </w:r>
          </w:p>
        </w:tc>
        <w:tc>
          <w:tcPr>
            <w:tcW w:w="90" w:type="dxa"/>
            <w:tcBorders>
              <w:bottom w:val="single" w:sz="12" w:space="0" w:color="auto"/>
            </w:tcBorders>
            <w:shd w:val="clear" w:color="auto" w:fill="auto"/>
            <w:vAlign w:val="bottom"/>
            <w:hideMark/>
          </w:tcPr>
          <w:p w14:paraId="572C9477" w14:textId="77777777" w:rsidR="00744544" w:rsidRPr="00A66C9F" w:rsidRDefault="00744544" w:rsidP="00107D5D">
            <w:pPr>
              <w:suppressAutoHyphens/>
              <w:spacing w:before="81" w:after="81" w:line="160" w:lineRule="exact"/>
              <w:jc w:val="right"/>
              <w:rPr>
                <w:i/>
                <w:iCs/>
                <w:sz w:val="14"/>
                <w:szCs w:val="17"/>
                <w:lang w:val="fr-FR"/>
              </w:rPr>
            </w:pPr>
            <w:r w:rsidRPr="00A66C9F">
              <w:rPr>
                <w:i/>
                <w:iCs/>
                <w:sz w:val="14"/>
                <w:szCs w:val="17"/>
                <w:lang w:val="fr-FR"/>
              </w:rPr>
              <w:t> </w:t>
            </w:r>
          </w:p>
        </w:tc>
        <w:tc>
          <w:tcPr>
            <w:tcW w:w="900" w:type="dxa"/>
            <w:tcBorders>
              <w:top w:val="single" w:sz="4" w:space="0" w:color="auto"/>
              <w:bottom w:val="single" w:sz="12" w:space="0" w:color="auto"/>
            </w:tcBorders>
            <w:shd w:val="clear" w:color="auto" w:fill="auto"/>
            <w:vAlign w:val="bottom"/>
            <w:hideMark/>
          </w:tcPr>
          <w:p w14:paraId="64488AF8" w14:textId="77777777" w:rsidR="00744544" w:rsidRPr="00A66C9F" w:rsidRDefault="00744544" w:rsidP="00107D5D">
            <w:pPr>
              <w:suppressAutoHyphens/>
              <w:spacing w:before="81" w:after="81" w:line="140" w:lineRule="exact"/>
              <w:ind w:right="43"/>
              <w:jc w:val="right"/>
              <w:rPr>
                <w:i/>
                <w:iCs/>
                <w:sz w:val="14"/>
                <w:szCs w:val="17"/>
                <w:lang w:val="fr-FR"/>
              </w:rPr>
            </w:pPr>
            <w:r w:rsidRPr="00A66C9F">
              <w:rPr>
                <w:i/>
                <w:iCs/>
                <w:sz w:val="14"/>
                <w:lang w:val="fr-FR"/>
              </w:rPr>
              <w:t xml:space="preserve">Montant </w:t>
            </w:r>
            <w:r w:rsidRPr="00A66C9F">
              <w:rPr>
                <w:i/>
                <w:iCs/>
                <w:sz w:val="14"/>
                <w:lang w:val="fr-FR"/>
              </w:rPr>
              <w:br/>
              <w:t>à recouvrer</w:t>
            </w:r>
            <w:r w:rsidRPr="00A66C9F">
              <w:rPr>
                <w:i/>
                <w:sz w:val="14"/>
                <w:lang w:val="fr-FR"/>
              </w:rPr>
              <w:t xml:space="preserve"> </w:t>
            </w:r>
          </w:p>
        </w:tc>
        <w:tc>
          <w:tcPr>
            <w:tcW w:w="990" w:type="dxa"/>
            <w:tcBorders>
              <w:top w:val="single" w:sz="4" w:space="0" w:color="auto"/>
              <w:bottom w:val="single" w:sz="12" w:space="0" w:color="auto"/>
            </w:tcBorders>
            <w:shd w:val="clear" w:color="auto" w:fill="auto"/>
            <w:vAlign w:val="bottom"/>
            <w:hideMark/>
          </w:tcPr>
          <w:p w14:paraId="4E0841F5" w14:textId="77777777" w:rsidR="00744544" w:rsidRPr="00A66C9F" w:rsidRDefault="00744544" w:rsidP="00107D5D">
            <w:pPr>
              <w:suppressAutoHyphens/>
              <w:spacing w:before="81" w:after="81" w:line="140" w:lineRule="exact"/>
              <w:jc w:val="right"/>
              <w:rPr>
                <w:i/>
                <w:iCs/>
                <w:spacing w:val="-2"/>
                <w:sz w:val="14"/>
                <w:szCs w:val="17"/>
                <w:lang w:val="fr-FR"/>
              </w:rPr>
            </w:pPr>
            <w:r w:rsidRPr="00A66C9F">
              <w:rPr>
                <w:i/>
                <w:iCs/>
                <w:sz w:val="14"/>
                <w:lang w:val="fr-FR"/>
              </w:rPr>
              <w:t>Montant jugé irrécouvrable</w:t>
            </w:r>
            <w:r w:rsidRPr="00A66C9F">
              <w:rPr>
                <w:i/>
                <w:spacing w:val="-2"/>
                <w:sz w:val="14"/>
                <w:lang w:val="fr-FR"/>
              </w:rPr>
              <w:t xml:space="preserve"> </w:t>
            </w:r>
          </w:p>
        </w:tc>
        <w:tc>
          <w:tcPr>
            <w:tcW w:w="837" w:type="dxa"/>
            <w:tcBorders>
              <w:top w:val="single" w:sz="4" w:space="0" w:color="auto"/>
              <w:bottom w:val="single" w:sz="12" w:space="0" w:color="auto"/>
            </w:tcBorders>
            <w:shd w:val="clear" w:color="auto" w:fill="auto"/>
            <w:vAlign w:val="bottom"/>
            <w:hideMark/>
          </w:tcPr>
          <w:p w14:paraId="2DD72321" w14:textId="77777777" w:rsidR="00744544" w:rsidRPr="00A66C9F" w:rsidRDefault="00744544" w:rsidP="00107D5D">
            <w:pPr>
              <w:suppressAutoHyphens/>
              <w:spacing w:before="81" w:after="81" w:line="140" w:lineRule="exact"/>
              <w:ind w:right="43"/>
              <w:jc w:val="right"/>
              <w:rPr>
                <w:i/>
                <w:iCs/>
                <w:sz w:val="14"/>
                <w:szCs w:val="17"/>
                <w:lang w:val="fr-FR"/>
              </w:rPr>
            </w:pPr>
            <w:r w:rsidRPr="00A66C9F">
              <w:rPr>
                <w:i/>
                <w:iCs/>
                <w:sz w:val="14"/>
                <w:lang w:val="fr-FR"/>
              </w:rPr>
              <w:t xml:space="preserve">Créances </w:t>
            </w:r>
            <w:r w:rsidRPr="00A66C9F">
              <w:rPr>
                <w:i/>
                <w:iCs/>
                <w:sz w:val="14"/>
                <w:lang w:val="fr-FR"/>
              </w:rPr>
              <w:br/>
              <w:t>fiscales</w:t>
            </w:r>
          </w:p>
        </w:tc>
        <w:tc>
          <w:tcPr>
            <w:tcW w:w="90" w:type="dxa"/>
            <w:tcBorders>
              <w:bottom w:val="single" w:sz="12" w:space="0" w:color="auto"/>
            </w:tcBorders>
            <w:shd w:val="clear" w:color="auto" w:fill="auto"/>
            <w:vAlign w:val="bottom"/>
            <w:hideMark/>
          </w:tcPr>
          <w:p w14:paraId="316B7BA3" w14:textId="77777777" w:rsidR="00744544" w:rsidRPr="00A66C9F" w:rsidRDefault="00744544" w:rsidP="00107D5D">
            <w:pPr>
              <w:suppressAutoHyphens/>
              <w:spacing w:before="81" w:after="81" w:line="160" w:lineRule="exact"/>
              <w:jc w:val="right"/>
              <w:rPr>
                <w:i/>
                <w:iCs/>
                <w:sz w:val="14"/>
                <w:szCs w:val="17"/>
                <w:lang w:val="fr-FR"/>
              </w:rPr>
            </w:pPr>
            <w:r w:rsidRPr="00A66C9F">
              <w:rPr>
                <w:i/>
                <w:iCs/>
                <w:sz w:val="14"/>
                <w:szCs w:val="17"/>
                <w:lang w:val="fr-FR"/>
              </w:rPr>
              <w:t> </w:t>
            </w:r>
          </w:p>
        </w:tc>
        <w:tc>
          <w:tcPr>
            <w:tcW w:w="1053" w:type="dxa"/>
            <w:tcBorders>
              <w:top w:val="single" w:sz="4" w:space="0" w:color="auto"/>
              <w:bottom w:val="single" w:sz="12" w:space="0" w:color="auto"/>
            </w:tcBorders>
            <w:shd w:val="clear" w:color="auto" w:fill="auto"/>
            <w:vAlign w:val="bottom"/>
            <w:hideMark/>
          </w:tcPr>
          <w:p w14:paraId="0372DD1B" w14:textId="77777777" w:rsidR="00744544" w:rsidRPr="00A66C9F" w:rsidRDefault="00744544" w:rsidP="00107D5D">
            <w:pPr>
              <w:suppressAutoHyphens/>
              <w:spacing w:before="81" w:after="81" w:line="140" w:lineRule="exact"/>
              <w:ind w:right="43"/>
              <w:jc w:val="right"/>
              <w:rPr>
                <w:i/>
                <w:iCs/>
                <w:sz w:val="14"/>
                <w:szCs w:val="17"/>
                <w:lang w:val="fr-FR"/>
              </w:rPr>
            </w:pPr>
            <w:r w:rsidRPr="00A66C9F">
              <w:rPr>
                <w:i/>
                <w:iCs/>
                <w:sz w:val="14"/>
                <w:lang w:val="fr-FR"/>
              </w:rPr>
              <w:t>Impôt retenu</w:t>
            </w:r>
            <w:r w:rsidRPr="00A66C9F">
              <w:rPr>
                <w:i/>
                <w:iCs/>
                <w:sz w:val="14"/>
                <w:lang w:val="fr-FR"/>
              </w:rPr>
              <w:br/>
              <w:t xml:space="preserve"> à la source</w:t>
            </w:r>
          </w:p>
        </w:tc>
        <w:tc>
          <w:tcPr>
            <w:tcW w:w="720" w:type="dxa"/>
            <w:tcBorders>
              <w:top w:val="single" w:sz="4" w:space="0" w:color="auto"/>
              <w:bottom w:val="single" w:sz="12" w:space="0" w:color="auto"/>
            </w:tcBorders>
            <w:shd w:val="clear" w:color="auto" w:fill="auto"/>
            <w:vAlign w:val="bottom"/>
            <w:hideMark/>
          </w:tcPr>
          <w:p w14:paraId="689913D2" w14:textId="77777777" w:rsidR="00744544" w:rsidRPr="00A66C9F" w:rsidRDefault="00744544" w:rsidP="00107D5D">
            <w:pPr>
              <w:suppressAutoHyphens/>
              <w:spacing w:before="81" w:after="81" w:line="140" w:lineRule="exact"/>
              <w:ind w:right="43"/>
              <w:jc w:val="right"/>
              <w:rPr>
                <w:i/>
                <w:iCs/>
                <w:sz w:val="14"/>
                <w:szCs w:val="17"/>
                <w:lang w:val="fr-FR"/>
              </w:rPr>
            </w:pPr>
            <w:r w:rsidRPr="00A66C9F">
              <w:rPr>
                <w:i/>
                <w:iCs/>
                <w:sz w:val="14"/>
                <w:lang w:val="fr-FR"/>
              </w:rPr>
              <w:t>Impôt reversé</w:t>
            </w:r>
            <w:r w:rsidRPr="00A66C9F">
              <w:rPr>
                <w:i/>
                <w:sz w:val="14"/>
                <w:lang w:val="fr-FR"/>
              </w:rPr>
              <w:t xml:space="preserve"> </w:t>
            </w:r>
          </w:p>
        </w:tc>
        <w:tc>
          <w:tcPr>
            <w:tcW w:w="873" w:type="dxa"/>
            <w:tcBorders>
              <w:top w:val="single" w:sz="4" w:space="0" w:color="auto"/>
              <w:bottom w:val="single" w:sz="12" w:space="0" w:color="auto"/>
            </w:tcBorders>
            <w:shd w:val="clear" w:color="auto" w:fill="auto"/>
            <w:vAlign w:val="bottom"/>
            <w:hideMark/>
          </w:tcPr>
          <w:p w14:paraId="539A5646" w14:textId="77777777" w:rsidR="00744544" w:rsidRPr="00A66C9F" w:rsidRDefault="00744544" w:rsidP="00107D5D">
            <w:pPr>
              <w:suppressAutoHyphens/>
              <w:spacing w:before="81" w:after="81" w:line="140" w:lineRule="exact"/>
              <w:ind w:right="43"/>
              <w:jc w:val="right"/>
              <w:rPr>
                <w:i/>
                <w:iCs/>
                <w:sz w:val="14"/>
                <w:szCs w:val="17"/>
                <w:lang w:val="fr-FR"/>
              </w:rPr>
            </w:pPr>
            <w:r w:rsidRPr="00A66C9F">
              <w:rPr>
                <w:i/>
                <w:iCs/>
                <w:sz w:val="14"/>
                <w:lang w:val="fr-FR"/>
              </w:rPr>
              <w:t xml:space="preserve">Charges </w:t>
            </w:r>
            <w:r w:rsidRPr="00A66C9F">
              <w:rPr>
                <w:i/>
                <w:iCs/>
                <w:sz w:val="14"/>
                <w:lang w:val="fr-FR"/>
              </w:rPr>
              <w:br/>
              <w:t>fiscales</w:t>
            </w:r>
          </w:p>
        </w:tc>
        <w:tc>
          <w:tcPr>
            <w:tcW w:w="117" w:type="dxa"/>
            <w:tcBorders>
              <w:bottom w:val="single" w:sz="12" w:space="0" w:color="auto"/>
            </w:tcBorders>
            <w:shd w:val="clear" w:color="auto" w:fill="auto"/>
            <w:vAlign w:val="bottom"/>
            <w:hideMark/>
          </w:tcPr>
          <w:p w14:paraId="62ECA65A" w14:textId="77777777" w:rsidR="00744544" w:rsidRPr="00A66C9F" w:rsidRDefault="00744544" w:rsidP="00107D5D">
            <w:pPr>
              <w:suppressAutoHyphens/>
              <w:spacing w:before="81"/>
              <w:jc w:val="right"/>
              <w:rPr>
                <w:i/>
                <w:iCs/>
                <w:sz w:val="2"/>
                <w:szCs w:val="17"/>
                <w:lang w:val="fr-FR"/>
              </w:rPr>
            </w:pPr>
            <w:r w:rsidRPr="00A66C9F">
              <w:rPr>
                <w:i/>
                <w:iCs/>
                <w:sz w:val="2"/>
                <w:szCs w:val="17"/>
                <w:lang w:val="fr-FR"/>
              </w:rPr>
              <w:t> </w:t>
            </w:r>
          </w:p>
        </w:tc>
        <w:tc>
          <w:tcPr>
            <w:tcW w:w="900" w:type="dxa"/>
            <w:tcBorders>
              <w:bottom w:val="single" w:sz="12" w:space="0" w:color="auto"/>
            </w:tcBorders>
            <w:shd w:val="clear" w:color="auto" w:fill="auto"/>
            <w:vAlign w:val="bottom"/>
            <w:hideMark/>
          </w:tcPr>
          <w:p w14:paraId="2BB6AC41" w14:textId="77777777" w:rsidR="00744544" w:rsidRPr="00A66C9F" w:rsidRDefault="00744544" w:rsidP="00107D5D">
            <w:pPr>
              <w:suppressAutoHyphens/>
              <w:spacing w:before="81" w:after="81" w:line="140" w:lineRule="exact"/>
              <w:ind w:right="43"/>
              <w:jc w:val="right"/>
              <w:rPr>
                <w:i/>
                <w:iCs/>
                <w:sz w:val="14"/>
                <w:szCs w:val="17"/>
                <w:lang w:val="fr-FR"/>
              </w:rPr>
            </w:pPr>
            <w:r w:rsidRPr="00A66C9F">
              <w:rPr>
                <w:i/>
                <w:iCs/>
                <w:sz w:val="14"/>
                <w:lang w:val="fr-FR"/>
              </w:rPr>
              <w:t xml:space="preserve">Montant </w:t>
            </w:r>
            <w:r w:rsidRPr="00A66C9F">
              <w:rPr>
                <w:i/>
                <w:iCs/>
                <w:sz w:val="14"/>
                <w:lang w:val="fr-FR"/>
              </w:rPr>
              <w:br/>
              <w:t>à recouvrer</w:t>
            </w:r>
            <w:r w:rsidRPr="00A66C9F">
              <w:rPr>
                <w:i/>
                <w:sz w:val="14"/>
                <w:lang w:val="fr-FR"/>
              </w:rPr>
              <w:t xml:space="preserve"> </w:t>
            </w:r>
          </w:p>
        </w:tc>
        <w:tc>
          <w:tcPr>
            <w:tcW w:w="1080" w:type="dxa"/>
            <w:tcBorders>
              <w:bottom w:val="single" w:sz="12" w:space="0" w:color="auto"/>
            </w:tcBorders>
            <w:shd w:val="clear" w:color="auto" w:fill="auto"/>
            <w:vAlign w:val="bottom"/>
            <w:hideMark/>
          </w:tcPr>
          <w:p w14:paraId="19FB0020" w14:textId="77777777" w:rsidR="00744544" w:rsidRPr="00A66C9F" w:rsidRDefault="00744544" w:rsidP="00107D5D">
            <w:pPr>
              <w:suppressAutoHyphens/>
              <w:spacing w:before="81" w:after="81" w:line="140" w:lineRule="exact"/>
              <w:ind w:right="43"/>
              <w:jc w:val="right"/>
              <w:rPr>
                <w:i/>
                <w:iCs/>
                <w:sz w:val="14"/>
                <w:szCs w:val="17"/>
                <w:lang w:val="fr-FR"/>
              </w:rPr>
            </w:pPr>
            <w:r w:rsidRPr="00A66C9F">
              <w:rPr>
                <w:i/>
                <w:iCs/>
                <w:sz w:val="14"/>
                <w:lang w:val="fr-FR"/>
              </w:rPr>
              <w:t>Montant jugé irrécouvrable</w:t>
            </w:r>
            <w:r w:rsidRPr="00A66C9F">
              <w:rPr>
                <w:i/>
                <w:sz w:val="14"/>
                <w:lang w:val="fr-FR"/>
              </w:rPr>
              <w:t xml:space="preserve"> </w:t>
            </w:r>
          </w:p>
        </w:tc>
        <w:tc>
          <w:tcPr>
            <w:tcW w:w="828" w:type="dxa"/>
            <w:tcBorders>
              <w:bottom w:val="single" w:sz="12" w:space="0" w:color="auto"/>
            </w:tcBorders>
            <w:shd w:val="clear" w:color="auto" w:fill="auto"/>
            <w:vAlign w:val="bottom"/>
            <w:hideMark/>
          </w:tcPr>
          <w:p w14:paraId="4D407C2E" w14:textId="77777777" w:rsidR="00744544" w:rsidRPr="00A66C9F" w:rsidRDefault="00744544" w:rsidP="00107D5D">
            <w:pPr>
              <w:suppressAutoHyphens/>
              <w:spacing w:before="81" w:after="81" w:line="140" w:lineRule="exact"/>
              <w:ind w:right="43"/>
              <w:jc w:val="right"/>
              <w:rPr>
                <w:i/>
                <w:iCs/>
                <w:sz w:val="14"/>
                <w:szCs w:val="17"/>
                <w:lang w:val="fr-FR"/>
              </w:rPr>
            </w:pPr>
            <w:r w:rsidRPr="00A66C9F">
              <w:rPr>
                <w:i/>
                <w:iCs/>
                <w:sz w:val="14"/>
                <w:lang w:val="fr-FR"/>
              </w:rPr>
              <w:t xml:space="preserve">Créances </w:t>
            </w:r>
            <w:r w:rsidRPr="00A66C9F">
              <w:rPr>
                <w:i/>
                <w:iCs/>
                <w:sz w:val="14"/>
                <w:lang w:val="fr-FR"/>
              </w:rPr>
              <w:br/>
              <w:t>fiscales</w:t>
            </w:r>
          </w:p>
        </w:tc>
      </w:tr>
      <w:tr w:rsidR="00744544" w:rsidRPr="00A66C9F" w14:paraId="714BF219" w14:textId="77777777" w:rsidTr="00107D5D">
        <w:trPr>
          <w:trHeight w:hRule="exact" w:val="115"/>
          <w:tblHeader/>
        </w:trPr>
        <w:tc>
          <w:tcPr>
            <w:tcW w:w="2520" w:type="dxa"/>
            <w:tcBorders>
              <w:top w:val="single" w:sz="12" w:space="0" w:color="auto"/>
            </w:tcBorders>
            <w:shd w:val="clear" w:color="auto" w:fill="auto"/>
            <w:noWrap/>
            <w:vAlign w:val="center"/>
          </w:tcPr>
          <w:p w14:paraId="24FA688E" w14:textId="77777777" w:rsidR="00744544" w:rsidRPr="00A66C9F" w:rsidRDefault="00744544" w:rsidP="00107D5D">
            <w:pPr>
              <w:spacing w:before="40" w:after="40" w:line="210" w:lineRule="exact"/>
              <w:rPr>
                <w:sz w:val="17"/>
                <w:lang w:val="fr-FR"/>
              </w:rPr>
            </w:pPr>
          </w:p>
        </w:tc>
        <w:tc>
          <w:tcPr>
            <w:tcW w:w="900" w:type="dxa"/>
            <w:tcBorders>
              <w:top w:val="single" w:sz="12" w:space="0" w:color="auto"/>
            </w:tcBorders>
            <w:shd w:val="clear" w:color="auto" w:fill="auto"/>
            <w:noWrap/>
            <w:vAlign w:val="center"/>
          </w:tcPr>
          <w:p w14:paraId="3589CF33" w14:textId="77777777" w:rsidR="00744544" w:rsidRPr="00A66C9F" w:rsidRDefault="00744544" w:rsidP="00107D5D">
            <w:pPr>
              <w:spacing w:before="40" w:after="40" w:line="210" w:lineRule="exact"/>
              <w:jc w:val="right"/>
              <w:rPr>
                <w:sz w:val="17"/>
                <w:lang w:val="fr-FR"/>
              </w:rPr>
            </w:pPr>
          </w:p>
        </w:tc>
        <w:tc>
          <w:tcPr>
            <w:tcW w:w="630" w:type="dxa"/>
            <w:tcBorders>
              <w:top w:val="single" w:sz="12" w:space="0" w:color="auto"/>
            </w:tcBorders>
            <w:shd w:val="clear" w:color="auto" w:fill="auto"/>
            <w:noWrap/>
            <w:vAlign w:val="center"/>
          </w:tcPr>
          <w:p w14:paraId="02DEB98A" w14:textId="77777777" w:rsidR="00744544" w:rsidRPr="00A66C9F" w:rsidRDefault="00744544" w:rsidP="00107D5D">
            <w:pPr>
              <w:spacing w:before="40" w:after="40" w:line="210" w:lineRule="exact"/>
              <w:jc w:val="right"/>
              <w:rPr>
                <w:sz w:val="17"/>
                <w:szCs w:val="17"/>
                <w:lang w:val="fr-FR"/>
              </w:rPr>
            </w:pPr>
          </w:p>
        </w:tc>
        <w:tc>
          <w:tcPr>
            <w:tcW w:w="720" w:type="dxa"/>
            <w:tcBorders>
              <w:top w:val="single" w:sz="12" w:space="0" w:color="auto"/>
            </w:tcBorders>
            <w:shd w:val="clear" w:color="auto" w:fill="auto"/>
            <w:noWrap/>
            <w:vAlign w:val="center"/>
          </w:tcPr>
          <w:p w14:paraId="358086BA" w14:textId="77777777" w:rsidR="00744544" w:rsidRPr="00A66C9F" w:rsidRDefault="00744544" w:rsidP="00107D5D">
            <w:pPr>
              <w:spacing w:before="40" w:after="40" w:line="210" w:lineRule="exact"/>
              <w:jc w:val="right"/>
              <w:rPr>
                <w:sz w:val="17"/>
                <w:lang w:val="fr-FR"/>
              </w:rPr>
            </w:pPr>
          </w:p>
        </w:tc>
        <w:tc>
          <w:tcPr>
            <w:tcW w:w="90" w:type="dxa"/>
            <w:tcBorders>
              <w:top w:val="single" w:sz="12" w:space="0" w:color="auto"/>
            </w:tcBorders>
            <w:shd w:val="clear" w:color="auto" w:fill="auto"/>
            <w:noWrap/>
            <w:vAlign w:val="center"/>
          </w:tcPr>
          <w:p w14:paraId="1EBD4BC4" w14:textId="77777777" w:rsidR="00744544" w:rsidRPr="00A66C9F" w:rsidRDefault="00744544" w:rsidP="00107D5D">
            <w:pPr>
              <w:spacing w:before="40" w:after="40" w:line="210" w:lineRule="exact"/>
              <w:jc w:val="right"/>
              <w:rPr>
                <w:sz w:val="17"/>
                <w:szCs w:val="17"/>
                <w:lang w:val="fr-FR"/>
              </w:rPr>
            </w:pPr>
          </w:p>
        </w:tc>
        <w:tc>
          <w:tcPr>
            <w:tcW w:w="900" w:type="dxa"/>
            <w:tcBorders>
              <w:top w:val="single" w:sz="12" w:space="0" w:color="auto"/>
            </w:tcBorders>
            <w:shd w:val="clear" w:color="auto" w:fill="auto"/>
            <w:noWrap/>
            <w:vAlign w:val="center"/>
          </w:tcPr>
          <w:p w14:paraId="5F105F8A" w14:textId="77777777" w:rsidR="00744544" w:rsidRPr="00A66C9F" w:rsidRDefault="00744544" w:rsidP="00107D5D">
            <w:pPr>
              <w:spacing w:before="40" w:after="40" w:line="210" w:lineRule="exact"/>
              <w:jc w:val="right"/>
              <w:rPr>
                <w:sz w:val="17"/>
                <w:lang w:val="fr-FR"/>
              </w:rPr>
            </w:pPr>
          </w:p>
        </w:tc>
        <w:tc>
          <w:tcPr>
            <w:tcW w:w="990" w:type="dxa"/>
            <w:tcBorders>
              <w:top w:val="single" w:sz="12" w:space="0" w:color="auto"/>
            </w:tcBorders>
            <w:shd w:val="clear" w:color="auto" w:fill="auto"/>
            <w:noWrap/>
            <w:vAlign w:val="center"/>
          </w:tcPr>
          <w:p w14:paraId="122E19F6" w14:textId="77777777" w:rsidR="00744544" w:rsidRPr="00A66C9F" w:rsidRDefault="00744544" w:rsidP="00107D5D">
            <w:pPr>
              <w:spacing w:before="40" w:after="40" w:line="210" w:lineRule="exact"/>
              <w:jc w:val="right"/>
              <w:rPr>
                <w:sz w:val="17"/>
                <w:szCs w:val="17"/>
                <w:lang w:val="fr-FR"/>
              </w:rPr>
            </w:pPr>
          </w:p>
        </w:tc>
        <w:tc>
          <w:tcPr>
            <w:tcW w:w="837" w:type="dxa"/>
            <w:tcBorders>
              <w:top w:val="single" w:sz="12" w:space="0" w:color="auto"/>
            </w:tcBorders>
            <w:shd w:val="clear" w:color="auto" w:fill="auto"/>
            <w:noWrap/>
            <w:vAlign w:val="center"/>
          </w:tcPr>
          <w:p w14:paraId="0DA6AA44" w14:textId="77777777" w:rsidR="00744544" w:rsidRPr="00A66C9F" w:rsidRDefault="00744544" w:rsidP="00107D5D">
            <w:pPr>
              <w:spacing w:before="40" w:after="40" w:line="210" w:lineRule="exact"/>
              <w:jc w:val="right"/>
              <w:rPr>
                <w:sz w:val="17"/>
                <w:lang w:val="fr-FR"/>
              </w:rPr>
            </w:pPr>
          </w:p>
        </w:tc>
        <w:tc>
          <w:tcPr>
            <w:tcW w:w="90" w:type="dxa"/>
            <w:tcBorders>
              <w:top w:val="single" w:sz="12" w:space="0" w:color="auto"/>
            </w:tcBorders>
            <w:shd w:val="clear" w:color="auto" w:fill="auto"/>
            <w:noWrap/>
            <w:vAlign w:val="center"/>
          </w:tcPr>
          <w:p w14:paraId="4DDEB983" w14:textId="77777777" w:rsidR="00744544" w:rsidRPr="00A66C9F" w:rsidRDefault="00744544" w:rsidP="00107D5D">
            <w:pPr>
              <w:spacing w:before="40" w:after="40" w:line="210" w:lineRule="exact"/>
              <w:jc w:val="right"/>
              <w:rPr>
                <w:sz w:val="17"/>
                <w:szCs w:val="17"/>
                <w:lang w:val="fr-FR"/>
              </w:rPr>
            </w:pPr>
          </w:p>
        </w:tc>
        <w:tc>
          <w:tcPr>
            <w:tcW w:w="1053" w:type="dxa"/>
            <w:tcBorders>
              <w:top w:val="single" w:sz="12" w:space="0" w:color="auto"/>
            </w:tcBorders>
            <w:shd w:val="clear" w:color="auto" w:fill="auto"/>
            <w:noWrap/>
            <w:vAlign w:val="center"/>
          </w:tcPr>
          <w:p w14:paraId="747FA304" w14:textId="77777777" w:rsidR="00744544" w:rsidRPr="00A66C9F" w:rsidRDefault="00744544" w:rsidP="00107D5D">
            <w:pPr>
              <w:spacing w:before="40" w:after="40" w:line="210" w:lineRule="exact"/>
              <w:jc w:val="right"/>
              <w:rPr>
                <w:sz w:val="17"/>
                <w:szCs w:val="17"/>
                <w:lang w:val="fr-FR"/>
              </w:rPr>
            </w:pPr>
          </w:p>
        </w:tc>
        <w:tc>
          <w:tcPr>
            <w:tcW w:w="720" w:type="dxa"/>
            <w:tcBorders>
              <w:top w:val="single" w:sz="12" w:space="0" w:color="auto"/>
            </w:tcBorders>
            <w:shd w:val="clear" w:color="auto" w:fill="auto"/>
            <w:noWrap/>
            <w:vAlign w:val="center"/>
          </w:tcPr>
          <w:p w14:paraId="5F9DB4C8" w14:textId="77777777" w:rsidR="00744544" w:rsidRPr="00A66C9F" w:rsidRDefault="00744544" w:rsidP="00107D5D">
            <w:pPr>
              <w:spacing w:before="40" w:after="40" w:line="210" w:lineRule="exact"/>
              <w:jc w:val="right"/>
              <w:rPr>
                <w:sz w:val="17"/>
                <w:lang w:val="fr-FR"/>
              </w:rPr>
            </w:pPr>
          </w:p>
        </w:tc>
        <w:tc>
          <w:tcPr>
            <w:tcW w:w="873" w:type="dxa"/>
            <w:tcBorders>
              <w:top w:val="single" w:sz="12" w:space="0" w:color="auto"/>
            </w:tcBorders>
            <w:shd w:val="clear" w:color="auto" w:fill="auto"/>
            <w:noWrap/>
            <w:vAlign w:val="center"/>
          </w:tcPr>
          <w:p w14:paraId="402D3EE3" w14:textId="77777777" w:rsidR="00744544" w:rsidRPr="00A66C9F" w:rsidRDefault="00744544" w:rsidP="00107D5D">
            <w:pPr>
              <w:spacing w:before="40" w:after="40" w:line="210" w:lineRule="exact"/>
              <w:jc w:val="right"/>
              <w:rPr>
                <w:sz w:val="17"/>
                <w:lang w:val="fr-FR"/>
              </w:rPr>
            </w:pPr>
          </w:p>
        </w:tc>
        <w:tc>
          <w:tcPr>
            <w:tcW w:w="117" w:type="dxa"/>
            <w:tcBorders>
              <w:top w:val="single" w:sz="12" w:space="0" w:color="auto"/>
            </w:tcBorders>
            <w:shd w:val="clear" w:color="auto" w:fill="auto"/>
            <w:noWrap/>
            <w:vAlign w:val="center"/>
          </w:tcPr>
          <w:p w14:paraId="22D26953" w14:textId="77777777" w:rsidR="00744544" w:rsidRPr="00A66C9F" w:rsidRDefault="00744544" w:rsidP="00107D5D">
            <w:pPr>
              <w:spacing w:before="40"/>
              <w:jc w:val="right"/>
              <w:rPr>
                <w:sz w:val="2"/>
                <w:szCs w:val="17"/>
                <w:lang w:val="fr-FR"/>
              </w:rPr>
            </w:pPr>
          </w:p>
        </w:tc>
        <w:tc>
          <w:tcPr>
            <w:tcW w:w="900" w:type="dxa"/>
            <w:tcBorders>
              <w:top w:val="single" w:sz="12" w:space="0" w:color="auto"/>
            </w:tcBorders>
            <w:shd w:val="clear" w:color="auto" w:fill="auto"/>
            <w:noWrap/>
            <w:vAlign w:val="center"/>
          </w:tcPr>
          <w:p w14:paraId="7D1F6D57" w14:textId="77777777" w:rsidR="00744544" w:rsidRPr="00A66C9F" w:rsidRDefault="00744544" w:rsidP="00107D5D">
            <w:pPr>
              <w:spacing w:before="40" w:after="40" w:line="210" w:lineRule="exact"/>
              <w:jc w:val="right"/>
              <w:rPr>
                <w:sz w:val="17"/>
                <w:szCs w:val="17"/>
                <w:lang w:val="fr-FR"/>
              </w:rPr>
            </w:pPr>
          </w:p>
        </w:tc>
        <w:tc>
          <w:tcPr>
            <w:tcW w:w="1080" w:type="dxa"/>
            <w:tcBorders>
              <w:top w:val="single" w:sz="12" w:space="0" w:color="auto"/>
            </w:tcBorders>
            <w:shd w:val="clear" w:color="auto" w:fill="auto"/>
            <w:noWrap/>
            <w:vAlign w:val="center"/>
          </w:tcPr>
          <w:p w14:paraId="39B29ACB" w14:textId="77777777" w:rsidR="00744544" w:rsidRPr="00A66C9F" w:rsidRDefault="00744544" w:rsidP="00107D5D">
            <w:pPr>
              <w:spacing w:before="40" w:after="40" w:line="210" w:lineRule="exact"/>
              <w:jc w:val="right"/>
              <w:rPr>
                <w:sz w:val="17"/>
                <w:szCs w:val="17"/>
                <w:lang w:val="fr-FR"/>
              </w:rPr>
            </w:pPr>
          </w:p>
        </w:tc>
        <w:tc>
          <w:tcPr>
            <w:tcW w:w="828" w:type="dxa"/>
            <w:tcBorders>
              <w:top w:val="single" w:sz="12" w:space="0" w:color="auto"/>
            </w:tcBorders>
            <w:shd w:val="clear" w:color="auto" w:fill="auto"/>
            <w:noWrap/>
            <w:vAlign w:val="center"/>
          </w:tcPr>
          <w:p w14:paraId="13E91EB6" w14:textId="77777777" w:rsidR="00744544" w:rsidRPr="00A66C9F" w:rsidRDefault="00744544" w:rsidP="00107D5D">
            <w:pPr>
              <w:spacing w:before="40" w:after="40" w:line="210" w:lineRule="exact"/>
              <w:jc w:val="right"/>
              <w:rPr>
                <w:sz w:val="17"/>
                <w:szCs w:val="17"/>
                <w:lang w:val="fr-FR"/>
              </w:rPr>
            </w:pPr>
          </w:p>
        </w:tc>
      </w:tr>
      <w:tr w:rsidR="00744544" w:rsidRPr="00A66C9F" w14:paraId="0CFA0E97" w14:textId="77777777" w:rsidTr="00107D5D">
        <w:tc>
          <w:tcPr>
            <w:tcW w:w="2520" w:type="dxa"/>
            <w:shd w:val="clear" w:color="auto" w:fill="auto"/>
            <w:noWrap/>
            <w:vAlign w:val="center"/>
          </w:tcPr>
          <w:p w14:paraId="09939BF3" w14:textId="77777777" w:rsidR="00744544" w:rsidRPr="00A66C9F" w:rsidRDefault="00744544" w:rsidP="00107D5D">
            <w:pPr>
              <w:tabs>
                <w:tab w:val="left" w:pos="288"/>
                <w:tab w:val="left" w:pos="576"/>
                <w:tab w:val="left" w:pos="864"/>
                <w:tab w:val="left" w:pos="1152"/>
              </w:tabs>
              <w:spacing w:before="30" w:after="30" w:line="200" w:lineRule="exact"/>
              <w:rPr>
                <w:sz w:val="16"/>
                <w:szCs w:val="16"/>
                <w:lang w:val="fr-FR"/>
              </w:rPr>
            </w:pPr>
            <w:r w:rsidRPr="00A66C9F">
              <w:rPr>
                <w:sz w:val="16"/>
                <w:szCs w:val="16"/>
                <w:lang w:val="fr-FR"/>
              </w:rPr>
              <w:t xml:space="preserve">Afrique du Sud </w:t>
            </w:r>
          </w:p>
        </w:tc>
        <w:tc>
          <w:tcPr>
            <w:tcW w:w="900" w:type="dxa"/>
            <w:shd w:val="clear" w:color="auto" w:fill="auto"/>
            <w:noWrap/>
            <w:vAlign w:val="center"/>
          </w:tcPr>
          <w:p w14:paraId="7ED27E48"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630" w:type="dxa"/>
            <w:shd w:val="clear" w:color="auto" w:fill="auto"/>
            <w:noWrap/>
            <w:vAlign w:val="center"/>
          </w:tcPr>
          <w:p w14:paraId="6C439B85"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w:t>
            </w:r>
          </w:p>
        </w:tc>
        <w:tc>
          <w:tcPr>
            <w:tcW w:w="720" w:type="dxa"/>
            <w:shd w:val="clear" w:color="auto" w:fill="auto"/>
            <w:noWrap/>
            <w:vAlign w:val="center"/>
          </w:tcPr>
          <w:p w14:paraId="78B237D2"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w:t>
            </w:r>
          </w:p>
        </w:tc>
        <w:tc>
          <w:tcPr>
            <w:tcW w:w="90" w:type="dxa"/>
            <w:shd w:val="clear" w:color="auto" w:fill="auto"/>
            <w:noWrap/>
            <w:vAlign w:val="center"/>
          </w:tcPr>
          <w:p w14:paraId="681472E4"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tcPr>
          <w:p w14:paraId="73887B8D"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990" w:type="dxa"/>
            <w:shd w:val="clear" w:color="auto" w:fill="auto"/>
            <w:noWrap/>
            <w:vAlign w:val="center"/>
          </w:tcPr>
          <w:p w14:paraId="55F8D18C"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837" w:type="dxa"/>
            <w:shd w:val="clear" w:color="auto" w:fill="auto"/>
            <w:noWrap/>
            <w:vAlign w:val="center"/>
          </w:tcPr>
          <w:p w14:paraId="458BD57B"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90" w:type="dxa"/>
            <w:shd w:val="clear" w:color="auto" w:fill="auto"/>
            <w:noWrap/>
            <w:vAlign w:val="center"/>
          </w:tcPr>
          <w:p w14:paraId="20899F8F"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1053" w:type="dxa"/>
            <w:shd w:val="clear" w:color="auto" w:fill="auto"/>
            <w:noWrap/>
            <w:vAlign w:val="center"/>
          </w:tcPr>
          <w:p w14:paraId="5ABAFC8D"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693 </w:t>
            </w:r>
          </w:p>
        </w:tc>
        <w:tc>
          <w:tcPr>
            <w:tcW w:w="720" w:type="dxa"/>
            <w:shd w:val="clear" w:color="auto" w:fill="auto"/>
            <w:noWrap/>
            <w:vAlign w:val="center"/>
          </w:tcPr>
          <w:p w14:paraId="527791A0"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673 </w:t>
            </w:r>
          </w:p>
        </w:tc>
        <w:tc>
          <w:tcPr>
            <w:tcW w:w="873" w:type="dxa"/>
            <w:shd w:val="clear" w:color="auto" w:fill="auto"/>
            <w:noWrap/>
            <w:vAlign w:val="center"/>
          </w:tcPr>
          <w:p w14:paraId="501A9040"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20 </w:t>
            </w:r>
          </w:p>
        </w:tc>
        <w:tc>
          <w:tcPr>
            <w:tcW w:w="117" w:type="dxa"/>
            <w:shd w:val="clear" w:color="auto" w:fill="auto"/>
            <w:noWrap/>
            <w:vAlign w:val="center"/>
          </w:tcPr>
          <w:p w14:paraId="261CBB06"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tcPr>
          <w:p w14:paraId="373F8B81"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1080" w:type="dxa"/>
            <w:shd w:val="clear" w:color="auto" w:fill="auto"/>
            <w:noWrap/>
            <w:vAlign w:val="center"/>
          </w:tcPr>
          <w:p w14:paraId="1BD7A1CB"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828" w:type="dxa"/>
            <w:shd w:val="clear" w:color="auto" w:fill="auto"/>
            <w:noWrap/>
            <w:vAlign w:val="center"/>
          </w:tcPr>
          <w:p w14:paraId="3A6698A0"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r>
      <w:tr w:rsidR="00744544" w:rsidRPr="00A66C9F" w14:paraId="795AD7D3" w14:textId="77777777" w:rsidTr="00107D5D">
        <w:tc>
          <w:tcPr>
            <w:tcW w:w="2520" w:type="dxa"/>
            <w:shd w:val="clear" w:color="auto" w:fill="auto"/>
            <w:noWrap/>
            <w:vAlign w:val="center"/>
            <w:hideMark/>
          </w:tcPr>
          <w:p w14:paraId="700E6FE0" w14:textId="77777777" w:rsidR="00744544" w:rsidRPr="00A66C9F" w:rsidRDefault="00744544" w:rsidP="00107D5D">
            <w:pPr>
              <w:tabs>
                <w:tab w:val="left" w:pos="288"/>
                <w:tab w:val="left" w:pos="576"/>
                <w:tab w:val="left" w:pos="864"/>
                <w:tab w:val="left" w:pos="1152"/>
              </w:tabs>
              <w:spacing w:before="30" w:after="30" w:line="200" w:lineRule="exact"/>
              <w:rPr>
                <w:sz w:val="16"/>
                <w:szCs w:val="16"/>
                <w:lang w:val="fr-FR"/>
              </w:rPr>
            </w:pPr>
            <w:r w:rsidRPr="00A66C9F">
              <w:rPr>
                <w:sz w:val="16"/>
                <w:szCs w:val="16"/>
                <w:lang w:val="fr-FR"/>
              </w:rPr>
              <w:t xml:space="preserve">Allemagne </w:t>
            </w:r>
          </w:p>
        </w:tc>
        <w:tc>
          <w:tcPr>
            <w:tcW w:w="900" w:type="dxa"/>
            <w:shd w:val="clear" w:color="auto" w:fill="auto"/>
            <w:noWrap/>
            <w:vAlign w:val="center"/>
            <w:hideMark/>
          </w:tcPr>
          <w:p w14:paraId="74E6C6FA"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7 531 </w:t>
            </w:r>
          </w:p>
        </w:tc>
        <w:tc>
          <w:tcPr>
            <w:tcW w:w="630" w:type="dxa"/>
            <w:shd w:val="clear" w:color="auto" w:fill="auto"/>
            <w:noWrap/>
            <w:vAlign w:val="center"/>
            <w:hideMark/>
          </w:tcPr>
          <w:p w14:paraId="546C6685"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6 431</w:t>
            </w:r>
          </w:p>
        </w:tc>
        <w:tc>
          <w:tcPr>
            <w:tcW w:w="720" w:type="dxa"/>
            <w:shd w:val="clear" w:color="auto" w:fill="auto"/>
            <w:noWrap/>
            <w:vAlign w:val="center"/>
            <w:hideMark/>
          </w:tcPr>
          <w:p w14:paraId="5DA5E657"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206</w:t>
            </w:r>
          </w:p>
        </w:tc>
        <w:tc>
          <w:tcPr>
            <w:tcW w:w="90" w:type="dxa"/>
            <w:shd w:val="clear" w:color="auto" w:fill="auto"/>
            <w:noWrap/>
            <w:vAlign w:val="center"/>
            <w:hideMark/>
          </w:tcPr>
          <w:p w14:paraId="40827245"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hideMark/>
          </w:tcPr>
          <w:p w14:paraId="676692A9"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15 668</w:t>
            </w:r>
          </w:p>
        </w:tc>
        <w:tc>
          <w:tcPr>
            <w:tcW w:w="990" w:type="dxa"/>
            <w:shd w:val="clear" w:color="auto" w:fill="auto"/>
            <w:noWrap/>
            <w:vAlign w:val="center"/>
            <w:hideMark/>
          </w:tcPr>
          <w:p w14:paraId="6515562D"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837" w:type="dxa"/>
            <w:shd w:val="clear" w:color="auto" w:fill="auto"/>
            <w:noWrap/>
            <w:vAlign w:val="center"/>
            <w:hideMark/>
          </w:tcPr>
          <w:p w14:paraId="7E97F50E"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15 668</w:t>
            </w:r>
          </w:p>
        </w:tc>
        <w:tc>
          <w:tcPr>
            <w:tcW w:w="90" w:type="dxa"/>
            <w:shd w:val="clear" w:color="auto" w:fill="auto"/>
            <w:noWrap/>
            <w:vAlign w:val="center"/>
            <w:hideMark/>
          </w:tcPr>
          <w:p w14:paraId="26A10BD4"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1053" w:type="dxa"/>
            <w:shd w:val="clear" w:color="auto" w:fill="auto"/>
            <w:noWrap/>
            <w:vAlign w:val="center"/>
          </w:tcPr>
          <w:p w14:paraId="0B4F93AB"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8 724 </w:t>
            </w:r>
          </w:p>
        </w:tc>
        <w:tc>
          <w:tcPr>
            <w:tcW w:w="720" w:type="dxa"/>
            <w:shd w:val="clear" w:color="auto" w:fill="auto"/>
            <w:noWrap/>
            <w:vAlign w:val="center"/>
          </w:tcPr>
          <w:p w14:paraId="06E0BDD3"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7 715 </w:t>
            </w:r>
          </w:p>
        </w:tc>
        <w:tc>
          <w:tcPr>
            <w:tcW w:w="873" w:type="dxa"/>
            <w:shd w:val="clear" w:color="auto" w:fill="auto"/>
            <w:noWrap/>
            <w:vAlign w:val="center"/>
          </w:tcPr>
          <w:p w14:paraId="76DEEBB1"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787 </w:t>
            </w:r>
          </w:p>
        </w:tc>
        <w:tc>
          <w:tcPr>
            <w:tcW w:w="117" w:type="dxa"/>
            <w:shd w:val="clear" w:color="auto" w:fill="auto"/>
            <w:noWrap/>
            <w:vAlign w:val="center"/>
          </w:tcPr>
          <w:p w14:paraId="6104CD4D"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tcPr>
          <w:p w14:paraId="1044E150"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14 774 </w:t>
            </w:r>
          </w:p>
        </w:tc>
        <w:tc>
          <w:tcPr>
            <w:tcW w:w="1080" w:type="dxa"/>
            <w:shd w:val="clear" w:color="auto" w:fill="auto"/>
            <w:noWrap/>
            <w:vAlign w:val="center"/>
          </w:tcPr>
          <w:p w14:paraId="3D84617A"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w:t>
            </w:r>
          </w:p>
        </w:tc>
        <w:tc>
          <w:tcPr>
            <w:tcW w:w="828" w:type="dxa"/>
            <w:shd w:val="clear" w:color="auto" w:fill="auto"/>
            <w:noWrap/>
            <w:vAlign w:val="center"/>
          </w:tcPr>
          <w:p w14:paraId="1A9C4DA1"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14 774 </w:t>
            </w:r>
          </w:p>
        </w:tc>
      </w:tr>
      <w:tr w:rsidR="00744544" w:rsidRPr="00A66C9F" w14:paraId="00FDDB52" w14:textId="77777777" w:rsidTr="00107D5D">
        <w:tc>
          <w:tcPr>
            <w:tcW w:w="2520" w:type="dxa"/>
            <w:shd w:val="clear" w:color="auto" w:fill="auto"/>
            <w:noWrap/>
            <w:vAlign w:val="center"/>
            <w:hideMark/>
          </w:tcPr>
          <w:p w14:paraId="2D16BEA7" w14:textId="77777777" w:rsidR="00744544" w:rsidRPr="00A66C9F" w:rsidRDefault="00744544" w:rsidP="00107D5D">
            <w:pPr>
              <w:tabs>
                <w:tab w:val="left" w:pos="288"/>
                <w:tab w:val="left" w:pos="576"/>
                <w:tab w:val="left" w:pos="864"/>
                <w:tab w:val="left" w:pos="1152"/>
              </w:tabs>
              <w:spacing w:before="30" w:after="30" w:line="200" w:lineRule="exact"/>
              <w:rPr>
                <w:sz w:val="16"/>
                <w:szCs w:val="16"/>
                <w:lang w:val="fr-FR"/>
              </w:rPr>
            </w:pPr>
            <w:r w:rsidRPr="00A66C9F">
              <w:rPr>
                <w:sz w:val="16"/>
                <w:szCs w:val="16"/>
                <w:lang w:val="fr-FR"/>
              </w:rPr>
              <w:t xml:space="preserve">Australie </w:t>
            </w:r>
          </w:p>
        </w:tc>
        <w:tc>
          <w:tcPr>
            <w:tcW w:w="900" w:type="dxa"/>
            <w:shd w:val="clear" w:color="auto" w:fill="auto"/>
            <w:noWrap/>
            <w:vAlign w:val="center"/>
            <w:hideMark/>
          </w:tcPr>
          <w:p w14:paraId="5C9CD007"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42 </w:t>
            </w:r>
          </w:p>
        </w:tc>
        <w:tc>
          <w:tcPr>
            <w:tcW w:w="630" w:type="dxa"/>
            <w:shd w:val="clear" w:color="auto" w:fill="auto"/>
            <w:noWrap/>
            <w:vAlign w:val="center"/>
            <w:hideMark/>
          </w:tcPr>
          <w:p w14:paraId="06E581B3"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720" w:type="dxa"/>
            <w:shd w:val="clear" w:color="auto" w:fill="auto"/>
            <w:noWrap/>
            <w:vAlign w:val="center"/>
            <w:hideMark/>
          </w:tcPr>
          <w:p w14:paraId="2DAD6BBF"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(2)</w:t>
            </w:r>
          </w:p>
        </w:tc>
        <w:tc>
          <w:tcPr>
            <w:tcW w:w="90" w:type="dxa"/>
            <w:shd w:val="clear" w:color="auto" w:fill="auto"/>
            <w:noWrap/>
            <w:vAlign w:val="center"/>
            <w:hideMark/>
          </w:tcPr>
          <w:p w14:paraId="710B4F4E"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hideMark/>
          </w:tcPr>
          <w:p w14:paraId="59EE6A21"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44</w:t>
            </w:r>
          </w:p>
        </w:tc>
        <w:tc>
          <w:tcPr>
            <w:tcW w:w="990" w:type="dxa"/>
            <w:shd w:val="clear" w:color="auto" w:fill="auto"/>
            <w:noWrap/>
            <w:vAlign w:val="center"/>
            <w:hideMark/>
          </w:tcPr>
          <w:p w14:paraId="2A6A6B80"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837" w:type="dxa"/>
            <w:shd w:val="clear" w:color="auto" w:fill="auto"/>
            <w:noWrap/>
            <w:vAlign w:val="center"/>
            <w:hideMark/>
          </w:tcPr>
          <w:p w14:paraId="4FAADC79"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44 </w:t>
            </w:r>
          </w:p>
        </w:tc>
        <w:tc>
          <w:tcPr>
            <w:tcW w:w="90" w:type="dxa"/>
            <w:shd w:val="clear" w:color="auto" w:fill="auto"/>
            <w:noWrap/>
            <w:vAlign w:val="center"/>
            <w:hideMark/>
          </w:tcPr>
          <w:p w14:paraId="68D8F907"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1053" w:type="dxa"/>
            <w:shd w:val="clear" w:color="auto" w:fill="auto"/>
            <w:noWrap/>
            <w:vAlign w:val="center"/>
          </w:tcPr>
          <w:p w14:paraId="66D67109"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720" w:type="dxa"/>
            <w:shd w:val="clear" w:color="auto" w:fill="auto"/>
            <w:noWrap/>
            <w:vAlign w:val="center"/>
          </w:tcPr>
          <w:p w14:paraId="4BBB4AE6"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134 </w:t>
            </w:r>
          </w:p>
        </w:tc>
        <w:tc>
          <w:tcPr>
            <w:tcW w:w="873" w:type="dxa"/>
            <w:shd w:val="clear" w:color="auto" w:fill="auto"/>
            <w:noWrap/>
            <w:vAlign w:val="center"/>
          </w:tcPr>
          <w:p w14:paraId="6B353138"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(134)</w:t>
            </w:r>
          </w:p>
        </w:tc>
        <w:tc>
          <w:tcPr>
            <w:tcW w:w="117" w:type="dxa"/>
            <w:shd w:val="clear" w:color="auto" w:fill="auto"/>
            <w:noWrap/>
            <w:vAlign w:val="center"/>
          </w:tcPr>
          <w:p w14:paraId="72AE1F1C"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tcPr>
          <w:p w14:paraId="1CEC796C"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1080" w:type="dxa"/>
            <w:shd w:val="clear" w:color="auto" w:fill="auto"/>
            <w:noWrap/>
            <w:vAlign w:val="center"/>
          </w:tcPr>
          <w:p w14:paraId="36FAEEA4"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828" w:type="dxa"/>
            <w:shd w:val="clear" w:color="auto" w:fill="auto"/>
            <w:noWrap/>
            <w:vAlign w:val="center"/>
          </w:tcPr>
          <w:p w14:paraId="53A1CB37"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r>
      <w:tr w:rsidR="00744544" w:rsidRPr="00A66C9F" w14:paraId="0BB1E108" w14:textId="77777777" w:rsidTr="00107D5D">
        <w:tc>
          <w:tcPr>
            <w:tcW w:w="2520" w:type="dxa"/>
            <w:shd w:val="clear" w:color="auto" w:fill="auto"/>
            <w:noWrap/>
            <w:vAlign w:val="center"/>
            <w:hideMark/>
          </w:tcPr>
          <w:p w14:paraId="25D38034" w14:textId="77777777" w:rsidR="00744544" w:rsidRPr="00A66C9F" w:rsidRDefault="00744544" w:rsidP="00107D5D">
            <w:pPr>
              <w:tabs>
                <w:tab w:val="left" w:pos="288"/>
                <w:tab w:val="left" w:pos="576"/>
                <w:tab w:val="left" w:pos="864"/>
                <w:tab w:val="left" w:pos="1152"/>
              </w:tabs>
              <w:spacing w:before="30" w:after="30" w:line="200" w:lineRule="exact"/>
              <w:rPr>
                <w:sz w:val="16"/>
                <w:szCs w:val="16"/>
                <w:lang w:val="fr-FR"/>
              </w:rPr>
            </w:pPr>
            <w:r w:rsidRPr="00A66C9F">
              <w:rPr>
                <w:sz w:val="16"/>
                <w:szCs w:val="16"/>
                <w:lang w:val="fr-FR"/>
              </w:rPr>
              <w:t xml:space="preserve">Autriche </w:t>
            </w:r>
          </w:p>
        </w:tc>
        <w:tc>
          <w:tcPr>
            <w:tcW w:w="900" w:type="dxa"/>
            <w:shd w:val="clear" w:color="auto" w:fill="auto"/>
            <w:noWrap/>
            <w:vAlign w:val="center"/>
            <w:hideMark/>
          </w:tcPr>
          <w:p w14:paraId="3DEA1333"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630" w:type="dxa"/>
            <w:shd w:val="clear" w:color="auto" w:fill="auto"/>
            <w:noWrap/>
            <w:vAlign w:val="center"/>
            <w:hideMark/>
          </w:tcPr>
          <w:p w14:paraId="57EF555E"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720" w:type="dxa"/>
            <w:shd w:val="clear" w:color="auto" w:fill="auto"/>
            <w:noWrap/>
            <w:vAlign w:val="center"/>
            <w:hideMark/>
          </w:tcPr>
          <w:p w14:paraId="13AAE466"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90" w:type="dxa"/>
            <w:shd w:val="clear" w:color="auto" w:fill="auto"/>
            <w:noWrap/>
            <w:vAlign w:val="center"/>
            <w:hideMark/>
          </w:tcPr>
          <w:p w14:paraId="1E08CA17"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hideMark/>
          </w:tcPr>
          <w:p w14:paraId="523D8E33"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990" w:type="dxa"/>
            <w:shd w:val="clear" w:color="auto" w:fill="auto"/>
            <w:noWrap/>
            <w:vAlign w:val="center"/>
            <w:hideMark/>
          </w:tcPr>
          <w:p w14:paraId="1E851D0F"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837" w:type="dxa"/>
            <w:shd w:val="clear" w:color="auto" w:fill="auto"/>
            <w:noWrap/>
            <w:vAlign w:val="center"/>
            <w:hideMark/>
          </w:tcPr>
          <w:p w14:paraId="73B89CD1"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90" w:type="dxa"/>
            <w:shd w:val="clear" w:color="auto" w:fill="auto"/>
            <w:noWrap/>
            <w:vAlign w:val="center"/>
            <w:hideMark/>
          </w:tcPr>
          <w:p w14:paraId="0C64EC00"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1053" w:type="dxa"/>
            <w:shd w:val="clear" w:color="auto" w:fill="auto"/>
            <w:noWrap/>
            <w:vAlign w:val="center"/>
          </w:tcPr>
          <w:p w14:paraId="16BE6909"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720" w:type="dxa"/>
            <w:shd w:val="clear" w:color="auto" w:fill="auto"/>
            <w:noWrap/>
            <w:vAlign w:val="center"/>
          </w:tcPr>
          <w:p w14:paraId="21D0381E"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29 </w:t>
            </w:r>
          </w:p>
        </w:tc>
        <w:tc>
          <w:tcPr>
            <w:tcW w:w="873" w:type="dxa"/>
            <w:shd w:val="clear" w:color="auto" w:fill="auto"/>
            <w:noWrap/>
            <w:vAlign w:val="center"/>
          </w:tcPr>
          <w:p w14:paraId="4C059311"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1 </w:t>
            </w:r>
          </w:p>
        </w:tc>
        <w:tc>
          <w:tcPr>
            <w:tcW w:w="117" w:type="dxa"/>
            <w:shd w:val="clear" w:color="auto" w:fill="auto"/>
            <w:noWrap/>
            <w:vAlign w:val="center"/>
          </w:tcPr>
          <w:p w14:paraId="0CE7C78C"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tcPr>
          <w:p w14:paraId="32DF0D91"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1080" w:type="dxa"/>
            <w:shd w:val="clear" w:color="auto" w:fill="auto"/>
            <w:noWrap/>
            <w:vAlign w:val="center"/>
          </w:tcPr>
          <w:p w14:paraId="321846FF"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828" w:type="dxa"/>
            <w:shd w:val="clear" w:color="auto" w:fill="auto"/>
            <w:noWrap/>
            <w:vAlign w:val="center"/>
          </w:tcPr>
          <w:p w14:paraId="68687DE0"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r>
      <w:tr w:rsidR="00744544" w:rsidRPr="00A66C9F" w14:paraId="1B0C5A96" w14:textId="77777777" w:rsidTr="00107D5D">
        <w:tc>
          <w:tcPr>
            <w:tcW w:w="2520" w:type="dxa"/>
            <w:shd w:val="clear" w:color="auto" w:fill="auto"/>
            <w:noWrap/>
            <w:vAlign w:val="center"/>
            <w:hideMark/>
          </w:tcPr>
          <w:p w14:paraId="42129D8A" w14:textId="77777777" w:rsidR="00744544" w:rsidRPr="00A66C9F" w:rsidRDefault="00744544" w:rsidP="00107D5D">
            <w:pPr>
              <w:tabs>
                <w:tab w:val="left" w:pos="288"/>
                <w:tab w:val="left" w:pos="576"/>
                <w:tab w:val="left" w:pos="864"/>
                <w:tab w:val="left" w:pos="1152"/>
              </w:tabs>
              <w:spacing w:before="30" w:after="30" w:line="200" w:lineRule="exact"/>
              <w:rPr>
                <w:sz w:val="16"/>
                <w:szCs w:val="16"/>
                <w:lang w:val="fr-FR"/>
              </w:rPr>
            </w:pPr>
            <w:r w:rsidRPr="00A66C9F">
              <w:rPr>
                <w:sz w:val="16"/>
                <w:szCs w:val="16"/>
                <w:lang w:val="fr-FR"/>
              </w:rPr>
              <w:t xml:space="preserve">Belgique </w:t>
            </w:r>
          </w:p>
        </w:tc>
        <w:tc>
          <w:tcPr>
            <w:tcW w:w="900" w:type="dxa"/>
            <w:shd w:val="clear" w:color="auto" w:fill="auto"/>
            <w:noWrap/>
            <w:vAlign w:val="center"/>
            <w:hideMark/>
          </w:tcPr>
          <w:p w14:paraId="5F32825C"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625 </w:t>
            </w:r>
          </w:p>
        </w:tc>
        <w:tc>
          <w:tcPr>
            <w:tcW w:w="630" w:type="dxa"/>
            <w:shd w:val="clear" w:color="auto" w:fill="auto"/>
            <w:noWrap/>
            <w:vAlign w:val="center"/>
            <w:hideMark/>
          </w:tcPr>
          <w:p w14:paraId="2FBFEB59"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720" w:type="dxa"/>
            <w:shd w:val="clear" w:color="auto" w:fill="auto"/>
            <w:noWrap/>
            <w:vAlign w:val="center"/>
            <w:hideMark/>
          </w:tcPr>
          <w:p w14:paraId="70B48CB2"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(5) </w:t>
            </w:r>
          </w:p>
        </w:tc>
        <w:tc>
          <w:tcPr>
            <w:tcW w:w="90" w:type="dxa"/>
            <w:shd w:val="clear" w:color="auto" w:fill="auto"/>
            <w:noWrap/>
            <w:vAlign w:val="center"/>
            <w:hideMark/>
          </w:tcPr>
          <w:p w14:paraId="598680EC"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hideMark/>
          </w:tcPr>
          <w:p w14:paraId="180CCC1B"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630 </w:t>
            </w:r>
          </w:p>
        </w:tc>
        <w:tc>
          <w:tcPr>
            <w:tcW w:w="990" w:type="dxa"/>
            <w:shd w:val="clear" w:color="auto" w:fill="auto"/>
            <w:noWrap/>
            <w:vAlign w:val="center"/>
            <w:hideMark/>
          </w:tcPr>
          <w:p w14:paraId="3DFEF0A4"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837" w:type="dxa"/>
            <w:shd w:val="clear" w:color="auto" w:fill="auto"/>
            <w:noWrap/>
            <w:vAlign w:val="center"/>
            <w:hideMark/>
          </w:tcPr>
          <w:p w14:paraId="78628C55"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630</w:t>
            </w:r>
          </w:p>
        </w:tc>
        <w:tc>
          <w:tcPr>
            <w:tcW w:w="90" w:type="dxa"/>
            <w:shd w:val="clear" w:color="auto" w:fill="auto"/>
            <w:noWrap/>
            <w:vAlign w:val="center"/>
            <w:hideMark/>
          </w:tcPr>
          <w:p w14:paraId="77AE8107"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1053" w:type="dxa"/>
            <w:shd w:val="clear" w:color="auto" w:fill="auto"/>
            <w:noWrap/>
            <w:vAlign w:val="center"/>
          </w:tcPr>
          <w:p w14:paraId="7C98D5F6"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656 </w:t>
            </w:r>
          </w:p>
        </w:tc>
        <w:tc>
          <w:tcPr>
            <w:tcW w:w="720" w:type="dxa"/>
            <w:shd w:val="clear" w:color="auto" w:fill="auto"/>
            <w:noWrap/>
            <w:vAlign w:val="center"/>
          </w:tcPr>
          <w:p w14:paraId="0E553847"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653 </w:t>
            </w:r>
          </w:p>
        </w:tc>
        <w:tc>
          <w:tcPr>
            <w:tcW w:w="873" w:type="dxa"/>
            <w:shd w:val="clear" w:color="auto" w:fill="auto"/>
            <w:noWrap/>
            <w:vAlign w:val="center"/>
          </w:tcPr>
          <w:p w14:paraId="765CC3A5"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3 </w:t>
            </w:r>
          </w:p>
        </w:tc>
        <w:tc>
          <w:tcPr>
            <w:tcW w:w="117" w:type="dxa"/>
            <w:shd w:val="clear" w:color="auto" w:fill="auto"/>
            <w:noWrap/>
            <w:vAlign w:val="center"/>
          </w:tcPr>
          <w:p w14:paraId="5FCA988F"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tcPr>
          <w:p w14:paraId="7A4B9D75"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1080" w:type="dxa"/>
            <w:shd w:val="clear" w:color="auto" w:fill="auto"/>
            <w:noWrap/>
            <w:vAlign w:val="center"/>
          </w:tcPr>
          <w:p w14:paraId="41E486D8"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828" w:type="dxa"/>
            <w:shd w:val="clear" w:color="auto" w:fill="auto"/>
            <w:noWrap/>
            <w:vAlign w:val="center"/>
          </w:tcPr>
          <w:p w14:paraId="7715D153"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r>
      <w:tr w:rsidR="00744544" w:rsidRPr="00A66C9F" w14:paraId="6EF0C624" w14:textId="77777777" w:rsidTr="00107D5D">
        <w:tc>
          <w:tcPr>
            <w:tcW w:w="2520" w:type="dxa"/>
            <w:shd w:val="clear" w:color="auto" w:fill="auto"/>
            <w:noWrap/>
            <w:vAlign w:val="center"/>
            <w:hideMark/>
          </w:tcPr>
          <w:p w14:paraId="43FBE2AA" w14:textId="77777777" w:rsidR="00744544" w:rsidRPr="00A66C9F" w:rsidRDefault="00744544" w:rsidP="00107D5D">
            <w:pPr>
              <w:tabs>
                <w:tab w:val="left" w:pos="288"/>
                <w:tab w:val="left" w:pos="576"/>
                <w:tab w:val="left" w:pos="864"/>
                <w:tab w:val="left" w:pos="1152"/>
              </w:tabs>
              <w:spacing w:before="30" w:after="30" w:line="200" w:lineRule="exact"/>
              <w:rPr>
                <w:sz w:val="16"/>
                <w:szCs w:val="16"/>
                <w:lang w:val="fr-FR"/>
              </w:rPr>
            </w:pPr>
            <w:r w:rsidRPr="00A66C9F">
              <w:rPr>
                <w:sz w:val="16"/>
                <w:szCs w:val="16"/>
                <w:lang w:val="fr-FR"/>
              </w:rPr>
              <w:t xml:space="preserve">Brésil </w:t>
            </w:r>
          </w:p>
        </w:tc>
        <w:tc>
          <w:tcPr>
            <w:tcW w:w="900" w:type="dxa"/>
            <w:shd w:val="clear" w:color="auto" w:fill="auto"/>
            <w:noWrap/>
            <w:vAlign w:val="center"/>
            <w:hideMark/>
          </w:tcPr>
          <w:p w14:paraId="31337A1C"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196 </w:t>
            </w:r>
          </w:p>
        </w:tc>
        <w:tc>
          <w:tcPr>
            <w:tcW w:w="630" w:type="dxa"/>
            <w:shd w:val="clear" w:color="auto" w:fill="auto"/>
            <w:noWrap/>
            <w:vAlign w:val="center"/>
            <w:hideMark/>
          </w:tcPr>
          <w:p w14:paraId="1EE062A9"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720" w:type="dxa"/>
            <w:shd w:val="clear" w:color="auto" w:fill="auto"/>
            <w:noWrap/>
            <w:vAlign w:val="center"/>
            <w:hideMark/>
          </w:tcPr>
          <w:p w14:paraId="2135A2BF"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196 </w:t>
            </w:r>
          </w:p>
        </w:tc>
        <w:tc>
          <w:tcPr>
            <w:tcW w:w="90" w:type="dxa"/>
            <w:shd w:val="clear" w:color="auto" w:fill="auto"/>
            <w:noWrap/>
            <w:vAlign w:val="center"/>
            <w:hideMark/>
          </w:tcPr>
          <w:p w14:paraId="21B13974"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hideMark/>
          </w:tcPr>
          <w:p w14:paraId="26F5D63B"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401 </w:t>
            </w:r>
          </w:p>
        </w:tc>
        <w:tc>
          <w:tcPr>
            <w:tcW w:w="990" w:type="dxa"/>
            <w:shd w:val="clear" w:color="auto" w:fill="auto"/>
            <w:noWrap/>
            <w:vAlign w:val="center"/>
            <w:hideMark/>
          </w:tcPr>
          <w:p w14:paraId="40286D06"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(401)</w:t>
            </w:r>
          </w:p>
        </w:tc>
        <w:tc>
          <w:tcPr>
            <w:tcW w:w="837" w:type="dxa"/>
            <w:shd w:val="clear" w:color="auto" w:fill="auto"/>
            <w:noWrap/>
            <w:vAlign w:val="center"/>
            <w:hideMark/>
          </w:tcPr>
          <w:p w14:paraId="69EB65FB"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90" w:type="dxa"/>
            <w:shd w:val="clear" w:color="auto" w:fill="auto"/>
            <w:noWrap/>
            <w:vAlign w:val="center"/>
            <w:hideMark/>
          </w:tcPr>
          <w:p w14:paraId="06B4301E"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1053" w:type="dxa"/>
            <w:shd w:val="clear" w:color="auto" w:fill="auto"/>
            <w:noWrap/>
            <w:vAlign w:val="center"/>
          </w:tcPr>
          <w:p w14:paraId="49A6B1E2"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363 </w:t>
            </w:r>
          </w:p>
        </w:tc>
        <w:tc>
          <w:tcPr>
            <w:tcW w:w="720" w:type="dxa"/>
            <w:shd w:val="clear" w:color="auto" w:fill="auto"/>
            <w:noWrap/>
            <w:vAlign w:val="center"/>
          </w:tcPr>
          <w:p w14:paraId="1B0313C7"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873" w:type="dxa"/>
            <w:shd w:val="clear" w:color="auto" w:fill="auto"/>
            <w:noWrap/>
            <w:vAlign w:val="center"/>
          </w:tcPr>
          <w:p w14:paraId="601A899D"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363 </w:t>
            </w:r>
          </w:p>
        </w:tc>
        <w:tc>
          <w:tcPr>
            <w:tcW w:w="117" w:type="dxa"/>
            <w:shd w:val="clear" w:color="auto" w:fill="auto"/>
            <w:noWrap/>
            <w:vAlign w:val="center"/>
          </w:tcPr>
          <w:p w14:paraId="751E4172"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tcPr>
          <w:p w14:paraId="24C1A475"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416 </w:t>
            </w:r>
          </w:p>
        </w:tc>
        <w:tc>
          <w:tcPr>
            <w:tcW w:w="1080" w:type="dxa"/>
            <w:shd w:val="clear" w:color="auto" w:fill="auto"/>
            <w:noWrap/>
            <w:vAlign w:val="center"/>
          </w:tcPr>
          <w:p w14:paraId="33CEE1AA"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(416)</w:t>
            </w:r>
          </w:p>
        </w:tc>
        <w:tc>
          <w:tcPr>
            <w:tcW w:w="828" w:type="dxa"/>
            <w:shd w:val="clear" w:color="auto" w:fill="auto"/>
            <w:noWrap/>
            <w:vAlign w:val="center"/>
          </w:tcPr>
          <w:p w14:paraId="22B40356"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r>
      <w:tr w:rsidR="00744544" w:rsidRPr="00A66C9F" w14:paraId="68ECE569" w14:textId="77777777" w:rsidTr="00107D5D">
        <w:tc>
          <w:tcPr>
            <w:tcW w:w="2520" w:type="dxa"/>
            <w:shd w:val="clear" w:color="auto" w:fill="auto"/>
            <w:noWrap/>
            <w:vAlign w:val="center"/>
            <w:hideMark/>
          </w:tcPr>
          <w:p w14:paraId="25EE535B" w14:textId="77777777" w:rsidR="00744544" w:rsidRPr="00A66C9F" w:rsidRDefault="00744544" w:rsidP="00107D5D">
            <w:pPr>
              <w:tabs>
                <w:tab w:val="left" w:pos="288"/>
                <w:tab w:val="left" w:pos="576"/>
                <w:tab w:val="left" w:pos="864"/>
                <w:tab w:val="left" w:pos="1152"/>
              </w:tabs>
              <w:spacing w:before="30" w:after="30" w:line="200" w:lineRule="exact"/>
              <w:rPr>
                <w:sz w:val="16"/>
                <w:szCs w:val="16"/>
                <w:lang w:val="fr-FR"/>
              </w:rPr>
            </w:pPr>
            <w:r w:rsidRPr="00A66C9F">
              <w:rPr>
                <w:sz w:val="16"/>
                <w:szCs w:val="16"/>
                <w:lang w:val="fr-FR"/>
              </w:rPr>
              <w:t>Canada</w:t>
            </w:r>
          </w:p>
        </w:tc>
        <w:tc>
          <w:tcPr>
            <w:tcW w:w="900" w:type="dxa"/>
            <w:shd w:val="clear" w:color="auto" w:fill="auto"/>
            <w:noWrap/>
            <w:vAlign w:val="center"/>
            <w:hideMark/>
          </w:tcPr>
          <w:p w14:paraId="4300A2B3"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12</w:t>
            </w:r>
          </w:p>
        </w:tc>
        <w:tc>
          <w:tcPr>
            <w:tcW w:w="630" w:type="dxa"/>
            <w:shd w:val="clear" w:color="auto" w:fill="auto"/>
            <w:noWrap/>
            <w:vAlign w:val="center"/>
            <w:hideMark/>
          </w:tcPr>
          <w:p w14:paraId="0A6E824D"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w:t>
            </w:r>
          </w:p>
        </w:tc>
        <w:tc>
          <w:tcPr>
            <w:tcW w:w="720" w:type="dxa"/>
            <w:shd w:val="clear" w:color="auto" w:fill="auto"/>
            <w:noWrap/>
            <w:vAlign w:val="center"/>
            <w:hideMark/>
          </w:tcPr>
          <w:p w14:paraId="4C896C35"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w:t>
            </w:r>
          </w:p>
        </w:tc>
        <w:tc>
          <w:tcPr>
            <w:tcW w:w="90" w:type="dxa"/>
            <w:shd w:val="clear" w:color="auto" w:fill="auto"/>
            <w:noWrap/>
            <w:vAlign w:val="center"/>
            <w:hideMark/>
          </w:tcPr>
          <w:p w14:paraId="4F091BD9"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hideMark/>
          </w:tcPr>
          <w:p w14:paraId="2B7E3192"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12</w:t>
            </w:r>
          </w:p>
        </w:tc>
        <w:tc>
          <w:tcPr>
            <w:tcW w:w="990" w:type="dxa"/>
            <w:shd w:val="clear" w:color="auto" w:fill="auto"/>
            <w:noWrap/>
            <w:vAlign w:val="center"/>
            <w:hideMark/>
          </w:tcPr>
          <w:p w14:paraId="23406A6F"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w:t>
            </w:r>
          </w:p>
        </w:tc>
        <w:tc>
          <w:tcPr>
            <w:tcW w:w="837" w:type="dxa"/>
            <w:shd w:val="clear" w:color="auto" w:fill="auto"/>
            <w:noWrap/>
            <w:vAlign w:val="center"/>
            <w:hideMark/>
          </w:tcPr>
          <w:p w14:paraId="793FE73B"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12</w:t>
            </w:r>
          </w:p>
        </w:tc>
        <w:tc>
          <w:tcPr>
            <w:tcW w:w="90" w:type="dxa"/>
            <w:shd w:val="clear" w:color="auto" w:fill="auto"/>
            <w:noWrap/>
            <w:vAlign w:val="center"/>
            <w:hideMark/>
          </w:tcPr>
          <w:p w14:paraId="2396CA81"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1053" w:type="dxa"/>
            <w:shd w:val="clear" w:color="auto" w:fill="auto"/>
            <w:noWrap/>
            <w:vAlign w:val="center"/>
          </w:tcPr>
          <w:p w14:paraId="6AE38B4E"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w:t>
            </w:r>
          </w:p>
        </w:tc>
        <w:tc>
          <w:tcPr>
            <w:tcW w:w="720" w:type="dxa"/>
            <w:shd w:val="clear" w:color="auto" w:fill="auto"/>
            <w:noWrap/>
            <w:vAlign w:val="center"/>
          </w:tcPr>
          <w:p w14:paraId="36642460"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w:t>
            </w:r>
          </w:p>
        </w:tc>
        <w:tc>
          <w:tcPr>
            <w:tcW w:w="873" w:type="dxa"/>
            <w:shd w:val="clear" w:color="auto" w:fill="auto"/>
            <w:noWrap/>
            <w:vAlign w:val="center"/>
          </w:tcPr>
          <w:p w14:paraId="3AD4463A"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w:t>
            </w:r>
          </w:p>
        </w:tc>
        <w:tc>
          <w:tcPr>
            <w:tcW w:w="117" w:type="dxa"/>
            <w:shd w:val="clear" w:color="auto" w:fill="auto"/>
            <w:noWrap/>
            <w:vAlign w:val="center"/>
          </w:tcPr>
          <w:p w14:paraId="7C96E041"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tcPr>
          <w:p w14:paraId="43261EDD"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w:t>
            </w:r>
          </w:p>
        </w:tc>
        <w:tc>
          <w:tcPr>
            <w:tcW w:w="1080" w:type="dxa"/>
            <w:shd w:val="clear" w:color="auto" w:fill="auto"/>
            <w:noWrap/>
            <w:vAlign w:val="center"/>
          </w:tcPr>
          <w:p w14:paraId="287AEADD"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w:t>
            </w:r>
          </w:p>
        </w:tc>
        <w:tc>
          <w:tcPr>
            <w:tcW w:w="828" w:type="dxa"/>
            <w:shd w:val="clear" w:color="auto" w:fill="auto"/>
            <w:noWrap/>
            <w:vAlign w:val="center"/>
          </w:tcPr>
          <w:p w14:paraId="0E90ED51"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w:t>
            </w:r>
          </w:p>
        </w:tc>
      </w:tr>
      <w:tr w:rsidR="00744544" w:rsidRPr="00A66C9F" w14:paraId="07AF1F53" w14:textId="77777777" w:rsidTr="00107D5D">
        <w:tc>
          <w:tcPr>
            <w:tcW w:w="2520" w:type="dxa"/>
            <w:shd w:val="clear" w:color="auto" w:fill="auto"/>
            <w:noWrap/>
            <w:vAlign w:val="center"/>
            <w:hideMark/>
          </w:tcPr>
          <w:p w14:paraId="6329D4B2" w14:textId="77777777" w:rsidR="00744544" w:rsidRPr="00A66C9F" w:rsidRDefault="00744544" w:rsidP="00107D5D">
            <w:pPr>
              <w:tabs>
                <w:tab w:val="left" w:pos="288"/>
                <w:tab w:val="left" w:pos="576"/>
                <w:tab w:val="left" w:pos="864"/>
                <w:tab w:val="left" w:pos="1152"/>
              </w:tabs>
              <w:spacing w:before="30" w:after="30" w:line="200" w:lineRule="exact"/>
              <w:rPr>
                <w:sz w:val="16"/>
                <w:szCs w:val="16"/>
                <w:lang w:val="fr-FR"/>
              </w:rPr>
            </w:pPr>
            <w:r w:rsidRPr="00A66C9F">
              <w:rPr>
                <w:sz w:val="16"/>
                <w:szCs w:val="16"/>
                <w:lang w:val="fr-FR"/>
              </w:rPr>
              <w:t xml:space="preserve">Chili </w:t>
            </w:r>
          </w:p>
        </w:tc>
        <w:tc>
          <w:tcPr>
            <w:tcW w:w="900" w:type="dxa"/>
            <w:shd w:val="clear" w:color="auto" w:fill="auto"/>
            <w:noWrap/>
            <w:vAlign w:val="center"/>
            <w:hideMark/>
          </w:tcPr>
          <w:p w14:paraId="56D18B8D"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401 </w:t>
            </w:r>
          </w:p>
        </w:tc>
        <w:tc>
          <w:tcPr>
            <w:tcW w:w="630" w:type="dxa"/>
            <w:shd w:val="clear" w:color="auto" w:fill="auto"/>
            <w:noWrap/>
            <w:vAlign w:val="center"/>
            <w:hideMark/>
          </w:tcPr>
          <w:p w14:paraId="3FE386BA"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434 </w:t>
            </w:r>
          </w:p>
        </w:tc>
        <w:tc>
          <w:tcPr>
            <w:tcW w:w="720" w:type="dxa"/>
            <w:shd w:val="clear" w:color="auto" w:fill="auto"/>
            <w:noWrap/>
            <w:vAlign w:val="center"/>
            <w:hideMark/>
          </w:tcPr>
          <w:p w14:paraId="16B453A2"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(58) </w:t>
            </w:r>
          </w:p>
        </w:tc>
        <w:tc>
          <w:tcPr>
            <w:tcW w:w="90" w:type="dxa"/>
            <w:shd w:val="clear" w:color="auto" w:fill="auto"/>
            <w:noWrap/>
            <w:vAlign w:val="center"/>
            <w:hideMark/>
          </w:tcPr>
          <w:p w14:paraId="1EF91AF6"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hideMark/>
          </w:tcPr>
          <w:p w14:paraId="558C102E"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38 </w:t>
            </w:r>
          </w:p>
        </w:tc>
        <w:tc>
          <w:tcPr>
            <w:tcW w:w="990" w:type="dxa"/>
            <w:shd w:val="clear" w:color="auto" w:fill="auto"/>
            <w:noWrap/>
            <w:vAlign w:val="center"/>
            <w:hideMark/>
          </w:tcPr>
          <w:p w14:paraId="7955931E"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837" w:type="dxa"/>
            <w:shd w:val="clear" w:color="auto" w:fill="auto"/>
            <w:noWrap/>
            <w:vAlign w:val="center"/>
            <w:hideMark/>
          </w:tcPr>
          <w:p w14:paraId="62F9E101"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38</w:t>
            </w:r>
          </w:p>
        </w:tc>
        <w:tc>
          <w:tcPr>
            <w:tcW w:w="90" w:type="dxa"/>
            <w:shd w:val="clear" w:color="auto" w:fill="auto"/>
            <w:noWrap/>
            <w:vAlign w:val="center"/>
            <w:hideMark/>
          </w:tcPr>
          <w:p w14:paraId="2739CDFD"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1053" w:type="dxa"/>
            <w:shd w:val="clear" w:color="auto" w:fill="auto"/>
            <w:noWrap/>
            <w:vAlign w:val="center"/>
          </w:tcPr>
          <w:p w14:paraId="6FA02897"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431 </w:t>
            </w:r>
          </w:p>
        </w:tc>
        <w:tc>
          <w:tcPr>
            <w:tcW w:w="720" w:type="dxa"/>
            <w:shd w:val="clear" w:color="auto" w:fill="auto"/>
            <w:noWrap/>
            <w:vAlign w:val="center"/>
          </w:tcPr>
          <w:p w14:paraId="6E422635"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260 </w:t>
            </w:r>
          </w:p>
        </w:tc>
        <w:tc>
          <w:tcPr>
            <w:tcW w:w="873" w:type="dxa"/>
            <w:shd w:val="clear" w:color="auto" w:fill="auto"/>
            <w:noWrap/>
            <w:vAlign w:val="center"/>
          </w:tcPr>
          <w:p w14:paraId="7AC0BB1B"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173 </w:t>
            </w:r>
          </w:p>
        </w:tc>
        <w:tc>
          <w:tcPr>
            <w:tcW w:w="117" w:type="dxa"/>
            <w:shd w:val="clear" w:color="auto" w:fill="auto"/>
            <w:noWrap/>
            <w:vAlign w:val="center"/>
          </w:tcPr>
          <w:p w14:paraId="4ED704C0"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tcPr>
          <w:p w14:paraId="29DE2307"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13 </w:t>
            </w:r>
          </w:p>
        </w:tc>
        <w:tc>
          <w:tcPr>
            <w:tcW w:w="1080" w:type="dxa"/>
            <w:shd w:val="clear" w:color="auto" w:fill="auto"/>
            <w:noWrap/>
            <w:vAlign w:val="center"/>
          </w:tcPr>
          <w:p w14:paraId="49F27EE3"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828" w:type="dxa"/>
            <w:shd w:val="clear" w:color="auto" w:fill="auto"/>
            <w:noWrap/>
            <w:vAlign w:val="center"/>
          </w:tcPr>
          <w:p w14:paraId="76FA9EE8"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13 </w:t>
            </w:r>
          </w:p>
        </w:tc>
      </w:tr>
      <w:tr w:rsidR="00744544" w:rsidRPr="00A66C9F" w14:paraId="23EAC7C1" w14:textId="77777777" w:rsidTr="00107D5D">
        <w:tc>
          <w:tcPr>
            <w:tcW w:w="2520" w:type="dxa"/>
            <w:shd w:val="clear" w:color="auto" w:fill="auto"/>
            <w:noWrap/>
            <w:vAlign w:val="center"/>
            <w:hideMark/>
          </w:tcPr>
          <w:p w14:paraId="64515C23" w14:textId="77777777" w:rsidR="00744544" w:rsidRPr="00A66C9F" w:rsidRDefault="00744544" w:rsidP="00107D5D">
            <w:pPr>
              <w:tabs>
                <w:tab w:val="left" w:pos="288"/>
                <w:tab w:val="left" w:pos="576"/>
                <w:tab w:val="left" w:pos="864"/>
                <w:tab w:val="left" w:pos="1152"/>
              </w:tabs>
              <w:spacing w:before="30" w:after="30" w:line="200" w:lineRule="exact"/>
              <w:rPr>
                <w:sz w:val="16"/>
                <w:szCs w:val="16"/>
                <w:lang w:val="fr-FR"/>
              </w:rPr>
            </w:pPr>
            <w:r w:rsidRPr="00A66C9F">
              <w:rPr>
                <w:sz w:val="16"/>
                <w:szCs w:val="16"/>
                <w:lang w:val="fr-FR"/>
              </w:rPr>
              <w:t xml:space="preserve">Chine </w:t>
            </w:r>
          </w:p>
        </w:tc>
        <w:tc>
          <w:tcPr>
            <w:tcW w:w="900" w:type="dxa"/>
            <w:shd w:val="clear" w:color="auto" w:fill="auto"/>
            <w:noWrap/>
            <w:vAlign w:val="center"/>
            <w:hideMark/>
          </w:tcPr>
          <w:p w14:paraId="20489245"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3 578 </w:t>
            </w:r>
          </w:p>
        </w:tc>
        <w:tc>
          <w:tcPr>
            <w:tcW w:w="630" w:type="dxa"/>
            <w:shd w:val="clear" w:color="auto" w:fill="auto"/>
            <w:noWrap/>
            <w:vAlign w:val="center"/>
            <w:hideMark/>
          </w:tcPr>
          <w:p w14:paraId="1B201598"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587 </w:t>
            </w:r>
          </w:p>
        </w:tc>
        <w:tc>
          <w:tcPr>
            <w:tcW w:w="720" w:type="dxa"/>
            <w:shd w:val="clear" w:color="auto" w:fill="auto"/>
            <w:noWrap/>
            <w:vAlign w:val="center"/>
            <w:hideMark/>
          </w:tcPr>
          <w:p w14:paraId="38E9285C"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2 790 </w:t>
            </w:r>
          </w:p>
        </w:tc>
        <w:tc>
          <w:tcPr>
            <w:tcW w:w="90" w:type="dxa"/>
            <w:shd w:val="clear" w:color="auto" w:fill="auto"/>
            <w:noWrap/>
            <w:vAlign w:val="center"/>
            <w:hideMark/>
          </w:tcPr>
          <w:p w14:paraId="63BE177A"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hideMark/>
          </w:tcPr>
          <w:p w14:paraId="0E979D28"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14 747 </w:t>
            </w:r>
          </w:p>
        </w:tc>
        <w:tc>
          <w:tcPr>
            <w:tcW w:w="990" w:type="dxa"/>
            <w:shd w:val="clear" w:color="auto" w:fill="auto"/>
            <w:noWrap/>
            <w:vAlign w:val="center"/>
            <w:hideMark/>
          </w:tcPr>
          <w:p w14:paraId="6974C858"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(14 450)</w:t>
            </w:r>
          </w:p>
        </w:tc>
        <w:tc>
          <w:tcPr>
            <w:tcW w:w="837" w:type="dxa"/>
            <w:shd w:val="clear" w:color="auto" w:fill="auto"/>
            <w:noWrap/>
            <w:vAlign w:val="center"/>
            <w:hideMark/>
          </w:tcPr>
          <w:p w14:paraId="4036B661"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297</w:t>
            </w:r>
          </w:p>
        </w:tc>
        <w:tc>
          <w:tcPr>
            <w:tcW w:w="90" w:type="dxa"/>
            <w:shd w:val="clear" w:color="auto" w:fill="auto"/>
            <w:noWrap/>
            <w:vAlign w:val="center"/>
            <w:hideMark/>
          </w:tcPr>
          <w:p w14:paraId="0DFF7BFC"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1053" w:type="dxa"/>
            <w:shd w:val="clear" w:color="auto" w:fill="auto"/>
            <w:noWrap/>
            <w:vAlign w:val="center"/>
          </w:tcPr>
          <w:p w14:paraId="1D4436BC"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3 343 </w:t>
            </w:r>
          </w:p>
        </w:tc>
        <w:tc>
          <w:tcPr>
            <w:tcW w:w="720" w:type="dxa"/>
            <w:shd w:val="clear" w:color="auto" w:fill="auto"/>
            <w:noWrap/>
            <w:vAlign w:val="center"/>
          </w:tcPr>
          <w:p w14:paraId="5CF48903"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183 </w:t>
            </w:r>
          </w:p>
        </w:tc>
        <w:tc>
          <w:tcPr>
            <w:tcW w:w="873" w:type="dxa"/>
            <w:shd w:val="clear" w:color="auto" w:fill="auto"/>
            <w:noWrap/>
            <w:vAlign w:val="center"/>
          </w:tcPr>
          <w:p w14:paraId="2C391334"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3 064 </w:t>
            </w:r>
          </w:p>
        </w:tc>
        <w:tc>
          <w:tcPr>
            <w:tcW w:w="117" w:type="dxa"/>
            <w:shd w:val="clear" w:color="auto" w:fill="auto"/>
            <w:noWrap/>
            <w:vAlign w:val="center"/>
          </w:tcPr>
          <w:p w14:paraId="24A286F0"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tcPr>
          <w:p w14:paraId="0A1F5EE3"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13 206 </w:t>
            </w:r>
          </w:p>
        </w:tc>
        <w:tc>
          <w:tcPr>
            <w:tcW w:w="1080" w:type="dxa"/>
            <w:shd w:val="clear" w:color="auto" w:fill="auto"/>
            <w:noWrap/>
            <w:vAlign w:val="center"/>
          </w:tcPr>
          <w:p w14:paraId="7087D8B1"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(13 110)</w:t>
            </w:r>
          </w:p>
        </w:tc>
        <w:tc>
          <w:tcPr>
            <w:tcW w:w="828" w:type="dxa"/>
            <w:shd w:val="clear" w:color="auto" w:fill="auto"/>
            <w:noWrap/>
            <w:vAlign w:val="center"/>
          </w:tcPr>
          <w:p w14:paraId="26910147"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96 </w:t>
            </w:r>
          </w:p>
        </w:tc>
      </w:tr>
      <w:tr w:rsidR="00744544" w:rsidRPr="00A66C9F" w14:paraId="3F4F276A" w14:textId="77777777" w:rsidTr="00107D5D">
        <w:tc>
          <w:tcPr>
            <w:tcW w:w="2520" w:type="dxa"/>
            <w:shd w:val="clear" w:color="auto" w:fill="auto"/>
            <w:noWrap/>
            <w:vAlign w:val="center"/>
            <w:hideMark/>
          </w:tcPr>
          <w:p w14:paraId="00FDEB1E" w14:textId="77777777" w:rsidR="00744544" w:rsidRPr="00A66C9F" w:rsidRDefault="00744544" w:rsidP="00107D5D">
            <w:pPr>
              <w:tabs>
                <w:tab w:val="left" w:pos="288"/>
                <w:tab w:val="left" w:pos="576"/>
                <w:tab w:val="left" w:pos="864"/>
                <w:tab w:val="left" w:pos="1152"/>
              </w:tabs>
              <w:spacing w:before="30" w:after="30" w:line="200" w:lineRule="exact"/>
              <w:rPr>
                <w:sz w:val="16"/>
                <w:szCs w:val="16"/>
                <w:lang w:val="fr-FR"/>
              </w:rPr>
            </w:pPr>
            <w:r w:rsidRPr="00A66C9F">
              <w:rPr>
                <w:sz w:val="16"/>
                <w:szCs w:val="16"/>
                <w:lang w:val="fr-FR"/>
              </w:rPr>
              <w:t>Colombie</w:t>
            </w:r>
          </w:p>
        </w:tc>
        <w:tc>
          <w:tcPr>
            <w:tcW w:w="900" w:type="dxa"/>
            <w:shd w:val="clear" w:color="auto" w:fill="auto"/>
            <w:noWrap/>
            <w:vAlign w:val="center"/>
            <w:hideMark/>
          </w:tcPr>
          <w:p w14:paraId="283193A0"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8</w:t>
            </w:r>
          </w:p>
        </w:tc>
        <w:tc>
          <w:tcPr>
            <w:tcW w:w="630" w:type="dxa"/>
            <w:shd w:val="clear" w:color="auto" w:fill="auto"/>
            <w:noWrap/>
            <w:vAlign w:val="center"/>
            <w:hideMark/>
          </w:tcPr>
          <w:p w14:paraId="10F91DAC"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w:t>
            </w:r>
          </w:p>
        </w:tc>
        <w:tc>
          <w:tcPr>
            <w:tcW w:w="720" w:type="dxa"/>
            <w:shd w:val="clear" w:color="auto" w:fill="auto"/>
            <w:noWrap/>
            <w:vAlign w:val="center"/>
            <w:hideMark/>
          </w:tcPr>
          <w:p w14:paraId="3FF40578"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w:t>
            </w:r>
          </w:p>
        </w:tc>
        <w:tc>
          <w:tcPr>
            <w:tcW w:w="90" w:type="dxa"/>
            <w:shd w:val="clear" w:color="auto" w:fill="auto"/>
            <w:noWrap/>
            <w:vAlign w:val="center"/>
            <w:hideMark/>
          </w:tcPr>
          <w:p w14:paraId="0F82B4B6"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hideMark/>
          </w:tcPr>
          <w:p w14:paraId="245B5953"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8</w:t>
            </w:r>
          </w:p>
        </w:tc>
        <w:tc>
          <w:tcPr>
            <w:tcW w:w="990" w:type="dxa"/>
            <w:shd w:val="clear" w:color="auto" w:fill="auto"/>
            <w:noWrap/>
            <w:vAlign w:val="center"/>
            <w:hideMark/>
          </w:tcPr>
          <w:p w14:paraId="5F7E8943"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w:t>
            </w:r>
          </w:p>
        </w:tc>
        <w:tc>
          <w:tcPr>
            <w:tcW w:w="837" w:type="dxa"/>
            <w:shd w:val="clear" w:color="auto" w:fill="auto"/>
            <w:noWrap/>
            <w:vAlign w:val="center"/>
            <w:hideMark/>
          </w:tcPr>
          <w:p w14:paraId="1464AD74"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8</w:t>
            </w:r>
          </w:p>
        </w:tc>
        <w:tc>
          <w:tcPr>
            <w:tcW w:w="90" w:type="dxa"/>
            <w:shd w:val="clear" w:color="auto" w:fill="auto"/>
            <w:noWrap/>
            <w:vAlign w:val="center"/>
            <w:hideMark/>
          </w:tcPr>
          <w:p w14:paraId="755EF402"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1053" w:type="dxa"/>
            <w:shd w:val="clear" w:color="auto" w:fill="auto"/>
            <w:noWrap/>
            <w:vAlign w:val="center"/>
          </w:tcPr>
          <w:p w14:paraId="56C3EBC2"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w:t>
            </w:r>
          </w:p>
        </w:tc>
        <w:tc>
          <w:tcPr>
            <w:tcW w:w="720" w:type="dxa"/>
            <w:shd w:val="clear" w:color="auto" w:fill="auto"/>
            <w:noWrap/>
            <w:vAlign w:val="center"/>
          </w:tcPr>
          <w:p w14:paraId="35385535"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w:t>
            </w:r>
          </w:p>
        </w:tc>
        <w:tc>
          <w:tcPr>
            <w:tcW w:w="873" w:type="dxa"/>
            <w:shd w:val="clear" w:color="auto" w:fill="auto"/>
            <w:noWrap/>
            <w:vAlign w:val="center"/>
          </w:tcPr>
          <w:p w14:paraId="4D29A307"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w:t>
            </w:r>
          </w:p>
        </w:tc>
        <w:tc>
          <w:tcPr>
            <w:tcW w:w="117" w:type="dxa"/>
            <w:shd w:val="clear" w:color="auto" w:fill="auto"/>
            <w:noWrap/>
            <w:vAlign w:val="center"/>
          </w:tcPr>
          <w:p w14:paraId="5160160A"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tcPr>
          <w:p w14:paraId="6E3A56F2"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w:t>
            </w:r>
          </w:p>
        </w:tc>
        <w:tc>
          <w:tcPr>
            <w:tcW w:w="1080" w:type="dxa"/>
            <w:shd w:val="clear" w:color="auto" w:fill="auto"/>
            <w:noWrap/>
            <w:vAlign w:val="center"/>
          </w:tcPr>
          <w:p w14:paraId="4F266F89"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w:t>
            </w:r>
          </w:p>
        </w:tc>
        <w:tc>
          <w:tcPr>
            <w:tcW w:w="828" w:type="dxa"/>
            <w:shd w:val="clear" w:color="auto" w:fill="auto"/>
            <w:noWrap/>
            <w:vAlign w:val="center"/>
          </w:tcPr>
          <w:p w14:paraId="1091AAB9"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w:t>
            </w:r>
          </w:p>
        </w:tc>
      </w:tr>
      <w:tr w:rsidR="00744544" w:rsidRPr="00A66C9F" w14:paraId="5DF1B0EB" w14:textId="77777777" w:rsidTr="00107D5D">
        <w:tc>
          <w:tcPr>
            <w:tcW w:w="2520" w:type="dxa"/>
            <w:shd w:val="clear" w:color="auto" w:fill="auto"/>
            <w:noWrap/>
            <w:vAlign w:val="center"/>
          </w:tcPr>
          <w:p w14:paraId="5AA7EDCA" w14:textId="77777777" w:rsidR="00744544" w:rsidRPr="00A66C9F" w:rsidRDefault="00744544" w:rsidP="00107D5D">
            <w:pPr>
              <w:tabs>
                <w:tab w:val="left" w:pos="288"/>
                <w:tab w:val="left" w:pos="576"/>
                <w:tab w:val="left" w:pos="864"/>
                <w:tab w:val="left" w:pos="1152"/>
              </w:tabs>
              <w:spacing w:before="30" w:after="30" w:line="200" w:lineRule="exact"/>
              <w:rPr>
                <w:sz w:val="16"/>
                <w:szCs w:val="16"/>
                <w:lang w:val="fr-FR"/>
              </w:rPr>
            </w:pPr>
            <w:r w:rsidRPr="00A66C9F">
              <w:rPr>
                <w:sz w:val="16"/>
                <w:szCs w:val="16"/>
                <w:lang w:val="fr-FR"/>
              </w:rPr>
              <w:t xml:space="preserve">Espagne </w:t>
            </w:r>
          </w:p>
        </w:tc>
        <w:tc>
          <w:tcPr>
            <w:tcW w:w="900" w:type="dxa"/>
            <w:shd w:val="clear" w:color="auto" w:fill="auto"/>
            <w:noWrap/>
            <w:vAlign w:val="center"/>
          </w:tcPr>
          <w:p w14:paraId="775A47E1"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2 260 </w:t>
            </w:r>
          </w:p>
        </w:tc>
        <w:tc>
          <w:tcPr>
            <w:tcW w:w="630" w:type="dxa"/>
            <w:shd w:val="clear" w:color="auto" w:fill="auto"/>
            <w:noWrap/>
            <w:vAlign w:val="center"/>
          </w:tcPr>
          <w:p w14:paraId="5D847959"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2 530</w:t>
            </w:r>
          </w:p>
        </w:tc>
        <w:tc>
          <w:tcPr>
            <w:tcW w:w="720" w:type="dxa"/>
            <w:shd w:val="clear" w:color="auto" w:fill="auto"/>
            <w:noWrap/>
            <w:vAlign w:val="center"/>
          </w:tcPr>
          <w:p w14:paraId="3E3039DA"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19</w:t>
            </w:r>
          </w:p>
        </w:tc>
        <w:tc>
          <w:tcPr>
            <w:tcW w:w="90" w:type="dxa"/>
            <w:shd w:val="clear" w:color="auto" w:fill="auto"/>
            <w:noWrap/>
            <w:vAlign w:val="center"/>
          </w:tcPr>
          <w:p w14:paraId="5B2836F6"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tcPr>
          <w:p w14:paraId="30D1623F"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248</w:t>
            </w:r>
          </w:p>
        </w:tc>
        <w:tc>
          <w:tcPr>
            <w:tcW w:w="990" w:type="dxa"/>
            <w:shd w:val="clear" w:color="auto" w:fill="auto"/>
            <w:noWrap/>
            <w:vAlign w:val="center"/>
          </w:tcPr>
          <w:p w14:paraId="6BB2CD6C"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837" w:type="dxa"/>
            <w:shd w:val="clear" w:color="auto" w:fill="auto"/>
            <w:noWrap/>
            <w:vAlign w:val="center"/>
          </w:tcPr>
          <w:p w14:paraId="457F8D76"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248</w:t>
            </w:r>
          </w:p>
        </w:tc>
        <w:tc>
          <w:tcPr>
            <w:tcW w:w="90" w:type="dxa"/>
            <w:shd w:val="clear" w:color="auto" w:fill="auto"/>
            <w:noWrap/>
            <w:vAlign w:val="center"/>
          </w:tcPr>
          <w:p w14:paraId="4962D0FE"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1053" w:type="dxa"/>
            <w:shd w:val="clear" w:color="auto" w:fill="auto"/>
            <w:noWrap/>
            <w:vAlign w:val="center"/>
          </w:tcPr>
          <w:p w14:paraId="6EF8740A"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2 285 </w:t>
            </w:r>
          </w:p>
        </w:tc>
        <w:tc>
          <w:tcPr>
            <w:tcW w:w="720" w:type="dxa"/>
            <w:shd w:val="clear" w:color="auto" w:fill="auto"/>
            <w:noWrap/>
            <w:vAlign w:val="center"/>
          </w:tcPr>
          <w:p w14:paraId="4C88A6AF"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1 950 </w:t>
            </w:r>
          </w:p>
        </w:tc>
        <w:tc>
          <w:tcPr>
            <w:tcW w:w="873" w:type="dxa"/>
            <w:shd w:val="clear" w:color="auto" w:fill="auto"/>
            <w:noWrap/>
            <w:vAlign w:val="center"/>
          </w:tcPr>
          <w:p w14:paraId="316F5593"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27 </w:t>
            </w:r>
          </w:p>
        </w:tc>
        <w:tc>
          <w:tcPr>
            <w:tcW w:w="117" w:type="dxa"/>
            <w:shd w:val="clear" w:color="auto" w:fill="auto"/>
            <w:noWrap/>
            <w:vAlign w:val="center"/>
          </w:tcPr>
          <w:p w14:paraId="1732C59E"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tcPr>
          <w:p w14:paraId="11D3F061"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537 </w:t>
            </w:r>
          </w:p>
        </w:tc>
        <w:tc>
          <w:tcPr>
            <w:tcW w:w="1080" w:type="dxa"/>
            <w:shd w:val="clear" w:color="auto" w:fill="auto"/>
            <w:noWrap/>
            <w:vAlign w:val="center"/>
          </w:tcPr>
          <w:p w14:paraId="0AB972A3"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828" w:type="dxa"/>
            <w:shd w:val="clear" w:color="auto" w:fill="auto"/>
            <w:noWrap/>
            <w:vAlign w:val="center"/>
          </w:tcPr>
          <w:p w14:paraId="076F8FF0"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537 </w:t>
            </w:r>
          </w:p>
        </w:tc>
      </w:tr>
      <w:tr w:rsidR="00744544" w:rsidRPr="00A66C9F" w14:paraId="6043F4CD" w14:textId="77777777" w:rsidTr="00107D5D">
        <w:tc>
          <w:tcPr>
            <w:tcW w:w="2520" w:type="dxa"/>
            <w:shd w:val="clear" w:color="auto" w:fill="auto"/>
            <w:noWrap/>
            <w:vAlign w:val="center"/>
          </w:tcPr>
          <w:p w14:paraId="1C1D1332" w14:textId="77777777" w:rsidR="00744544" w:rsidRPr="00A66C9F" w:rsidRDefault="00744544" w:rsidP="00107D5D">
            <w:pPr>
              <w:tabs>
                <w:tab w:val="left" w:pos="288"/>
                <w:tab w:val="left" w:pos="576"/>
                <w:tab w:val="left" w:pos="864"/>
                <w:tab w:val="left" w:pos="1152"/>
              </w:tabs>
              <w:spacing w:before="30" w:after="30" w:line="200" w:lineRule="exact"/>
              <w:rPr>
                <w:sz w:val="16"/>
                <w:szCs w:val="16"/>
                <w:lang w:val="fr-FR"/>
              </w:rPr>
            </w:pPr>
            <w:r w:rsidRPr="00A66C9F">
              <w:rPr>
                <w:sz w:val="16"/>
                <w:szCs w:val="16"/>
                <w:lang w:val="fr-FR"/>
              </w:rPr>
              <w:t xml:space="preserve">Fédération de Russie </w:t>
            </w:r>
          </w:p>
        </w:tc>
        <w:tc>
          <w:tcPr>
            <w:tcW w:w="900" w:type="dxa"/>
            <w:shd w:val="clear" w:color="auto" w:fill="auto"/>
            <w:noWrap/>
            <w:vAlign w:val="center"/>
          </w:tcPr>
          <w:p w14:paraId="22762741"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1 894 </w:t>
            </w:r>
          </w:p>
        </w:tc>
        <w:tc>
          <w:tcPr>
            <w:tcW w:w="630" w:type="dxa"/>
            <w:shd w:val="clear" w:color="auto" w:fill="auto"/>
            <w:noWrap/>
            <w:vAlign w:val="center"/>
          </w:tcPr>
          <w:p w14:paraId="29CCA408"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720" w:type="dxa"/>
            <w:shd w:val="clear" w:color="auto" w:fill="auto"/>
            <w:noWrap/>
            <w:vAlign w:val="center"/>
          </w:tcPr>
          <w:p w14:paraId="2ABDA252"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451</w:t>
            </w:r>
          </w:p>
        </w:tc>
        <w:tc>
          <w:tcPr>
            <w:tcW w:w="90" w:type="dxa"/>
            <w:shd w:val="clear" w:color="auto" w:fill="auto"/>
            <w:noWrap/>
            <w:vAlign w:val="center"/>
          </w:tcPr>
          <w:p w14:paraId="4808EE58"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tcPr>
          <w:p w14:paraId="19AC758C"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1 443</w:t>
            </w:r>
          </w:p>
        </w:tc>
        <w:tc>
          <w:tcPr>
            <w:tcW w:w="990" w:type="dxa"/>
            <w:shd w:val="clear" w:color="auto" w:fill="auto"/>
            <w:noWrap/>
            <w:vAlign w:val="center"/>
          </w:tcPr>
          <w:p w14:paraId="08262B98"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837" w:type="dxa"/>
            <w:shd w:val="clear" w:color="auto" w:fill="auto"/>
            <w:noWrap/>
            <w:vAlign w:val="center"/>
          </w:tcPr>
          <w:p w14:paraId="3B630E62"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1 443</w:t>
            </w:r>
          </w:p>
        </w:tc>
        <w:tc>
          <w:tcPr>
            <w:tcW w:w="90" w:type="dxa"/>
            <w:shd w:val="clear" w:color="auto" w:fill="auto"/>
            <w:noWrap/>
            <w:vAlign w:val="center"/>
          </w:tcPr>
          <w:p w14:paraId="622B86DD"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1053" w:type="dxa"/>
            <w:shd w:val="clear" w:color="auto" w:fill="auto"/>
            <w:noWrap/>
            <w:vAlign w:val="center"/>
          </w:tcPr>
          <w:p w14:paraId="3AE1AE24"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1 276 </w:t>
            </w:r>
          </w:p>
        </w:tc>
        <w:tc>
          <w:tcPr>
            <w:tcW w:w="720" w:type="dxa"/>
            <w:shd w:val="clear" w:color="auto" w:fill="auto"/>
            <w:noWrap/>
            <w:vAlign w:val="center"/>
          </w:tcPr>
          <w:p w14:paraId="7EE27D75"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873" w:type="dxa"/>
            <w:shd w:val="clear" w:color="auto" w:fill="auto"/>
            <w:noWrap/>
            <w:vAlign w:val="center"/>
          </w:tcPr>
          <w:p w14:paraId="51F3DE4D"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1 276 </w:t>
            </w:r>
          </w:p>
        </w:tc>
        <w:tc>
          <w:tcPr>
            <w:tcW w:w="117" w:type="dxa"/>
            <w:shd w:val="clear" w:color="auto" w:fill="auto"/>
            <w:noWrap/>
            <w:vAlign w:val="center"/>
          </w:tcPr>
          <w:p w14:paraId="13A3FFED"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tcPr>
          <w:p w14:paraId="159DD34F"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1080" w:type="dxa"/>
            <w:shd w:val="clear" w:color="auto" w:fill="auto"/>
            <w:noWrap/>
            <w:vAlign w:val="center"/>
          </w:tcPr>
          <w:p w14:paraId="62C0379E"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828" w:type="dxa"/>
            <w:shd w:val="clear" w:color="auto" w:fill="auto"/>
            <w:noWrap/>
            <w:vAlign w:val="center"/>
          </w:tcPr>
          <w:p w14:paraId="032291E7"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r>
      <w:tr w:rsidR="00744544" w:rsidRPr="00A66C9F" w14:paraId="3E8222E6" w14:textId="77777777" w:rsidTr="00107D5D">
        <w:tc>
          <w:tcPr>
            <w:tcW w:w="2520" w:type="dxa"/>
            <w:shd w:val="clear" w:color="auto" w:fill="auto"/>
            <w:noWrap/>
            <w:vAlign w:val="center"/>
            <w:hideMark/>
          </w:tcPr>
          <w:p w14:paraId="2A134AEC" w14:textId="77777777" w:rsidR="00744544" w:rsidRPr="00A66C9F" w:rsidRDefault="00744544" w:rsidP="00107D5D">
            <w:pPr>
              <w:tabs>
                <w:tab w:val="left" w:pos="288"/>
                <w:tab w:val="left" w:pos="576"/>
                <w:tab w:val="left" w:pos="864"/>
                <w:tab w:val="left" w:pos="1152"/>
              </w:tabs>
              <w:spacing w:before="30" w:after="30" w:line="200" w:lineRule="exact"/>
              <w:rPr>
                <w:sz w:val="16"/>
                <w:szCs w:val="16"/>
                <w:lang w:val="fr-FR"/>
              </w:rPr>
            </w:pPr>
            <w:r w:rsidRPr="00A66C9F">
              <w:rPr>
                <w:sz w:val="16"/>
                <w:szCs w:val="16"/>
                <w:lang w:val="fr-FR"/>
              </w:rPr>
              <w:t xml:space="preserve">France </w:t>
            </w:r>
          </w:p>
        </w:tc>
        <w:tc>
          <w:tcPr>
            <w:tcW w:w="900" w:type="dxa"/>
            <w:shd w:val="clear" w:color="auto" w:fill="auto"/>
            <w:noWrap/>
            <w:vAlign w:val="center"/>
            <w:hideMark/>
          </w:tcPr>
          <w:p w14:paraId="412E002C"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630" w:type="dxa"/>
            <w:shd w:val="clear" w:color="auto" w:fill="auto"/>
            <w:noWrap/>
            <w:vAlign w:val="center"/>
            <w:hideMark/>
          </w:tcPr>
          <w:p w14:paraId="1CC979EB"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w:t>
            </w:r>
          </w:p>
        </w:tc>
        <w:tc>
          <w:tcPr>
            <w:tcW w:w="720" w:type="dxa"/>
            <w:shd w:val="clear" w:color="auto" w:fill="auto"/>
            <w:noWrap/>
            <w:vAlign w:val="center"/>
            <w:hideMark/>
          </w:tcPr>
          <w:p w14:paraId="7856EF5B"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w:t>
            </w:r>
          </w:p>
        </w:tc>
        <w:tc>
          <w:tcPr>
            <w:tcW w:w="90" w:type="dxa"/>
            <w:shd w:val="clear" w:color="auto" w:fill="auto"/>
            <w:noWrap/>
            <w:vAlign w:val="center"/>
            <w:hideMark/>
          </w:tcPr>
          <w:p w14:paraId="3A295EBC"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hideMark/>
          </w:tcPr>
          <w:p w14:paraId="602422B1"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990" w:type="dxa"/>
            <w:shd w:val="clear" w:color="auto" w:fill="auto"/>
            <w:noWrap/>
            <w:vAlign w:val="center"/>
            <w:hideMark/>
          </w:tcPr>
          <w:p w14:paraId="6553DCAE"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837" w:type="dxa"/>
            <w:shd w:val="clear" w:color="auto" w:fill="auto"/>
            <w:noWrap/>
            <w:vAlign w:val="center"/>
            <w:hideMark/>
          </w:tcPr>
          <w:p w14:paraId="5D45ED21"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90" w:type="dxa"/>
            <w:shd w:val="clear" w:color="auto" w:fill="auto"/>
            <w:noWrap/>
            <w:vAlign w:val="center"/>
            <w:hideMark/>
          </w:tcPr>
          <w:p w14:paraId="5EA6F6BC"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1053" w:type="dxa"/>
            <w:shd w:val="clear" w:color="auto" w:fill="auto"/>
            <w:noWrap/>
            <w:vAlign w:val="center"/>
          </w:tcPr>
          <w:p w14:paraId="46546BC7"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720" w:type="dxa"/>
            <w:shd w:val="clear" w:color="auto" w:fill="auto"/>
            <w:noWrap/>
            <w:vAlign w:val="center"/>
          </w:tcPr>
          <w:p w14:paraId="2FB79732"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226 </w:t>
            </w:r>
          </w:p>
        </w:tc>
        <w:tc>
          <w:tcPr>
            <w:tcW w:w="873" w:type="dxa"/>
            <w:shd w:val="clear" w:color="auto" w:fill="auto"/>
            <w:noWrap/>
            <w:vAlign w:val="center"/>
          </w:tcPr>
          <w:p w14:paraId="31303434"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(7)</w:t>
            </w:r>
          </w:p>
        </w:tc>
        <w:tc>
          <w:tcPr>
            <w:tcW w:w="117" w:type="dxa"/>
            <w:shd w:val="clear" w:color="auto" w:fill="auto"/>
            <w:noWrap/>
            <w:vAlign w:val="center"/>
          </w:tcPr>
          <w:p w14:paraId="214F7CF8"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tcPr>
          <w:p w14:paraId="0179F3EA"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1080" w:type="dxa"/>
            <w:shd w:val="clear" w:color="auto" w:fill="auto"/>
            <w:noWrap/>
            <w:vAlign w:val="center"/>
          </w:tcPr>
          <w:p w14:paraId="3E8F05DD"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828" w:type="dxa"/>
            <w:shd w:val="clear" w:color="auto" w:fill="auto"/>
            <w:noWrap/>
            <w:vAlign w:val="center"/>
          </w:tcPr>
          <w:p w14:paraId="0FE0CF6C"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r>
      <w:tr w:rsidR="00744544" w:rsidRPr="00A66C9F" w14:paraId="3A904C59" w14:textId="77777777" w:rsidTr="00107D5D">
        <w:tc>
          <w:tcPr>
            <w:tcW w:w="2520" w:type="dxa"/>
            <w:shd w:val="clear" w:color="auto" w:fill="auto"/>
            <w:noWrap/>
            <w:vAlign w:val="center"/>
          </w:tcPr>
          <w:p w14:paraId="2181A208" w14:textId="77777777" w:rsidR="00744544" w:rsidRPr="00A66C9F" w:rsidRDefault="00744544" w:rsidP="00107D5D">
            <w:pPr>
              <w:tabs>
                <w:tab w:val="left" w:pos="288"/>
                <w:tab w:val="left" w:pos="576"/>
                <w:tab w:val="left" w:pos="864"/>
                <w:tab w:val="left" w:pos="1152"/>
              </w:tabs>
              <w:spacing w:before="30" w:after="30" w:line="200" w:lineRule="exact"/>
              <w:rPr>
                <w:sz w:val="16"/>
                <w:szCs w:val="16"/>
                <w:lang w:val="fr-FR"/>
              </w:rPr>
            </w:pPr>
            <w:r w:rsidRPr="00A66C9F">
              <w:rPr>
                <w:sz w:val="16"/>
                <w:szCs w:val="16"/>
                <w:lang w:val="fr-FR"/>
              </w:rPr>
              <w:t xml:space="preserve">Grèce </w:t>
            </w:r>
          </w:p>
        </w:tc>
        <w:tc>
          <w:tcPr>
            <w:tcW w:w="900" w:type="dxa"/>
            <w:shd w:val="clear" w:color="auto" w:fill="auto"/>
            <w:noWrap/>
            <w:vAlign w:val="center"/>
          </w:tcPr>
          <w:p w14:paraId="0531C388"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630" w:type="dxa"/>
            <w:shd w:val="clear" w:color="auto" w:fill="auto"/>
            <w:noWrap/>
            <w:vAlign w:val="center"/>
          </w:tcPr>
          <w:p w14:paraId="6126FBD7"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720" w:type="dxa"/>
            <w:shd w:val="clear" w:color="auto" w:fill="auto"/>
            <w:noWrap/>
            <w:vAlign w:val="center"/>
          </w:tcPr>
          <w:p w14:paraId="2F98533A"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90" w:type="dxa"/>
            <w:shd w:val="clear" w:color="auto" w:fill="auto"/>
            <w:noWrap/>
            <w:vAlign w:val="center"/>
          </w:tcPr>
          <w:p w14:paraId="01BDB609"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tcPr>
          <w:p w14:paraId="65FD2234"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111 </w:t>
            </w:r>
          </w:p>
        </w:tc>
        <w:tc>
          <w:tcPr>
            <w:tcW w:w="990" w:type="dxa"/>
            <w:shd w:val="clear" w:color="auto" w:fill="auto"/>
            <w:noWrap/>
            <w:vAlign w:val="center"/>
          </w:tcPr>
          <w:p w14:paraId="3B1601CE"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(111)</w:t>
            </w:r>
          </w:p>
        </w:tc>
        <w:tc>
          <w:tcPr>
            <w:tcW w:w="837" w:type="dxa"/>
            <w:shd w:val="clear" w:color="auto" w:fill="auto"/>
            <w:noWrap/>
            <w:vAlign w:val="center"/>
          </w:tcPr>
          <w:p w14:paraId="56500F4E"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90" w:type="dxa"/>
            <w:shd w:val="clear" w:color="auto" w:fill="auto"/>
            <w:noWrap/>
            <w:vAlign w:val="center"/>
          </w:tcPr>
          <w:p w14:paraId="58680A83"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1053" w:type="dxa"/>
            <w:shd w:val="clear" w:color="auto" w:fill="auto"/>
            <w:noWrap/>
            <w:vAlign w:val="center"/>
          </w:tcPr>
          <w:p w14:paraId="2A682200"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720" w:type="dxa"/>
            <w:shd w:val="clear" w:color="auto" w:fill="auto"/>
            <w:noWrap/>
            <w:vAlign w:val="center"/>
          </w:tcPr>
          <w:p w14:paraId="77ED2EBE"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873" w:type="dxa"/>
            <w:shd w:val="clear" w:color="auto" w:fill="auto"/>
            <w:noWrap/>
            <w:vAlign w:val="center"/>
          </w:tcPr>
          <w:p w14:paraId="61271992"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117" w:type="dxa"/>
            <w:shd w:val="clear" w:color="auto" w:fill="auto"/>
            <w:noWrap/>
            <w:vAlign w:val="center"/>
          </w:tcPr>
          <w:p w14:paraId="340CDB45"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tcPr>
          <w:p w14:paraId="6C44A8C0"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113 </w:t>
            </w:r>
          </w:p>
        </w:tc>
        <w:tc>
          <w:tcPr>
            <w:tcW w:w="1080" w:type="dxa"/>
            <w:shd w:val="clear" w:color="auto" w:fill="auto"/>
            <w:noWrap/>
            <w:vAlign w:val="center"/>
          </w:tcPr>
          <w:p w14:paraId="210AC0EB"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(113)</w:t>
            </w:r>
          </w:p>
        </w:tc>
        <w:tc>
          <w:tcPr>
            <w:tcW w:w="828" w:type="dxa"/>
            <w:shd w:val="clear" w:color="auto" w:fill="auto"/>
            <w:noWrap/>
            <w:vAlign w:val="center"/>
          </w:tcPr>
          <w:p w14:paraId="3497B1E4"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r>
      <w:tr w:rsidR="00744544" w:rsidRPr="00A66C9F" w14:paraId="6781C090" w14:textId="77777777" w:rsidTr="00107D5D">
        <w:tc>
          <w:tcPr>
            <w:tcW w:w="2520" w:type="dxa"/>
            <w:shd w:val="clear" w:color="auto" w:fill="auto"/>
            <w:noWrap/>
            <w:vAlign w:val="center"/>
          </w:tcPr>
          <w:p w14:paraId="4CCDC7FA" w14:textId="77777777" w:rsidR="00744544" w:rsidRPr="00A66C9F" w:rsidRDefault="00744544" w:rsidP="00107D5D">
            <w:pPr>
              <w:tabs>
                <w:tab w:val="left" w:pos="288"/>
                <w:tab w:val="left" w:pos="576"/>
                <w:tab w:val="left" w:pos="864"/>
                <w:tab w:val="left" w:pos="1152"/>
              </w:tabs>
              <w:spacing w:before="30" w:after="30" w:line="200" w:lineRule="exact"/>
              <w:rPr>
                <w:sz w:val="16"/>
                <w:szCs w:val="16"/>
                <w:lang w:val="fr-FR"/>
              </w:rPr>
            </w:pPr>
            <w:r w:rsidRPr="00A66C9F">
              <w:rPr>
                <w:sz w:val="16"/>
                <w:szCs w:val="16"/>
                <w:lang w:val="fr-FR"/>
              </w:rPr>
              <w:t xml:space="preserve">Irlande </w:t>
            </w:r>
          </w:p>
        </w:tc>
        <w:tc>
          <w:tcPr>
            <w:tcW w:w="900" w:type="dxa"/>
            <w:shd w:val="clear" w:color="auto" w:fill="auto"/>
            <w:noWrap/>
            <w:vAlign w:val="center"/>
          </w:tcPr>
          <w:p w14:paraId="0D7D8CE7"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w:t>
            </w:r>
          </w:p>
        </w:tc>
        <w:tc>
          <w:tcPr>
            <w:tcW w:w="630" w:type="dxa"/>
            <w:shd w:val="clear" w:color="auto" w:fill="auto"/>
            <w:noWrap/>
            <w:vAlign w:val="center"/>
          </w:tcPr>
          <w:p w14:paraId="24932D8C"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31</w:t>
            </w:r>
          </w:p>
        </w:tc>
        <w:tc>
          <w:tcPr>
            <w:tcW w:w="720" w:type="dxa"/>
            <w:shd w:val="clear" w:color="auto" w:fill="auto"/>
            <w:noWrap/>
            <w:vAlign w:val="center"/>
          </w:tcPr>
          <w:p w14:paraId="3D470D1B"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w:t>
            </w:r>
          </w:p>
        </w:tc>
        <w:tc>
          <w:tcPr>
            <w:tcW w:w="90" w:type="dxa"/>
            <w:shd w:val="clear" w:color="auto" w:fill="auto"/>
            <w:noWrap/>
            <w:vAlign w:val="center"/>
          </w:tcPr>
          <w:p w14:paraId="69CE95F4"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tcPr>
          <w:p w14:paraId="355BA6FB"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w:t>
            </w:r>
          </w:p>
        </w:tc>
        <w:tc>
          <w:tcPr>
            <w:tcW w:w="990" w:type="dxa"/>
            <w:shd w:val="clear" w:color="auto" w:fill="auto"/>
            <w:noWrap/>
            <w:vAlign w:val="center"/>
          </w:tcPr>
          <w:p w14:paraId="1821AFE5"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837" w:type="dxa"/>
            <w:shd w:val="clear" w:color="auto" w:fill="auto"/>
            <w:noWrap/>
            <w:vAlign w:val="center"/>
          </w:tcPr>
          <w:p w14:paraId="5F65AD52"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w:t>
            </w:r>
          </w:p>
        </w:tc>
        <w:tc>
          <w:tcPr>
            <w:tcW w:w="90" w:type="dxa"/>
            <w:shd w:val="clear" w:color="auto" w:fill="auto"/>
            <w:noWrap/>
            <w:vAlign w:val="center"/>
          </w:tcPr>
          <w:p w14:paraId="5AB7076B"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1053" w:type="dxa"/>
            <w:shd w:val="clear" w:color="auto" w:fill="auto"/>
            <w:noWrap/>
            <w:vAlign w:val="center"/>
          </w:tcPr>
          <w:p w14:paraId="3AA46B8A"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32 </w:t>
            </w:r>
          </w:p>
        </w:tc>
        <w:tc>
          <w:tcPr>
            <w:tcW w:w="720" w:type="dxa"/>
            <w:shd w:val="clear" w:color="auto" w:fill="auto"/>
            <w:noWrap/>
            <w:vAlign w:val="center"/>
          </w:tcPr>
          <w:p w14:paraId="50BE548A"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148 </w:t>
            </w:r>
          </w:p>
        </w:tc>
        <w:tc>
          <w:tcPr>
            <w:tcW w:w="873" w:type="dxa"/>
            <w:shd w:val="clear" w:color="auto" w:fill="auto"/>
            <w:noWrap/>
            <w:vAlign w:val="center"/>
          </w:tcPr>
          <w:p w14:paraId="30BE0FF2"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(2)</w:t>
            </w:r>
          </w:p>
        </w:tc>
        <w:tc>
          <w:tcPr>
            <w:tcW w:w="117" w:type="dxa"/>
            <w:shd w:val="clear" w:color="auto" w:fill="auto"/>
            <w:noWrap/>
            <w:vAlign w:val="center"/>
          </w:tcPr>
          <w:p w14:paraId="06767A47"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tcPr>
          <w:p w14:paraId="0A3DB496"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31 </w:t>
            </w:r>
          </w:p>
        </w:tc>
        <w:tc>
          <w:tcPr>
            <w:tcW w:w="1080" w:type="dxa"/>
            <w:shd w:val="clear" w:color="auto" w:fill="auto"/>
            <w:noWrap/>
            <w:vAlign w:val="center"/>
          </w:tcPr>
          <w:p w14:paraId="7C459A35"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828" w:type="dxa"/>
            <w:shd w:val="clear" w:color="auto" w:fill="auto"/>
            <w:noWrap/>
            <w:vAlign w:val="center"/>
          </w:tcPr>
          <w:p w14:paraId="1539DA8B"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31 </w:t>
            </w:r>
          </w:p>
        </w:tc>
      </w:tr>
      <w:tr w:rsidR="00744544" w:rsidRPr="00A66C9F" w14:paraId="0BB8F272" w14:textId="77777777" w:rsidTr="00107D5D">
        <w:tc>
          <w:tcPr>
            <w:tcW w:w="2520" w:type="dxa"/>
            <w:shd w:val="clear" w:color="auto" w:fill="auto"/>
            <w:noWrap/>
            <w:vAlign w:val="center"/>
          </w:tcPr>
          <w:p w14:paraId="77C54BBF" w14:textId="77777777" w:rsidR="00744544" w:rsidRPr="00A66C9F" w:rsidRDefault="00744544" w:rsidP="00107D5D">
            <w:pPr>
              <w:tabs>
                <w:tab w:val="left" w:pos="288"/>
                <w:tab w:val="left" w:pos="576"/>
                <w:tab w:val="left" w:pos="864"/>
                <w:tab w:val="left" w:pos="1152"/>
              </w:tabs>
              <w:spacing w:before="30" w:after="30" w:line="200" w:lineRule="exact"/>
              <w:rPr>
                <w:sz w:val="16"/>
                <w:szCs w:val="16"/>
                <w:lang w:val="fr-FR"/>
              </w:rPr>
            </w:pPr>
            <w:r w:rsidRPr="00A66C9F">
              <w:rPr>
                <w:sz w:val="16"/>
                <w:szCs w:val="16"/>
                <w:lang w:val="fr-FR"/>
              </w:rPr>
              <w:t>Japon</w:t>
            </w:r>
          </w:p>
        </w:tc>
        <w:tc>
          <w:tcPr>
            <w:tcW w:w="900" w:type="dxa"/>
            <w:shd w:val="clear" w:color="auto" w:fill="auto"/>
            <w:noWrap/>
            <w:vAlign w:val="center"/>
          </w:tcPr>
          <w:p w14:paraId="66F7CCC1"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4</w:t>
            </w:r>
          </w:p>
        </w:tc>
        <w:tc>
          <w:tcPr>
            <w:tcW w:w="630" w:type="dxa"/>
            <w:shd w:val="clear" w:color="auto" w:fill="auto"/>
            <w:noWrap/>
            <w:vAlign w:val="center"/>
          </w:tcPr>
          <w:p w14:paraId="4B76F762"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w:t>
            </w:r>
          </w:p>
        </w:tc>
        <w:tc>
          <w:tcPr>
            <w:tcW w:w="720" w:type="dxa"/>
            <w:shd w:val="clear" w:color="auto" w:fill="auto"/>
            <w:noWrap/>
            <w:vAlign w:val="center"/>
          </w:tcPr>
          <w:p w14:paraId="2DFD3A54"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w:t>
            </w:r>
          </w:p>
        </w:tc>
        <w:tc>
          <w:tcPr>
            <w:tcW w:w="90" w:type="dxa"/>
            <w:shd w:val="clear" w:color="auto" w:fill="auto"/>
            <w:noWrap/>
            <w:vAlign w:val="center"/>
          </w:tcPr>
          <w:p w14:paraId="66B3662E"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tcPr>
          <w:p w14:paraId="0B63DF5C"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4</w:t>
            </w:r>
          </w:p>
        </w:tc>
        <w:tc>
          <w:tcPr>
            <w:tcW w:w="990" w:type="dxa"/>
            <w:shd w:val="clear" w:color="auto" w:fill="auto"/>
            <w:noWrap/>
            <w:vAlign w:val="center"/>
          </w:tcPr>
          <w:p w14:paraId="117C8E70"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w:t>
            </w:r>
          </w:p>
        </w:tc>
        <w:tc>
          <w:tcPr>
            <w:tcW w:w="837" w:type="dxa"/>
            <w:shd w:val="clear" w:color="auto" w:fill="auto"/>
            <w:noWrap/>
            <w:vAlign w:val="center"/>
          </w:tcPr>
          <w:p w14:paraId="72711322"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4</w:t>
            </w:r>
          </w:p>
        </w:tc>
        <w:tc>
          <w:tcPr>
            <w:tcW w:w="90" w:type="dxa"/>
            <w:shd w:val="clear" w:color="auto" w:fill="auto"/>
            <w:noWrap/>
            <w:vAlign w:val="center"/>
          </w:tcPr>
          <w:p w14:paraId="76F8053F"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1053" w:type="dxa"/>
            <w:shd w:val="clear" w:color="auto" w:fill="auto"/>
            <w:noWrap/>
            <w:vAlign w:val="center"/>
          </w:tcPr>
          <w:p w14:paraId="23EE3282"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w:t>
            </w:r>
          </w:p>
        </w:tc>
        <w:tc>
          <w:tcPr>
            <w:tcW w:w="720" w:type="dxa"/>
            <w:shd w:val="clear" w:color="auto" w:fill="auto"/>
            <w:noWrap/>
            <w:vAlign w:val="center"/>
          </w:tcPr>
          <w:p w14:paraId="04145902"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w:t>
            </w:r>
          </w:p>
        </w:tc>
        <w:tc>
          <w:tcPr>
            <w:tcW w:w="873" w:type="dxa"/>
            <w:shd w:val="clear" w:color="auto" w:fill="auto"/>
            <w:noWrap/>
            <w:vAlign w:val="center"/>
          </w:tcPr>
          <w:p w14:paraId="1BA7428C"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w:t>
            </w:r>
          </w:p>
        </w:tc>
        <w:tc>
          <w:tcPr>
            <w:tcW w:w="117" w:type="dxa"/>
            <w:shd w:val="clear" w:color="auto" w:fill="auto"/>
            <w:noWrap/>
            <w:vAlign w:val="center"/>
          </w:tcPr>
          <w:p w14:paraId="7AB0BDC3"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tcPr>
          <w:p w14:paraId="696CD7ED"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w:t>
            </w:r>
          </w:p>
        </w:tc>
        <w:tc>
          <w:tcPr>
            <w:tcW w:w="1080" w:type="dxa"/>
            <w:shd w:val="clear" w:color="auto" w:fill="auto"/>
            <w:noWrap/>
            <w:vAlign w:val="center"/>
          </w:tcPr>
          <w:p w14:paraId="0FA48321"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w:t>
            </w:r>
          </w:p>
        </w:tc>
        <w:tc>
          <w:tcPr>
            <w:tcW w:w="828" w:type="dxa"/>
            <w:shd w:val="clear" w:color="auto" w:fill="auto"/>
            <w:noWrap/>
            <w:vAlign w:val="center"/>
          </w:tcPr>
          <w:p w14:paraId="35474F46"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w:t>
            </w:r>
          </w:p>
        </w:tc>
      </w:tr>
      <w:tr w:rsidR="00744544" w:rsidRPr="00A66C9F" w14:paraId="5A046A6D" w14:textId="77777777" w:rsidTr="00107D5D">
        <w:tc>
          <w:tcPr>
            <w:tcW w:w="2520" w:type="dxa"/>
            <w:shd w:val="clear" w:color="auto" w:fill="auto"/>
            <w:noWrap/>
            <w:vAlign w:val="center"/>
          </w:tcPr>
          <w:p w14:paraId="5139B3DD" w14:textId="77777777" w:rsidR="00744544" w:rsidRPr="00A66C9F" w:rsidRDefault="00744544" w:rsidP="00107D5D">
            <w:pPr>
              <w:tabs>
                <w:tab w:val="left" w:pos="288"/>
                <w:tab w:val="left" w:pos="576"/>
                <w:tab w:val="left" w:pos="864"/>
                <w:tab w:val="left" w:pos="1152"/>
              </w:tabs>
              <w:spacing w:before="30" w:after="30" w:line="200" w:lineRule="exact"/>
              <w:rPr>
                <w:sz w:val="16"/>
                <w:szCs w:val="16"/>
                <w:lang w:val="fr-FR"/>
              </w:rPr>
            </w:pPr>
            <w:r w:rsidRPr="00A66C9F">
              <w:rPr>
                <w:sz w:val="16"/>
                <w:szCs w:val="16"/>
                <w:lang w:val="fr-FR"/>
              </w:rPr>
              <w:t>Luxembourg</w:t>
            </w:r>
          </w:p>
        </w:tc>
        <w:tc>
          <w:tcPr>
            <w:tcW w:w="900" w:type="dxa"/>
            <w:shd w:val="clear" w:color="auto" w:fill="auto"/>
            <w:noWrap/>
            <w:vAlign w:val="center"/>
          </w:tcPr>
          <w:p w14:paraId="2DB604D2"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4</w:t>
            </w:r>
          </w:p>
        </w:tc>
        <w:tc>
          <w:tcPr>
            <w:tcW w:w="630" w:type="dxa"/>
            <w:shd w:val="clear" w:color="auto" w:fill="auto"/>
            <w:noWrap/>
            <w:vAlign w:val="center"/>
          </w:tcPr>
          <w:p w14:paraId="3AE3B678"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w:t>
            </w:r>
          </w:p>
        </w:tc>
        <w:tc>
          <w:tcPr>
            <w:tcW w:w="720" w:type="dxa"/>
            <w:shd w:val="clear" w:color="auto" w:fill="auto"/>
            <w:noWrap/>
            <w:vAlign w:val="center"/>
          </w:tcPr>
          <w:p w14:paraId="4CDBECB0"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w:t>
            </w:r>
          </w:p>
        </w:tc>
        <w:tc>
          <w:tcPr>
            <w:tcW w:w="90" w:type="dxa"/>
            <w:shd w:val="clear" w:color="auto" w:fill="auto"/>
            <w:noWrap/>
            <w:vAlign w:val="center"/>
          </w:tcPr>
          <w:p w14:paraId="2C1406A3"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tcPr>
          <w:p w14:paraId="174F67DF"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4</w:t>
            </w:r>
          </w:p>
        </w:tc>
        <w:tc>
          <w:tcPr>
            <w:tcW w:w="990" w:type="dxa"/>
            <w:shd w:val="clear" w:color="auto" w:fill="auto"/>
            <w:noWrap/>
            <w:vAlign w:val="center"/>
          </w:tcPr>
          <w:p w14:paraId="5C508285"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w:t>
            </w:r>
          </w:p>
        </w:tc>
        <w:tc>
          <w:tcPr>
            <w:tcW w:w="837" w:type="dxa"/>
            <w:shd w:val="clear" w:color="auto" w:fill="auto"/>
            <w:noWrap/>
            <w:vAlign w:val="center"/>
          </w:tcPr>
          <w:p w14:paraId="17ABFE1D"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4</w:t>
            </w:r>
          </w:p>
        </w:tc>
        <w:tc>
          <w:tcPr>
            <w:tcW w:w="90" w:type="dxa"/>
            <w:shd w:val="clear" w:color="auto" w:fill="auto"/>
            <w:noWrap/>
            <w:vAlign w:val="center"/>
          </w:tcPr>
          <w:p w14:paraId="3C405130"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1053" w:type="dxa"/>
            <w:shd w:val="clear" w:color="auto" w:fill="auto"/>
            <w:noWrap/>
            <w:vAlign w:val="center"/>
          </w:tcPr>
          <w:p w14:paraId="0A777030"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w:t>
            </w:r>
          </w:p>
        </w:tc>
        <w:tc>
          <w:tcPr>
            <w:tcW w:w="720" w:type="dxa"/>
            <w:shd w:val="clear" w:color="auto" w:fill="auto"/>
            <w:noWrap/>
            <w:vAlign w:val="center"/>
          </w:tcPr>
          <w:p w14:paraId="23179B6F"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w:t>
            </w:r>
          </w:p>
        </w:tc>
        <w:tc>
          <w:tcPr>
            <w:tcW w:w="873" w:type="dxa"/>
            <w:shd w:val="clear" w:color="auto" w:fill="auto"/>
            <w:noWrap/>
            <w:vAlign w:val="center"/>
          </w:tcPr>
          <w:p w14:paraId="5BB2BB6D"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w:t>
            </w:r>
          </w:p>
        </w:tc>
        <w:tc>
          <w:tcPr>
            <w:tcW w:w="117" w:type="dxa"/>
            <w:shd w:val="clear" w:color="auto" w:fill="auto"/>
            <w:noWrap/>
            <w:vAlign w:val="center"/>
          </w:tcPr>
          <w:p w14:paraId="72CD3716"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tcPr>
          <w:p w14:paraId="45C735D0"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w:t>
            </w:r>
          </w:p>
        </w:tc>
        <w:tc>
          <w:tcPr>
            <w:tcW w:w="1080" w:type="dxa"/>
            <w:shd w:val="clear" w:color="auto" w:fill="auto"/>
            <w:noWrap/>
            <w:vAlign w:val="center"/>
          </w:tcPr>
          <w:p w14:paraId="066838EB"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w:t>
            </w:r>
          </w:p>
        </w:tc>
        <w:tc>
          <w:tcPr>
            <w:tcW w:w="828" w:type="dxa"/>
            <w:shd w:val="clear" w:color="auto" w:fill="auto"/>
            <w:noWrap/>
            <w:vAlign w:val="center"/>
          </w:tcPr>
          <w:p w14:paraId="675C465E"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w:t>
            </w:r>
          </w:p>
        </w:tc>
      </w:tr>
      <w:tr w:rsidR="00744544" w:rsidRPr="00A66C9F" w14:paraId="58A2D80E" w14:textId="77777777" w:rsidTr="00107D5D">
        <w:tc>
          <w:tcPr>
            <w:tcW w:w="2520" w:type="dxa"/>
            <w:shd w:val="clear" w:color="auto" w:fill="auto"/>
            <w:noWrap/>
            <w:vAlign w:val="center"/>
            <w:hideMark/>
          </w:tcPr>
          <w:p w14:paraId="7673AF1C" w14:textId="77777777" w:rsidR="00744544" w:rsidRPr="00A66C9F" w:rsidRDefault="00744544" w:rsidP="00107D5D">
            <w:pPr>
              <w:tabs>
                <w:tab w:val="left" w:pos="288"/>
                <w:tab w:val="left" w:pos="576"/>
                <w:tab w:val="left" w:pos="864"/>
                <w:tab w:val="left" w:pos="1152"/>
              </w:tabs>
              <w:spacing w:before="30" w:after="30" w:line="200" w:lineRule="exact"/>
              <w:rPr>
                <w:sz w:val="16"/>
                <w:szCs w:val="16"/>
                <w:lang w:val="fr-FR"/>
              </w:rPr>
            </w:pPr>
            <w:r w:rsidRPr="00A66C9F">
              <w:rPr>
                <w:sz w:val="16"/>
                <w:szCs w:val="16"/>
                <w:lang w:val="fr-FR"/>
              </w:rPr>
              <w:t xml:space="preserve">Mexique </w:t>
            </w:r>
          </w:p>
        </w:tc>
        <w:tc>
          <w:tcPr>
            <w:tcW w:w="900" w:type="dxa"/>
            <w:shd w:val="clear" w:color="auto" w:fill="auto"/>
            <w:noWrap/>
            <w:vAlign w:val="center"/>
            <w:hideMark/>
          </w:tcPr>
          <w:p w14:paraId="4F11CB5E"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w:t>
            </w:r>
          </w:p>
        </w:tc>
        <w:tc>
          <w:tcPr>
            <w:tcW w:w="630" w:type="dxa"/>
            <w:shd w:val="clear" w:color="auto" w:fill="auto"/>
            <w:noWrap/>
            <w:vAlign w:val="center"/>
            <w:hideMark/>
          </w:tcPr>
          <w:p w14:paraId="78B3BB46"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w:t>
            </w:r>
          </w:p>
        </w:tc>
        <w:tc>
          <w:tcPr>
            <w:tcW w:w="720" w:type="dxa"/>
            <w:shd w:val="clear" w:color="auto" w:fill="auto"/>
            <w:noWrap/>
            <w:vAlign w:val="center"/>
            <w:hideMark/>
          </w:tcPr>
          <w:p w14:paraId="22245C60"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(2)</w:t>
            </w:r>
          </w:p>
        </w:tc>
        <w:tc>
          <w:tcPr>
            <w:tcW w:w="90" w:type="dxa"/>
            <w:shd w:val="clear" w:color="auto" w:fill="auto"/>
            <w:noWrap/>
            <w:vAlign w:val="center"/>
            <w:hideMark/>
          </w:tcPr>
          <w:p w14:paraId="67F890BC"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hideMark/>
          </w:tcPr>
          <w:p w14:paraId="45D56F89"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60</w:t>
            </w:r>
          </w:p>
        </w:tc>
        <w:tc>
          <w:tcPr>
            <w:tcW w:w="990" w:type="dxa"/>
            <w:shd w:val="clear" w:color="auto" w:fill="auto"/>
            <w:noWrap/>
            <w:vAlign w:val="center"/>
            <w:hideMark/>
          </w:tcPr>
          <w:p w14:paraId="2824C28C"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837" w:type="dxa"/>
            <w:shd w:val="clear" w:color="auto" w:fill="auto"/>
            <w:noWrap/>
            <w:vAlign w:val="center"/>
            <w:hideMark/>
          </w:tcPr>
          <w:p w14:paraId="25483E4B"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60</w:t>
            </w:r>
          </w:p>
        </w:tc>
        <w:tc>
          <w:tcPr>
            <w:tcW w:w="90" w:type="dxa"/>
            <w:shd w:val="clear" w:color="auto" w:fill="auto"/>
            <w:noWrap/>
            <w:vAlign w:val="center"/>
            <w:hideMark/>
          </w:tcPr>
          <w:p w14:paraId="5F8A7705"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1053" w:type="dxa"/>
            <w:shd w:val="clear" w:color="auto" w:fill="auto"/>
            <w:noWrap/>
            <w:vAlign w:val="center"/>
          </w:tcPr>
          <w:p w14:paraId="5E04E85C"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44 </w:t>
            </w:r>
          </w:p>
        </w:tc>
        <w:tc>
          <w:tcPr>
            <w:tcW w:w="720" w:type="dxa"/>
            <w:shd w:val="clear" w:color="auto" w:fill="auto"/>
            <w:noWrap/>
            <w:vAlign w:val="center"/>
          </w:tcPr>
          <w:p w14:paraId="7D5300B0"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873" w:type="dxa"/>
            <w:shd w:val="clear" w:color="auto" w:fill="auto"/>
            <w:noWrap/>
            <w:vAlign w:val="center"/>
          </w:tcPr>
          <w:p w14:paraId="744E5606"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(1)</w:t>
            </w:r>
          </w:p>
        </w:tc>
        <w:tc>
          <w:tcPr>
            <w:tcW w:w="117" w:type="dxa"/>
            <w:shd w:val="clear" w:color="auto" w:fill="auto"/>
            <w:noWrap/>
            <w:vAlign w:val="center"/>
          </w:tcPr>
          <w:p w14:paraId="7C470835"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tcPr>
          <w:p w14:paraId="4C12C5F9"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58 </w:t>
            </w:r>
          </w:p>
        </w:tc>
        <w:tc>
          <w:tcPr>
            <w:tcW w:w="1080" w:type="dxa"/>
            <w:shd w:val="clear" w:color="auto" w:fill="auto"/>
            <w:noWrap/>
            <w:vAlign w:val="center"/>
          </w:tcPr>
          <w:p w14:paraId="0741D0E1"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828" w:type="dxa"/>
            <w:shd w:val="clear" w:color="auto" w:fill="auto"/>
            <w:noWrap/>
            <w:vAlign w:val="center"/>
          </w:tcPr>
          <w:p w14:paraId="02F6FF0A"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58 </w:t>
            </w:r>
          </w:p>
        </w:tc>
      </w:tr>
      <w:tr w:rsidR="00744544" w:rsidRPr="00A66C9F" w14:paraId="01BD0BA3" w14:textId="77777777" w:rsidTr="00107D5D">
        <w:tc>
          <w:tcPr>
            <w:tcW w:w="2520" w:type="dxa"/>
            <w:shd w:val="clear" w:color="auto" w:fill="auto"/>
            <w:noWrap/>
            <w:vAlign w:val="center"/>
            <w:hideMark/>
          </w:tcPr>
          <w:p w14:paraId="7A477E7B" w14:textId="77777777" w:rsidR="00744544" w:rsidRPr="00A66C9F" w:rsidRDefault="00744544" w:rsidP="00107D5D">
            <w:pPr>
              <w:tabs>
                <w:tab w:val="left" w:pos="288"/>
                <w:tab w:val="left" w:pos="576"/>
                <w:tab w:val="left" w:pos="864"/>
                <w:tab w:val="left" w:pos="1152"/>
              </w:tabs>
              <w:spacing w:before="30" w:after="30" w:line="200" w:lineRule="exact"/>
              <w:rPr>
                <w:sz w:val="16"/>
                <w:szCs w:val="16"/>
                <w:lang w:val="fr-FR"/>
              </w:rPr>
            </w:pPr>
            <w:r w:rsidRPr="00A66C9F">
              <w:rPr>
                <w:sz w:val="16"/>
                <w:szCs w:val="16"/>
                <w:lang w:val="fr-FR"/>
              </w:rPr>
              <w:t>Norvège</w:t>
            </w:r>
          </w:p>
        </w:tc>
        <w:tc>
          <w:tcPr>
            <w:tcW w:w="900" w:type="dxa"/>
            <w:shd w:val="clear" w:color="auto" w:fill="auto"/>
            <w:noWrap/>
            <w:vAlign w:val="center"/>
            <w:hideMark/>
          </w:tcPr>
          <w:p w14:paraId="23CC2D05"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363 </w:t>
            </w:r>
          </w:p>
        </w:tc>
        <w:tc>
          <w:tcPr>
            <w:tcW w:w="630" w:type="dxa"/>
            <w:shd w:val="clear" w:color="auto" w:fill="auto"/>
            <w:noWrap/>
            <w:vAlign w:val="center"/>
            <w:hideMark/>
          </w:tcPr>
          <w:p w14:paraId="6AE7E7DD"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720" w:type="dxa"/>
            <w:shd w:val="clear" w:color="auto" w:fill="auto"/>
            <w:noWrap/>
            <w:vAlign w:val="center"/>
            <w:hideMark/>
          </w:tcPr>
          <w:p w14:paraId="5DB6FB53"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(2)</w:t>
            </w:r>
          </w:p>
        </w:tc>
        <w:tc>
          <w:tcPr>
            <w:tcW w:w="90" w:type="dxa"/>
            <w:shd w:val="clear" w:color="auto" w:fill="auto"/>
            <w:noWrap/>
            <w:vAlign w:val="center"/>
            <w:hideMark/>
          </w:tcPr>
          <w:p w14:paraId="4FD48AAC"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hideMark/>
          </w:tcPr>
          <w:p w14:paraId="27D8DB6D"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365</w:t>
            </w:r>
          </w:p>
        </w:tc>
        <w:tc>
          <w:tcPr>
            <w:tcW w:w="990" w:type="dxa"/>
            <w:shd w:val="clear" w:color="auto" w:fill="auto"/>
            <w:noWrap/>
            <w:vAlign w:val="center"/>
            <w:hideMark/>
          </w:tcPr>
          <w:p w14:paraId="4566B080"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837" w:type="dxa"/>
            <w:shd w:val="clear" w:color="auto" w:fill="auto"/>
            <w:noWrap/>
            <w:vAlign w:val="center"/>
            <w:hideMark/>
          </w:tcPr>
          <w:p w14:paraId="0F8DF86B"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365</w:t>
            </w:r>
          </w:p>
        </w:tc>
        <w:tc>
          <w:tcPr>
            <w:tcW w:w="90" w:type="dxa"/>
            <w:shd w:val="clear" w:color="auto" w:fill="auto"/>
            <w:noWrap/>
            <w:vAlign w:val="center"/>
            <w:hideMark/>
          </w:tcPr>
          <w:p w14:paraId="547FD326"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1053" w:type="dxa"/>
            <w:shd w:val="clear" w:color="auto" w:fill="auto"/>
            <w:noWrap/>
            <w:vAlign w:val="center"/>
          </w:tcPr>
          <w:p w14:paraId="46D42E13"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w:t>
            </w:r>
          </w:p>
        </w:tc>
        <w:tc>
          <w:tcPr>
            <w:tcW w:w="720" w:type="dxa"/>
            <w:shd w:val="clear" w:color="auto" w:fill="auto"/>
            <w:noWrap/>
            <w:vAlign w:val="center"/>
          </w:tcPr>
          <w:p w14:paraId="54F85D80"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873" w:type="dxa"/>
            <w:shd w:val="clear" w:color="auto" w:fill="auto"/>
            <w:noWrap/>
            <w:vAlign w:val="center"/>
          </w:tcPr>
          <w:p w14:paraId="5727E618"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w:t>
            </w:r>
          </w:p>
        </w:tc>
        <w:tc>
          <w:tcPr>
            <w:tcW w:w="117" w:type="dxa"/>
            <w:shd w:val="clear" w:color="auto" w:fill="auto"/>
            <w:noWrap/>
            <w:vAlign w:val="center"/>
          </w:tcPr>
          <w:p w14:paraId="30B30475"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tcPr>
          <w:p w14:paraId="5EBEB8E5"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1080" w:type="dxa"/>
            <w:shd w:val="clear" w:color="auto" w:fill="auto"/>
            <w:noWrap/>
            <w:vAlign w:val="center"/>
          </w:tcPr>
          <w:p w14:paraId="55C81277"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828" w:type="dxa"/>
            <w:shd w:val="clear" w:color="auto" w:fill="auto"/>
            <w:noWrap/>
            <w:vAlign w:val="center"/>
          </w:tcPr>
          <w:p w14:paraId="777940EF"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r>
      <w:tr w:rsidR="00744544" w:rsidRPr="00A66C9F" w14:paraId="56117921" w14:textId="77777777" w:rsidTr="00107D5D">
        <w:tc>
          <w:tcPr>
            <w:tcW w:w="2520" w:type="dxa"/>
            <w:shd w:val="clear" w:color="auto" w:fill="auto"/>
            <w:noWrap/>
            <w:vAlign w:val="center"/>
          </w:tcPr>
          <w:p w14:paraId="4C74149A" w14:textId="77777777" w:rsidR="00744544" w:rsidRPr="00A66C9F" w:rsidRDefault="00744544" w:rsidP="00107D5D">
            <w:pPr>
              <w:tabs>
                <w:tab w:val="left" w:pos="288"/>
                <w:tab w:val="left" w:pos="576"/>
                <w:tab w:val="left" w:pos="864"/>
                <w:tab w:val="left" w:pos="1152"/>
              </w:tabs>
              <w:spacing w:before="30" w:after="30" w:line="200" w:lineRule="exact"/>
              <w:rPr>
                <w:sz w:val="16"/>
                <w:szCs w:val="16"/>
                <w:lang w:val="fr-FR"/>
              </w:rPr>
            </w:pPr>
            <w:r w:rsidRPr="00A66C9F">
              <w:rPr>
                <w:sz w:val="16"/>
                <w:szCs w:val="16"/>
                <w:lang w:val="fr-FR"/>
              </w:rPr>
              <w:t xml:space="preserve">Nouvelle-Zélande </w:t>
            </w:r>
          </w:p>
        </w:tc>
        <w:tc>
          <w:tcPr>
            <w:tcW w:w="900" w:type="dxa"/>
            <w:shd w:val="clear" w:color="auto" w:fill="auto"/>
            <w:noWrap/>
            <w:vAlign w:val="center"/>
          </w:tcPr>
          <w:p w14:paraId="1C472E1E"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630" w:type="dxa"/>
            <w:shd w:val="clear" w:color="auto" w:fill="auto"/>
            <w:noWrap/>
            <w:vAlign w:val="center"/>
          </w:tcPr>
          <w:p w14:paraId="71C0FB07"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720" w:type="dxa"/>
            <w:shd w:val="clear" w:color="auto" w:fill="auto"/>
            <w:noWrap/>
            <w:vAlign w:val="center"/>
          </w:tcPr>
          <w:p w14:paraId="136B3C59"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w:t>
            </w:r>
          </w:p>
        </w:tc>
        <w:tc>
          <w:tcPr>
            <w:tcW w:w="90" w:type="dxa"/>
            <w:shd w:val="clear" w:color="auto" w:fill="auto"/>
            <w:noWrap/>
            <w:vAlign w:val="center"/>
          </w:tcPr>
          <w:p w14:paraId="13F6DF1A"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tcPr>
          <w:p w14:paraId="00D9A7D7"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990" w:type="dxa"/>
            <w:shd w:val="clear" w:color="auto" w:fill="auto"/>
            <w:noWrap/>
            <w:vAlign w:val="center"/>
          </w:tcPr>
          <w:p w14:paraId="390889D8"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837" w:type="dxa"/>
            <w:shd w:val="clear" w:color="auto" w:fill="auto"/>
            <w:noWrap/>
            <w:vAlign w:val="center"/>
          </w:tcPr>
          <w:p w14:paraId="179CF9CA"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90" w:type="dxa"/>
            <w:shd w:val="clear" w:color="auto" w:fill="auto"/>
            <w:noWrap/>
            <w:vAlign w:val="center"/>
          </w:tcPr>
          <w:p w14:paraId="7C2782E9"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1053" w:type="dxa"/>
            <w:shd w:val="clear" w:color="auto" w:fill="auto"/>
            <w:noWrap/>
            <w:vAlign w:val="center"/>
          </w:tcPr>
          <w:p w14:paraId="12D61E42"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2 </w:t>
            </w:r>
          </w:p>
        </w:tc>
        <w:tc>
          <w:tcPr>
            <w:tcW w:w="720" w:type="dxa"/>
            <w:shd w:val="clear" w:color="auto" w:fill="auto"/>
            <w:noWrap/>
            <w:vAlign w:val="center"/>
          </w:tcPr>
          <w:p w14:paraId="3B5375F6"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873" w:type="dxa"/>
            <w:shd w:val="clear" w:color="auto" w:fill="auto"/>
            <w:noWrap/>
            <w:vAlign w:val="center"/>
          </w:tcPr>
          <w:p w14:paraId="0BE129C0"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2 </w:t>
            </w:r>
          </w:p>
        </w:tc>
        <w:tc>
          <w:tcPr>
            <w:tcW w:w="117" w:type="dxa"/>
            <w:shd w:val="clear" w:color="auto" w:fill="auto"/>
            <w:noWrap/>
            <w:vAlign w:val="center"/>
          </w:tcPr>
          <w:p w14:paraId="580B53E2"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tcPr>
          <w:p w14:paraId="459DFA97"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1080" w:type="dxa"/>
            <w:shd w:val="clear" w:color="auto" w:fill="auto"/>
            <w:noWrap/>
            <w:vAlign w:val="center"/>
          </w:tcPr>
          <w:p w14:paraId="58A34580"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828" w:type="dxa"/>
            <w:shd w:val="clear" w:color="auto" w:fill="auto"/>
            <w:noWrap/>
            <w:vAlign w:val="center"/>
          </w:tcPr>
          <w:p w14:paraId="0AAE26C1"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r>
      <w:tr w:rsidR="00744544" w:rsidRPr="00A66C9F" w14:paraId="6B3B355D" w14:textId="77777777" w:rsidTr="00107D5D">
        <w:tc>
          <w:tcPr>
            <w:tcW w:w="2520" w:type="dxa"/>
            <w:shd w:val="clear" w:color="auto" w:fill="auto"/>
            <w:noWrap/>
            <w:vAlign w:val="center"/>
            <w:hideMark/>
          </w:tcPr>
          <w:p w14:paraId="7760B79C" w14:textId="77777777" w:rsidR="00744544" w:rsidRPr="00A66C9F" w:rsidRDefault="00744544" w:rsidP="00107D5D">
            <w:pPr>
              <w:tabs>
                <w:tab w:val="left" w:pos="288"/>
                <w:tab w:val="left" w:pos="576"/>
                <w:tab w:val="left" w:pos="864"/>
                <w:tab w:val="left" w:pos="1152"/>
              </w:tabs>
              <w:spacing w:before="30" w:after="30" w:line="200" w:lineRule="exact"/>
              <w:rPr>
                <w:sz w:val="16"/>
                <w:szCs w:val="16"/>
                <w:lang w:val="fr-FR"/>
              </w:rPr>
            </w:pPr>
            <w:r w:rsidRPr="00A66C9F">
              <w:rPr>
                <w:sz w:val="16"/>
                <w:szCs w:val="16"/>
                <w:lang w:val="fr-FR"/>
              </w:rPr>
              <w:t xml:space="preserve">Papouasie-Nouvelle-Guinée </w:t>
            </w:r>
          </w:p>
        </w:tc>
        <w:tc>
          <w:tcPr>
            <w:tcW w:w="900" w:type="dxa"/>
            <w:shd w:val="clear" w:color="auto" w:fill="auto"/>
            <w:noWrap/>
            <w:vAlign w:val="center"/>
            <w:hideMark/>
          </w:tcPr>
          <w:p w14:paraId="5470C698"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630" w:type="dxa"/>
            <w:shd w:val="clear" w:color="auto" w:fill="auto"/>
            <w:noWrap/>
            <w:vAlign w:val="center"/>
            <w:hideMark/>
          </w:tcPr>
          <w:p w14:paraId="057F96DB"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720" w:type="dxa"/>
            <w:shd w:val="clear" w:color="auto" w:fill="auto"/>
            <w:noWrap/>
            <w:vAlign w:val="center"/>
            <w:hideMark/>
          </w:tcPr>
          <w:p w14:paraId="0ACAF6AD"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90" w:type="dxa"/>
            <w:shd w:val="clear" w:color="auto" w:fill="auto"/>
            <w:noWrap/>
            <w:vAlign w:val="center"/>
            <w:hideMark/>
          </w:tcPr>
          <w:p w14:paraId="2765F748"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hideMark/>
          </w:tcPr>
          <w:p w14:paraId="0DCC53FC"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19 </w:t>
            </w:r>
          </w:p>
        </w:tc>
        <w:tc>
          <w:tcPr>
            <w:tcW w:w="990" w:type="dxa"/>
            <w:shd w:val="clear" w:color="auto" w:fill="auto"/>
            <w:noWrap/>
            <w:vAlign w:val="center"/>
            <w:hideMark/>
          </w:tcPr>
          <w:p w14:paraId="72BEA151"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(19)</w:t>
            </w:r>
          </w:p>
        </w:tc>
        <w:tc>
          <w:tcPr>
            <w:tcW w:w="837" w:type="dxa"/>
            <w:shd w:val="clear" w:color="auto" w:fill="auto"/>
            <w:noWrap/>
            <w:vAlign w:val="center"/>
            <w:hideMark/>
          </w:tcPr>
          <w:p w14:paraId="163F982A"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90" w:type="dxa"/>
            <w:shd w:val="clear" w:color="auto" w:fill="auto"/>
            <w:noWrap/>
            <w:vAlign w:val="center"/>
            <w:hideMark/>
          </w:tcPr>
          <w:p w14:paraId="20BD40ED"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1053" w:type="dxa"/>
            <w:shd w:val="clear" w:color="auto" w:fill="auto"/>
            <w:noWrap/>
            <w:vAlign w:val="center"/>
          </w:tcPr>
          <w:p w14:paraId="17708A62"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720" w:type="dxa"/>
            <w:shd w:val="clear" w:color="auto" w:fill="auto"/>
            <w:noWrap/>
            <w:vAlign w:val="center"/>
          </w:tcPr>
          <w:p w14:paraId="5379939D"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873" w:type="dxa"/>
            <w:shd w:val="clear" w:color="auto" w:fill="auto"/>
            <w:noWrap/>
            <w:vAlign w:val="center"/>
          </w:tcPr>
          <w:p w14:paraId="7A20C8D8"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117" w:type="dxa"/>
            <w:shd w:val="clear" w:color="auto" w:fill="auto"/>
            <w:noWrap/>
            <w:vAlign w:val="center"/>
          </w:tcPr>
          <w:p w14:paraId="56C60C5D"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tcPr>
          <w:p w14:paraId="06D53C68"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19 </w:t>
            </w:r>
          </w:p>
        </w:tc>
        <w:tc>
          <w:tcPr>
            <w:tcW w:w="1080" w:type="dxa"/>
            <w:shd w:val="clear" w:color="auto" w:fill="auto"/>
            <w:noWrap/>
            <w:vAlign w:val="center"/>
          </w:tcPr>
          <w:p w14:paraId="3D7B157B"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(19)</w:t>
            </w:r>
          </w:p>
        </w:tc>
        <w:tc>
          <w:tcPr>
            <w:tcW w:w="828" w:type="dxa"/>
            <w:shd w:val="clear" w:color="auto" w:fill="auto"/>
            <w:noWrap/>
            <w:vAlign w:val="center"/>
          </w:tcPr>
          <w:p w14:paraId="35F3F643"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r>
      <w:tr w:rsidR="00744544" w:rsidRPr="00A66C9F" w14:paraId="05B6AF29" w14:textId="77777777" w:rsidTr="00107D5D">
        <w:tc>
          <w:tcPr>
            <w:tcW w:w="2520" w:type="dxa"/>
            <w:shd w:val="clear" w:color="auto" w:fill="auto"/>
            <w:noWrap/>
            <w:vAlign w:val="center"/>
            <w:hideMark/>
          </w:tcPr>
          <w:p w14:paraId="597B267F" w14:textId="77777777" w:rsidR="00744544" w:rsidRPr="00A66C9F" w:rsidRDefault="00744544" w:rsidP="00107D5D">
            <w:pPr>
              <w:tabs>
                <w:tab w:val="left" w:pos="288"/>
                <w:tab w:val="left" w:pos="576"/>
                <w:tab w:val="left" w:pos="864"/>
                <w:tab w:val="left" w:pos="1152"/>
              </w:tabs>
              <w:spacing w:before="30" w:after="30" w:line="200" w:lineRule="exact"/>
              <w:rPr>
                <w:sz w:val="16"/>
                <w:szCs w:val="16"/>
                <w:lang w:val="fr-FR"/>
              </w:rPr>
            </w:pPr>
            <w:r w:rsidRPr="00A66C9F">
              <w:rPr>
                <w:sz w:val="16"/>
                <w:szCs w:val="16"/>
                <w:lang w:val="fr-FR"/>
              </w:rPr>
              <w:t xml:space="preserve">Pays-Bas </w:t>
            </w:r>
          </w:p>
        </w:tc>
        <w:tc>
          <w:tcPr>
            <w:tcW w:w="900" w:type="dxa"/>
            <w:shd w:val="clear" w:color="auto" w:fill="auto"/>
            <w:noWrap/>
            <w:vAlign w:val="center"/>
            <w:hideMark/>
          </w:tcPr>
          <w:p w14:paraId="6480BDC3"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2 198 </w:t>
            </w:r>
          </w:p>
        </w:tc>
        <w:tc>
          <w:tcPr>
            <w:tcW w:w="630" w:type="dxa"/>
            <w:shd w:val="clear" w:color="auto" w:fill="auto"/>
            <w:noWrap/>
            <w:vAlign w:val="center"/>
            <w:hideMark/>
          </w:tcPr>
          <w:p w14:paraId="39FCC3B2"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91</w:t>
            </w:r>
          </w:p>
        </w:tc>
        <w:tc>
          <w:tcPr>
            <w:tcW w:w="720" w:type="dxa"/>
            <w:shd w:val="clear" w:color="auto" w:fill="auto"/>
            <w:noWrap/>
            <w:vAlign w:val="center"/>
            <w:hideMark/>
          </w:tcPr>
          <w:p w14:paraId="30EC660C"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13</w:t>
            </w:r>
          </w:p>
        </w:tc>
        <w:tc>
          <w:tcPr>
            <w:tcW w:w="90" w:type="dxa"/>
            <w:shd w:val="clear" w:color="auto" w:fill="auto"/>
            <w:noWrap/>
            <w:vAlign w:val="center"/>
            <w:hideMark/>
          </w:tcPr>
          <w:p w14:paraId="7813A0CA"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hideMark/>
          </w:tcPr>
          <w:p w14:paraId="240C5BB2"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3 064</w:t>
            </w:r>
          </w:p>
        </w:tc>
        <w:tc>
          <w:tcPr>
            <w:tcW w:w="990" w:type="dxa"/>
            <w:shd w:val="clear" w:color="auto" w:fill="auto"/>
            <w:noWrap/>
            <w:vAlign w:val="center"/>
            <w:hideMark/>
          </w:tcPr>
          <w:p w14:paraId="09268E50"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837" w:type="dxa"/>
            <w:shd w:val="clear" w:color="auto" w:fill="auto"/>
            <w:noWrap/>
            <w:vAlign w:val="center"/>
            <w:hideMark/>
          </w:tcPr>
          <w:p w14:paraId="272E53F4"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3 064</w:t>
            </w:r>
          </w:p>
        </w:tc>
        <w:tc>
          <w:tcPr>
            <w:tcW w:w="90" w:type="dxa"/>
            <w:shd w:val="clear" w:color="auto" w:fill="auto"/>
            <w:noWrap/>
            <w:vAlign w:val="center"/>
            <w:hideMark/>
          </w:tcPr>
          <w:p w14:paraId="375776A8"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1053" w:type="dxa"/>
            <w:shd w:val="clear" w:color="auto" w:fill="auto"/>
            <w:noWrap/>
            <w:vAlign w:val="center"/>
          </w:tcPr>
          <w:p w14:paraId="316FDBA8"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1 800 </w:t>
            </w:r>
          </w:p>
        </w:tc>
        <w:tc>
          <w:tcPr>
            <w:tcW w:w="720" w:type="dxa"/>
            <w:shd w:val="clear" w:color="auto" w:fill="auto"/>
            <w:noWrap/>
            <w:vAlign w:val="center"/>
          </w:tcPr>
          <w:p w14:paraId="2B4A8098"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881 </w:t>
            </w:r>
          </w:p>
        </w:tc>
        <w:tc>
          <w:tcPr>
            <w:tcW w:w="873" w:type="dxa"/>
            <w:shd w:val="clear" w:color="auto" w:fill="auto"/>
            <w:noWrap/>
            <w:vAlign w:val="center"/>
          </w:tcPr>
          <w:p w14:paraId="64340269"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26 </w:t>
            </w:r>
          </w:p>
        </w:tc>
        <w:tc>
          <w:tcPr>
            <w:tcW w:w="117" w:type="dxa"/>
            <w:shd w:val="clear" w:color="auto" w:fill="auto"/>
            <w:noWrap/>
            <w:vAlign w:val="center"/>
          </w:tcPr>
          <w:p w14:paraId="3A4D6304"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tcPr>
          <w:p w14:paraId="45DC675F"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970 </w:t>
            </w:r>
          </w:p>
        </w:tc>
        <w:tc>
          <w:tcPr>
            <w:tcW w:w="1080" w:type="dxa"/>
            <w:shd w:val="clear" w:color="auto" w:fill="auto"/>
            <w:noWrap/>
            <w:vAlign w:val="center"/>
          </w:tcPr>
          <w:p w14:paraId="337675F6"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828" w:type="dxa"/>
            <w:shd w:val="clear" w:color="auto" w:fill="auto"/>
            <w:noWrap/>
            <w:vAlign w:val="center"/>
          </w:tcPr>
          <w:p w14:paraId="62983F06"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970 </w:t>
            </w:r>
          </w:p>
        </w:tc>
      </w:tr>
      <w:tr w:rsidR="00744544" w:rsidRPr="00A66C9F" w14:paraId="3F758554" w14:textId="77777777" w:rsidTr="00107D5D">
        <w:tc>
          <w:tcPr>
            <w:tcW w:w="2520" w:type="dxa"/>
            <w:shd w:val="clear" w:color="auto" w:fill="auto"/>
            <w:noWrap/>
            <w:vAlign w:val="center"/>
            <w:hideMark/>
          </w:tcPr>
          <w:p w14:paraId="4C6A7389" w14:textId="77777777" w:rsidR="00744544" w:rsidRPr="00A66C9F" w:rsidRDefault="00744544" w:rsidP="00107D5D">
            <w:pPr>
              <w:tabs>
                <w:tab w:val="left" w:pos="288"/>
                <w:tab w:val="left" w:pos="576"/>
                <w:tab w:val="left" w:pos="864"/>
                <w:tab w:val="left" w:pos="1152"/>
              </w:tabs>
              <w:spacing w:before="30" w:after="30" w:line="200" w:lineRule="exact"/>
              <w:rPr>
                <w:sz w:val="16"/>
                <w:szCs w:val="16"/>
                <w:lang w:val="fr-FR"/>
              </w:rPr>
            </w:pPr>
            <w:r w:rsidRPr="00A66C9F">
              <w:rPr>
                <w:sz w:val="16"/>
                <w:szCs w:val="16"/>
                <w:lang w:val="fr-FR"/>
              </w:rPr>
              <w:t>Philippines</w:t>
            </w:r>
          </w:p>
        </w:tc>
        <w:tc>
          <w:tcPr>
            <w:tcW w:w="900" w:type="dxa"/>
            <w:shd w:val="clear" w:color="auto" w:fill="auto"/>
            <w:noWrap/>
            <w:vAlign w:val="center"/>
            <w:hideMark/>
          </w:tcPr>
          <w:p w14:paraId="2ADF3F17"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107</w:t>
            </w:r>
          </w:p>
        </w:tc>
        <w:tc>
          <w:tcPr>
            <w:tcW w:w="630" w:type="dxa"/>
            <w:shd w:val="clear" w:color="auto" w:fill="auto"/>
            <w:noWrap/>
            <w:vAlign w:val="center"/>
            <w:hideMark/>
          </w:tcPr>
          <w:p w14:paraId="5184138C"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43</w:t>
            </w:r>
          </w:p>
        </w:tc>
        <w:tc>
          <w:tcPr>
            <w:tcW w:w="720" w:type="dxa"/>
            <w:shd w:val="clear" w:color="auto" w:fill="auto"/>
            <w:noWrap/>
            <w:vAlign w:val="center"/>
            <w:hideMark/>
          </w:tcPr>
          <w:p w14:paraId="52EEB28E"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(1)</w:t>
            </w:r>
          </w:p>
        </w:tc>
        <w:tc>
          <w:tcPr>
            <w:tcW w:w="90" w:type="dxa"/>
            <w:shd w:val="clear" w:color="auto" w:fill="auto"/>
            <w:noWrap/>
            <w:vAlign w:val="center"/>
            <w:hideMark/>
          </w:tcPr>
          <w:p w14:paraId="2A44E37B"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hideMark/>
          </w:tcPr>
          <w:p w14:paraId="2FD79CC2"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65</w:t>
            </w:r>
          </w:p>
        </w:tc>
        <w:tc>
          <w:tcPr>
            <w:tcW w:w="990" w:type="dxa"/>
            <w:shd w:val="clear" w:color="auto" w:fill="auto"/>
            <w:noWrap/>
            <w:vAlign w:val="center"/>
            <w:hideMark/>
          </w:tcPr>
          <w:p w14:paraId="7DA5855B"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w:t>
            </w:r>
          </w:p>
        </w:tc>
        <w:tc>
          <w:tcPr>
            <w:tcW w:w="837" w:type="dxa"/>
            <w:shd w:val="clear" w:color="auto" w:fill="auto"/>
            <w:noWrap/>
            <w:vAlign w:val="center"/>
            <w:hideMark/>
          </w:tcPr>
          <w:p w14:paraId="51F9EDD1"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65</w:t>
            </w:r>
          </w:p>
        </w:tc>
        <w:tc>
          <w:tcPr>
            <w:tcW w:w="90" w:type="dxa"/>
            <w:shd w:val="clear" w:color="auto" w:fill="auto"/>
            <w:noWrap/>
            <w:vAlign w:val="center"/>
            <w:hideMark/>
          </w:tcPr>
          <w:p w14:paraId="7C254B35"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1053" w:type="dxa"/>
            <w:shd w:val="clear" w:color="auto" w:fill="auto"/>
            <w:noWrap/>
            <w:vAlign w:val="center"/>
          </w:tcPr>
          <w:p w14:paraId="3DC319C1"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w:t>
            </w:r>
          </w:p>
        </w:tc>
        <w:tc>
          <w:tcPr>
            <w:tcW w:w="720" w:type="dxa"/>
            <w:shd w:val="clear" w:color="auto" w:fill="auto"/>
            <w:noWrap/>
            <w:vAlign w:val="center"/>
          </w:tcPr>
          <w:p w14:paraId="00BFD15E"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w:t>
            </w:r>
          </w:p>
        </w:tc>
        <w:tc>
          <w:tcPr>
            <w:tcW w:w="873" w:type="dxa"/>
            <w:shd w:val="clear" w:color="auto" w:fill="auto"/>
            <w:noWrap/>
            <w:vAlign w:val="center"/>
          </w:tcPr>
          <w:p w14:paraId="59CFA4DD"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w:t>
            </w:r>
          </w:p>
        </w:tc>
        <w:tc>
          <w:tcPr>
            <w:tcW w:w="117" w:type="dxa"/>
            <w:shd w:val="clear" w:color="auto" w:fill="auto"/>
            <w:noWrap/>
            <w:vAlign w:val="center"/>
          </w:tcPr>
          <w:p w14:paraId="0DF4A874"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tcPr>
          <w:p w14:paraId="7DEF13DF"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w:t>
            </w:r>
          </w:p>
        </w:tc>
        <w:tc>
          <w:tcPr>
            <w:tcW w:w="1080" w:type="dxa"/>
            <w:shd w:val="clear" w:color="auto" w:fill="auto"/>
            <w:noWrap/>
            <w:vAlign w:val="center"/>
          </w:tcPr>
          <w:p w14:paraId="57DA58E2"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w:t>
            </w:r>
          </w:p>
        </w:tc>
        <w:tc>
          <w:tcPr>
            <w:tcW w:w="828" w:type="dxa"/>
            <w:shd w:val="clear" w:color="auto" w:fill="auto"/>
            <w:noWrap/>
            <w:vAlign w:val="center"/>
          </w:tcPr>
          <w:p w14:paraId="6E90AE24"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w:t>
            </w:r>
          </w:p>
        </w:tc>
      </w:tr>
      <w:tr w:rsidR="00744544" w:rsidRPr="00A66C9F" w14:paraId="35288685" w14:textId="77777777" w:rsidTr="00107D5D">
        <w:tc>
          <w:tcPr>
            <w:tcW w:w="2520" w:type="dxa"/>
            <w:shd w:val="clear" w:color="auto" w:fill="auto"/>
            <w:noWrap/>
            <w:vAlign w:val="center"/>
            <w:hideMark/>
          </w:tcPr>
          <w:p w14:paraId="1A88B0DF" w14:textId="77777777" w:rsidR="00744544" w:rsidRPr="00A66C9F" w:rsidRDefault="00744544" w:rsidP="00107D5D">
            <w:pPr>
              <w:spacing w:before="30" w:after="30" w:line="200" w:lineRule="exact"/>
              <w:rPr>
                <w:sz w:val="16"/>
                <w:szCs w:val="16"/>
                <w:lang w:val="fr-FR"/>
              </w:rPr>
            </w:pPr>
            <w:r w:rsidRPr="00A66C9F">
              <w:rPr>
                <w:sz w:val="16"/>
                <w:szCs w:val="16"/>
                <w:lang w:val="fr-FR"/>
              </w:rPr>
              <w:t xml:space="preserve">Royaume-Uni </w:t>
            </w:r>
          </w:p>
        </w:tc>
        <w:tc>
          <w:tcPr>
            <w:tcW w:w="900" w:type="dxa"/>
            <w:shd w:val="clear" w:color="auto" w:fill="auto"/>
            <w:noWrap/>
            <w:vAlign w:val="center"/>
            <w:hideMark/>
          </w:tcPr>
          <w:p w14:paraId="08F62E30" w14:textId="77777777" w:rsidR="00744544" w:rsidRPr="00A66C9F" w:rsidRDefault="00744544" w:rsidP="00107D5D">
            <w:pPr>
              <w:spacing w:before="30" w:after="30" w:line="200" w:lineRule="exact"/>
              <w:ind w:right="43"/>
              <w:jc w:val="right"/>
              <w:rPr>
                <w:sz w:val="16"/>
                <w:szCs w:val="16"/>
                <w:lang w:val="fr-FR"/>
              </w:rPr>
            </w:pPr>
            <w:r w:rsidRPr="00A66C9F">
              <w:rPr>
                <w:sz w:val="16"/>
                <w:szCs w:val="16"/>
                <w:lang w:val="fr-FR"/>
              </w:rPr>
              <w:t xml:space="preserve"> 1 817 </w:t>
            </w:r>
          </w:p>
        </w:tc>
        <w:tc>
          <w:tcPr>
            <w:tcW w:w="630" w:type="dxa"/>
            <w:shd w:val="clear" w:color="auto" w:fill="auto"/>
            <w:noWrap/>
            <w:vAlign w:val="center"/>
            <w:hideMark/>
          </w:tcPr>
          <w:p w14:paraId="67568C60" w14:textId="77777777" w:rsidR="00744544" w:rsidRPr="00A66C9F" w:rsidRDefault="00744544" w:rsidP="00107D5D">
            <w:pPr>
              <w:spacing w:before="30" w:after="30" w:line="200" w:lineRule="exact"/>
              <w:ind w:right="43"/>
              <w:jc w:val="right"/>
              <w:rPr>
                <w:sz w:val="16"/>
                <w:szCs w:val="16"/>
                <w:lang w:val="fr-FR"/>
              </w:rPr>
            </w:pPr>
            <w:r w:rsidRPr="00A66C9F">
              <w:rPr>
                <w:sz w:val="16"/>
                <w:szCs w:val="16"/>
                <w:lang w:val="fr-FR"/>
              </w:rPr>
              <w:t>1 393</w:t>
            </w:r>
          </w:p>
        </w:tc>
        <w:tc>
          <w:tcPr>
            <w:tcW w:w="720" w:type="dxa"/>
            <w:shd w:val="clear" w:color="auto" w:fill="auto"/>
            <w:noWrap/>
            <w:vAlign w:val="center"/>
            <w:hideMark/>
          </w:tcPr>
          <w:p w14:paraId="7E542DC4" w14:textId="77777777" w:rsidR="00744544" w:rsidRPr="00A66C9F" w:rsidRDefault="00744544" w:rsidP="00107D5D">
            <w:pPr>
              <w:spacing w:before="30" w:after="30" w:line="200" w:lineRule="exact"/>
              <w:ind w:right="43"/>
              <w:jc w:val="right"/>
              <w:rPr>
                <w:sz w:val="16"/>
                <w:szCs w:val="16"/>
                <w:lang w:val="fr-FR"/>
              </w:rPr>
            </w:pPr>
            <w:r w:rsidRPr="00A66C9F">
              <w:rPr>
                <w:sz w:val="16"/>
                <w:szCs w:val="16"/>
                <w:lang w:val="fr-FR"/>
              </w:rPr>
              <w:t>11</w:t>
            </w:r>
          </w:p>
        </w:tc>
        <w:tc>
          <w:tcPr>
            <w:tcW w:w="90" w:type="dxa"/>
            <w:shd w:val="clear" w:color="auto" w:fill="auto"/>
            <w:noWrap/>
            <w:vAlign w:val="center"/>
            <w:hideMark/>
          </w:tcPr>
          <w:p w14:paraId="7E6CB1CF" w14:textId="77777777" w:rsidR="00744544" w:rsidRPr="00A66C9F" w:rsidRDefault="00744544" w:rsidP="00107D5D">
            <w:pPr>
              <w:spacing w:before="30" w:after="30" w:line="200" w:lineRule="exact"/>
              <w:jc w:val="right"/>
              <w:rPr>
                <w:sz w:val="16"/>
                <w:szCs w:val="16"/>
                <w:lang w:val="fr-FR"/>
              </w:rPr>
            </w:pPr>
          </w:p>
        </w:tc>
        <w:tc>
          <w:tcPr>
            <w:tcW w:w="900" w:type="dxa"/>
            <w:shd w:val="clear" w:color="auto" w:fill="auto"/>
            <w:noWrap/>
            <w:vAlign w:val="center"/>
            <w:hideMark/>
          </w:tcPr>
          <w:p w14:paraId="2AEE4AE9" w14:textId="77777777" w:rsidR="00744544" w:rsidRPr="00A66C9F" w:rsidRDefault="00744544" w:rsidP="00107D5D">
            <w:pPr>
              <w:spacing w:before="30" w:after="30" w:line="200" w:lineRule="exact"/>
              <w:ind w:right="43"/>
              <w:jc w:val="right"/>
              <w:rPr>
                <w:sz w:val="16"/>
                <w:szCs w:val="16"/>
                <w:lang w:val="fr-FR"/>
              </w:rPr>
            </w:pPr>
            <w:r w:rsidRPr="00A66C9F">
              <w:rPr>
                <w:sz w:val="16"/>
                <w:szCs w:val="16"/>
                <w:lang w:val="fr-FR"/>
              </w:rPr>
              <w:t>1 365</w:t>
            </w:r>
          </w:p>
        </w:tc>
        <w:tc>
          <w:tcPr>
            <w:tcW w:w="990" w:type="dxa"/>
            <w:shd w:val="clear" w:color="auto" w:fill="auto"/>
            <w:noWrap/>
            <w:vAlign w:val="center"/>
            <w:hideMark/>
          </w:tcPr>
          <w:p w14:paraId="12BC981A" w14:textId="77777777" w:rsidR="00744544" w:rsidRPr="00A66C9F" w:rsidRDefault="00744544" w:rsidP="00107D5D">
            <w:pPr>
              <w:spacing w:before="30" w:after="30" w:line="200" w:lineRule="exact"/>
              <w:ind w:right="43"/>
              <w:jc w:val="right"/>
              <w:rPr>
                <w:sz w:val="16"/>
                <w:szCs w:val="16"/>
                <w:lang w:val="fr-FR"/>
              </w:rPr>
            </w:pPr>
            <w:r w:rsidRPr="00A66C9F">
              <w:rPr>
                <w:sz w:val="16"/>
                <w:szCs w:val="16"/>
                <w:lang w:val="fr-FR"/>
              </w:rPr>
              <w:t xml:space="preserve"> – </w:t>
            </w:r>
          </w:p>
        </w:tc>
        <w:tc>
          <w:tcPr>
            <w:tcW w:w="837" w:type="dxa"/>
            <w:shd w:val="clear" w:color="auto" w:fill="auto"/>
            <w:noWrap/>
            <w:vAlign w:val="center"/>
            <w:hideMark/>
          </w:tcPr>
          <w:p w14:paraId="6823CD8C" w14:textId="77777777" w:rsidR="00744544" w:rsidRPr="00A66C9F" w:rsidRDefault="00744544" w:rsidP="00107D5D">
            <w:pPr>
              <w:spacing w:before="30" w:after="30" w:line="200" w:lineRule="exact"/>
              <w:ind w:right="43"/>
              <w:jc w:val="right"/>
              <w:rPr>
                <w:sz w:val="16"/>
                <w:szCs w:val="16"/>
                <w:lang w:val="fr-FR"/>
              </w:rPr>
            </w:pPr>
            <w:r w:rsidRPr="00A66C9F">
              <w:rPr>
                <w:sz w:val="16"/>
                <w:szCs w:val="16"/>
                <w:lang w:val="fr-FR"/>
              </w:rPr>
              <w:t>1 365</w:t>
            </w:r>
          </w:p>
        </w:tc>
        <w:tc>
          <w:tcPr>
            <w:tcW w:w="90" w:type="dxa"/>
            <w:shd w:val="clear" w:color="auto" w:fill="auto"/>
            <w:noWrap/>
            <w:vAlign w:val="center"/>
            <w:hideMark/>
          </w:tcPr>
          <w:p w14:paraId="4091653A" w14:textId="77777777" w:rsidR="00744544" w:rsidRPr="00A66C9F" w:rsidRDefault="00744544" w:rsidP="00107D5D">
            <w:pPr>
              <w:spacing w:before="30" w:after="30" w:line="200" w:lineRule="exact"/>
              <w:jc w:val="right"/>
              <w:rPr>
                <w:sz w:val="16"/>
                <w:szCs w:val="16"/>
                <w:lang w:val="fr-FR"/>
              </w:rPr>
            </w:pPr>
          </w:p>
        </w:tc>
        <w:tc>
          <w:tcPr>
            <w:tcW w:w="1053" w:type="dxa"/>
            <w:shd w:val="clear" w:color="auto" w:fill="auto"/>
            <w:noWrap/>
            <w:vAlign w:val="center"/>
          </w:tcPr>
          <w:p w14:paraId="24E53518" w14:textId="77777777" w:rsidR="00744544" w:rsidRPr="00A66C9F" w:rsidRDefault="00744544" w:rsidP="00107D5D">
            <w:pPr>
              <w:spacing w:before="30" w:after="30" w:line="200" w:lineRule="exact"/>
              <w:ind w:right="43"/>
              <w:jc w:val="right"/>
              <w:rPr>
                <w:sz w:val="16"/>
                <w:szCs w:val="16"/>
                <w:lang w:val="fr-FR"/>
              </w:rPr>
            </w:pPr>
            <w:r w:rsidRPr="00A66C9F">
              <w:rPr>
                <w:sz w:val="16"/>
                <w:szCs w:val="16"/>
                <w:lang w:val="fr-FR"/>
              </w:rPr>
              <w:t xml:space="preserve"> 1 882 </w:t>
            </w:r>
          </w:p>
        </w:tc>
        <w:tc>
          <w:tcPr>
            <w:tcW w:w="720" w:type="dxa"/>
            <w:shd w:val="clear" w:color="auto" w:fill="auto"/>
            <w:noWrap/>
            <w:vAlign w:val="center"/>
          </w:tcPr>
          <w:p w14:paraId="08329717" w14:textId="77777777" w:rsidR="00744544" w:rsidRPr="00A66C9F" w:rsidRDefault="00744544" w:rsidP="00107D5D">
            <w:pPr>
              <w:spacing w:before="30" w:after="30" w:line="200" w:lineRule="exact"/>
              <w:ind w:right="43"/>
              <w:jc w:val="right"/>
              <w:rPr>
                <w:sz w:val="16"/>
                <w:szCs w:val="16"/>
                <w:lang w:val="fr-FR"/>
              </w:rPr>
            </w:pPr>
            <w:r w:rsidRPr="00A66C9F">
              <w:rPr>
                <w:sz w:val="16"/>
                <w:szCs w:val="16"/>
                <w:lang w:val="fr-FR"/>
              </w:rPr>
              <w:t xml:space="preserve"> 2 912 </w:t>
            </w:r>
          </w:p>
        </w:tc>
        <w:tc>
          <w:tcPr>
            <w:tcW w:w="873" w:type="dxa"/>
            <w:shd w:val="clear" w:color="auto" w:fill="auto"/>
            <w:noWrap/>
            <w:vAlign w:val="center"/>
          </w:tcPr>
          <w:p w14:paraId="17DAF7C5" w14:textId="77777777" w:rsidR="00744544" w:rsidRPr="00A66C9F" w:rsidRDefault="00744544" w:rsidP="00107D5D">
            <w:pPr>
              <w:spacing w:before="30" w:after="30" w:line="200" w:lineRule="exact"/>
              <w:ind w:right="43"/>
              <w:jc w:val="right"/>
              <w:rPr>
                <w:sz w:val="16"/>
                <w:szCs w:val="16"/>
                <w:lang w:val="fr-FR"/>
              </w:rPr>
            </w:pPr>
            <w:r w:rsidRPr="00A66C9F">
              <w:rPr>
                <w:sz w:val="16"/>
                <w:szCs w:val="16"/>
                <w:lang w:val="fr-FR"/>
              </w:rPr>
              <w:t xml:space="preserve"> 44 </w:t>
            </w:r>
          </w:p>
        </w:tc>
        <w:tc>
          <w:tcPr>
            <w:tcW w:w="117" w:type="dxa"/>
            <w:shd w:val="clear" w:color="auto" w:fill="auto"/>
            <w:noWrap/>
            <w:vAlign w:val="center"/>
          </w:tcPr>
          <w:p w14:paraId="465FECB3" w14:textId="77777777" w:rsidR="00744544" w:rsidRPr="00A66C9F" w:rsidRDefault="00744544" w:rsidP="00107D5D">
            <w:pPr>
              <w:spacing w:before="30" w:after="30" w:line="200" w:lineRule="exact"/>
              <w:jc w:val="right"/>
              <w:rPr>
                <w:sz w:val="16"/>
                <w:szCs w:val="16"/>
                <w:lang w:val="fr-FR"/>
              </w:rPr>
            </w:pPr>
          </w:p>
        </w:tc>
        <w:tc>
          <w:tcPr>
            <w:tcW w:w="900" w:type="dxa"/>
            <w:shd w:val="clear" w:color="auto" w:fill="auto"/>
            <w:noWrap/>
            <w:vAlign w:val="center"/>
          </w:tcPr>
          <w:p w14:paraId="69086857" w14:textId="77777777" w:rsidR="00744544" w:rsidRPr="00A66C9F" w:rsidRDefault="00744544" w:rsidP="00107D5D">
            <w:pPr>
              <w:spacing w:before="30" w:after="30" w:line="200" w:lineRule="exact"/>
              <w:ind w:right="43"/>
              <w:jc w:val="right"/>
              <w:rPr>
                <w:sz w:val="16"/>
                <w:szCs w:val="16"/>
                <w:lang w:val="fr-FR"/>
              </w:rPr>
            </w:pPr>
            <w:r w:rsidRPr="00A66C9F">
              <w:rPr>
                <w:sz w:val="16"/>
                <w:szCs w:val="16"/>
                <w:lang w:val="fr-FR"/>
              </w:rPr>
              <w:t xml:space="preserve"> 952 </w:t>
            </w:r>
          </w:p>
        </w:tc>
        <w:tc>
          <w:tcPr>
            <w:tcW w:w="1080" w:type="dxa"/>
            <w:shd w:val="clear" w:color="auto" w:fill="auto"/>
            <w:noWrap/>
            <w:vAlign w:val="center"/>
          </w:tcPr>
          <w:p w14:paraId="0297BF3B" w14:textId="77777777" w:rsidR="00744544" w:rsidRPr="00A66C9F" w:rsidRDefault="00744544" w:rsidP="00107D5D">
            <w:pPr>
              <w:spacing w:before="30" w:after="30" w:line="200" w:lineRule="exact"/>
              <w:ind w:right="43"/>
              <w:jc w:val="right"/>
              <w:rPr>
                <w:sz w:val="16"/>
                <w:szCs w:val="16"/>
                <w:lang w:val="fr-FR"/>
              </w:rPr>
            </w:pPr>
            <w:r w:rsidRPr="00A66C9F">
              <w:rPr>
                <w:sz w:val="16"/>
                <w:szCs w:val="16"/>
                <w:lang w:val="fr-FR"/>
              </w:rPr>
              <w:t xml:space="preserve"> – </w:t>
            </w:r>
          </w:p>
        </w:tc>
        <w:tc>
          <w:tcPr>
            <w:tcW w:w="828" w:type="dxa"/>
            <w:shd w:val="clear" w:color="auto" w:fill="auto"/>
            <w:noWrap/>
            <w:vAlign w:val="center"/>
          </w:tcPr>
          <w:p w14:paraId="128FE3F2" w14:textId="77777777" w:rsidR="00744544" w:rsidRPr="00A66C9F" w:rsidRDefault="00744544" w:rsidP="00107D5D">
            <w:pPr>
              <w:spacing w:before="30" w:after="30" w:line="200" w:lineRule="exact"/>
              <w:ind w:right="43"/>
              <w:jc w:val="right"/>
              <w:rPr>
                <w:sz w:val="16"/>
                <w:szCs w:val="16"/>
                <w:lang w:val="fr-FR"/>
              </w:rPr>
            </w:pPr>
            <w:r w:rsidRPr="00A66C9F">
              <w:rPr>
                <w:sz w:val="16"/>
                <w:szCs w:val="16"/>
                <w:lang w:val="fr-FR"/>
              </w:rPr>
              <w:t xml:space="preserve"> 952 </w:t>
            </w:r>
          </w:p>
        </w:tc>
      </w:tr>
      <w:tr w:rsidR="00744544" w:rsidRPr="00A66C9F" w14:paraId="175D474C" w14:textId="77777777" w:rsidTr="00107D5D">
        <w:tc>
          <w:tcPr>
            <w:tcW w:w="2520" w:type="dxa"/>
            <w:shd w:val="clear" w:color="auto" w:fill="auto"/>
            <w:noWrap/>
            <w:vAlign w:val="center"/>
          </w:tcPr>
          <w:p w14:paraId="6EBD715C" w14:textId="77777777" w:rsidR="00744544" w:rsidRPr="00A66C9F" w:rsidRDefault="00744544" w:rsidP="00107D5D">
            <w:pPr>
              <w:tabs>
                <w:tab w:val="left" w:pos="288"/>
                <w:tab w:val="left" w:pos="576"/>
                <w:tab w:val="left" w:pos="864"/>
                <w:tab w:val="left" w:pos="1152"/>
              </w:tabs>
              <w:spacing w:before="30" w:after="30" w:line="200" w:lineRule="exact"/>
              <w:rPr>
                <w:sz w:val="16"/>
                <w:szCs w:val="16"/>
                <w:lang w:val="fr-FR"/>
              </w:rPr>
            </w:pPr>
            <w:r w:rsidRPr="00A66C9F">
              <w:rPr>
                <w:sz w:val="16"/>
                <w:szCs w:val="16"/>
                <w:lang w:val="fr-FR"/>
              </w:rPr>
              <w:t xml:space="preserve">Singapour </w:t>
            </w:r>
          </w:p>
        </w:tc>
        <w:tc>
          <w:tcPr>
            <w:tcW w:w="900" w:type="dxa"/>
            <w:shd w:val="clear" w:color="auto" w:fill="auto"/>
            <w:noWrap/>
            <w:vAlign w:val="center"/>
          </w:tcPr>
          <w:p w14:paraId="74B2B67A"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44 </w:t>
            </w:r>
          </w:p>
        </w:tc>
        <w:tc>
          <w:tcPr>
            <w:tcW w:w="630" w:type="dxa"/>
            <w:shd w:val="clear" w:color="auto" w:fill="auto"/>
            <w:noWrap/>
            <w:vAlign w:val="center"/>
          </w:tcPr>
          <w:p w14:paraId="070F616E"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42</w:t>
            </w:r>
          </w:p>
        </w:tc>
        <w:tc>
          <w:tcPr>
            <w:tcW w:w="720" w:type="dxa"/>
            <w:shd w:val="clear" w:color="auto" w:fill="auto"/>
            <w:noWrap/>
            <w:vAlign w:val="center"/>
          </w:tcPr>
          <w:p w14:paraId="74197D38"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(1)</w:t>
            </w:r>
          </w:p>
        </w:tc>
        <w:tc>
          <w:tcPr>
            <w:tcW w:w="90" w:type="dxa"/>
            <w:shd w:val="clear" w:color="auto" w:fill="auto"/>
            <w:noWrap/>
            <w:vAlign w:val="center"/>
          </w:tcPr>
          <w:p w14:paraId="10E5B965"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tcPr>
          <w:p w14:paraId="58060878"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45</w:t>
            </w:r>
          </w:p>
        </w:tc>
        <w:tc>
          <w:tcPr>
            <w:tcW w:w="990" w:type="dxa"/>
            <w:shd w:val="clear" w:color="auto" w:fill="auto"/>
            <w:noWrap/>
            <w:vAlign w:val="center"/>
          </w:tcPr>
          <w:p w14:paraId="7A7FC6F2"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837" w:type="dxa"/>
            <w:shd w:val="clear" w:color="auto" w:fill="auto"/>
            <w:noWrap/>
            <w:vAlign w:val="center"/>
          </w:tcPr>
          <w:p w14:paraId="13002C93"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45</w:t>
            </w:r>
          </w:p>
        </w:tc>
        <w:tc>
          <w:tcPr>
            <w:tcW w:w="90" w:type="dxa"/>
            <w:shd w:val="clear" w:color="auto" w:fill="auto"/>
            <w:noWrap/>
            <w:vAlign w:val="center"/>
          </w:tcPr>
          <w:p w14:paraId="08BAC438"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1053" w:type="dxa"/>
            <w:shd w:val="clear" w:color="auto" w:fill="auto"/>
            <w:noWrap/>
            <w:vAlign w:val="center"/>
          </w:tcPr>
          <w:p w14:paraId="00065065"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42 </w:t>
            </w:r>
          </w:p>
        </w:tc>
        <w:tc>
          <w:tcPr>
            <w:tcW w:w="720" w:type="dxa"/>
            <w:shd w:val="clear" w:color="auto" w:fill="auto"/>
            <w:noWrap/>
            <w:vAlign w:val="center"/>
          </w:tcPr>
          <w:p w14:paraId="0D46E113"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873" w:type="dxa"/>
            <w:shd w:val="clear" w:color="auto" w:fill="auto"/>
            <w:noWrap/>
            <w:vAlign w:val="center"/>
          </w:tcPr>
          <w:p w14:paraId="73355A16"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117" w:type="dxa"/>
            <w:shd w:val="clear" w:color="auto" w:fill="auto"/>
            <w:noWrap/>
            <w:vAlign w:val="center"/>
          </w:tcPr>
          <w:p w14:paraId="60CDF0B9"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tcPr>
          <w:p w14:paraId="5798E536"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42 </w:t>
            </w:r>
          </w:p>
        </w:tc>
        <w:tc>
          <w:tcPr>
            <w:tcW w:w="1080" w:type="dxa"/>
            <w:shd w:val="clear" w:color="auto" w:fill="auto"/>
            <w:noWrap/>
            <w:vAlign w:val="center"/>
          </w:tcPr>
          <w:p w14:paraId="1F9E3A10"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828" w:type="dxa"/>
            <w:shd w:val="clear" w:color="auto" w:fill="auto"/>
            <w:noWrap/>
            <w:vAlign w:val="center"/>
          </w:tcPr>
          <w:p w14:paraId="14262B71"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42 </w:t>
            </w:r>
          </w:p>
        </w:tc>
      </w:tr>
      <w:tr w:rsidR="00744544" w:rsidRPr="00A66C9F" w14:paraId="4178F05A" w14:textId="77777777" w:rsidTr="00107D5D">
        <w:tc>
          <w:tcPr>
            <w:tcW w:w="2520" w:type="dxa"/>
            <w:shd w:val="clear" w:color="auto" w:fill="auto"/>
            <w:noWrap/>
            <w:vAlign w:val="center"/>
          </w:tcPr>
          <w:p w14:paraId="7084FFC1" w14:textId="77777777" w:rsidR="00744544" w:rsidRPr="00A66C9F" w:rsidRDefault="00744544" w:rsidP="00107D5D">
            <w:pPr>
              <w:tabs>
                <w:tab w:val="left" w:pos="288"/>
                <w:tab w:val="left" w:pos="576"/>
                <w:tab w:val="left" w:pos="864"/>
                <w:tab w:val="left" w:pos="1152"/>
              </w:tabs>
              <w:spacing w:before="30" w:after="30" w:line="200" w:lineRule="exact"/>
              <w:rPr>
                <w:sz w:val="16"/>
                <w:szCs w:val="16"/>
                <w:lang w:val="fr-FR"/>
              </w:rPr>
            </w:pPr>
            <w:r w:rsidRPr="00A66C9F">
              <w:rPr>
                <w:sz w:val="16"/>
                <w:szCs w:val="16"/>
                <w:lang w:val="fr-FR"/>
              </w:rPr>
              <w:t xml:space="preserve">Suède </w:t>
            </w:r>
          </w:p>
        </w:tc>
        <w:tc>
          <w:tcPr>
            <w:tcW w:w="900" w:type="dxa"/>
            <w:shd w:val="clear" w:color="auto" w:fill="auto"/>
            <w:noWrap/>
            <w:vAlign w:val="center"/>
          </w:tcPr>
          <w:p w14:paraId="39548474"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630" w:type="dxa"/>
            <w:shd w:val="clear" w:color="auto" w:fill="auto"/>
            <w:noWrap/>
            <w:vAlign w:val="center"/>
          </w:tcPr>
          <w:p w14:paraId="7A6A1AFF"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720" w:type="dxa"/>
            <w:shd w:val="clear" w:color="auto" w:fill="auto"/>
            <w:noWrap/>
            <w:vAlign w:val="center"/>
          </w:tcPr>
          <w:p w14:paraId="539AA611"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90" w:type="dxa"/>
            <w:shd w:val="clear" w:color="auto" w:fill="auto"/>
            <w:noWrap/>
            <w:vAlign w:val="center"/>
          </w:tcPr>
          <w:p w14:paraId="6EE1B6B6"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tcPr>
          <w:p w14:paraId="642B4A78"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30 </w:t>
            </w:r>
          </w:p>
        </w:tc>
        <w:tc>
          <w:tcPr>
            <w:tcW w:w="990" w:type="dxa"/>
            <w:shd w:val="clear" w:color="auto" w:fill="auto"/>
            <w:noWrap/>
            <w:vAlign w:val="center"/>
          </w:tcPr>
          <w:p w14:paraId="6BD4BC3A"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(30)</w:t>
            </w:r>
          </w:p>
        </w:tc>
        <w:tc>
          <w:tcPr>
            <w:tcW w:w="837" w:type="dxa"/>
            <w:shd w:val="clear" w:color="auto" w:fill="auto"/>
            <w:noWrap/>
            <w:vAlign w:val="center"/>
          </w:tcPr>
          <w:p w14:paraId="5B45E6B8"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90" w:type="dxa"/>
            <w:shd w:val="clear" w:color="auto" w:fill="auto"/>
            <w:noWrap/>
            <w:vAlign w:val="center"/>
          </w:tcPr>
          <w:p w14:paraId="23B0FF2E"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1053" w:type="dxa"/>
            <w:shd w:val="clear" w:color="auto" w:fill="auto"/>
            <w:noWrap/>
            <w:vAlign w:val="center"/>
          </w:tcPr>
          <w:p w14:paraId="583A557C"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720" w:type="dxa"/>
            <w:shd w:val="clear" w:color="auto" w:fill="auto"/>
            <w:noWrap/>
            <w:vAlign w:val="center"/>
          </w:tcPr>
          <w:p w14:paraId="50EE64B7"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873" w:type="dxa"/>
            <w:shd w:val="clear" w:color="auto" w:fill="auto"/>
            <w:noWrap/>
            <w:vAlign w:val="center"/>
          </w:tcPr>
          <w:p w14:paraId="649AA52F"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117" w:type="dxa"/>
            <w:shd w:val="clear" w:color="auto" w:fill="auto"/>
            <w:noWrap/>
            <w:vAlign w:val="center"/>
          </w:tcPr>
          <w:p w14:paraId="1BBFDAB6"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tcPr>
          <w:p w14:paraId="2A363B68"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31 </w:t>
            </w:r>
          </w:p>
        </w:tc>
        <w:tc>
          <w:tcPr>
            <w:tcW w:w="1080" w:type="dxa"/>
            <w:shd w:val="clear" w:color="auto" w:fill="auto"/>
            <w:noWrap/>
            <w:vAlign w:val="center"/>
          </w:tcPr>
          <w:p w14:paraId="7D91BC99"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(31)</w:t>
            </w:r>
          </w:p>
        </w:tc>
        <w:tc>
          <w:tcPr>
            <w:tcW w:w="828" w:type="dxa"/>
            <w:shd w:val="clear" w:color="auto" w:fill="auto"/>
            <w:noWrap/>
            <w:vAlign w:val="center"/>
          </w:tcPr>
          <w:p w14:paraId="5AFD4625"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r>
      <w:tr w:rsidR="00744544" w:rsidRPr="00A66C9F" w14:paraId="49A7BB80" w14:textId="77777777" w:rsidTr="00107D5D">
        <w:tc>
          <w:tcPr>
            <w:tcW w:w="2520" w:type="dxa"/>
            <w:shd w:val="clear" w:color="auto" w:fill="auto"/>
            <w:noWrap/>
            <w:vAlign w:val="center"/>
            <w:hideMark/>
          </w:tcPr>
          <w:p w14:paraId="57A990A6" w14:textId="77777777" w:rsidR="00744544" w:rsidRPr="00A66C9F" w:rsidRDefault="00744544" w:rsidP="00107D5D">
            <w:pPr>
              <w:tabs>
                <w:tab w:val="left" w:pos="288"/>
                <w:tab w:val="left" w:pos="576"/>
                <w:tab w:val="left" w:pos="864"/>
                <w:tab w:val="left" w:pos="1152"/>
              </w:tabs>
              <w:spacing w:before="30" w:after="30" w:line="200" w:lineRule="exact"/>
              <w:rPr>
                <w:sz w:val="16"/>
                <w:szCs w:val="16"/>
                <w:lang w:val="fr-FR"/>
              </w:rPr>
            </w:pPr>
            <w:r w:rsidRPr="00A66C9F">
              <w:rPr>
                <w:sz w:val="16"/>
                <w:szCs w:val="16"/>
                <w:lang w:val="fr-FR"/>
              </w:rPr>
              <w:t xml:space="preserve">Suisse </w:t>
            </w:r>
          </w:p>
        </w:tc>
        <w:tc>
          <w:tcPr>
            <w:tcW w:w="900" w:type="dxa"/>
            <w:shd w:val="clear" w:color="auto" w:fill="auto"/>
            <w:noWrap/>
            <w:vAlign w:val="center"/>
            <w:hideMark/>
          </w:tcPr>
          <w:p w14:paraId="1F1F15FC"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9 166 </w:t>
            </w:r>
          </w:p>
        </w:tc>
        <w:tc>
          <w:tcPr>
            <w:tcW w:w="630" w:type="dxa"/>
            <w:shd w:val="clear" w:color="auto" w:fill="auto"/>
            <w:noWrap/>
            <w:vAlign w:val="center"/>
            <w:hideMark/>
          </w:tcPr>
          <w:p w14:paraId="069B2AAF"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w:t>
            </w:r>
          </w:p>
        </w:tc>
        <w:tc>
          <w:tcPr>
            <w:tcW w:w="720" w:type="dxa"/>
            <w:shd w:val="clear" w:color="auto" w:fill="auto"/>
            <w:noWrap/>
            <w:vAlign w:val="center"/>
            <w:hideMark/>
          </w:tcPr>
          <w:p w14:paraId="09C12FA7"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(391)</w:t>
            </w:r>
          </w:p>
        </w:tc>
        <w:tc>
          <w:tcPr>
            <w:tcW w:w="90" w:type="dxa"/>
            <w:shd w:val="clear" w:color="auto" w:fill="auto"/>
            <w:noWrap/>
            <w:vAlign w:val="center"/>
            <w:hideMark/>
          </w:tcPr>
          <w:p w14:paraId="534DD65C"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hideMark/>
          </w:tcPr>
          <w:p w14:paraId="6C256634"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12 095</w:t>
            </w:r>
          </w:p>
        </w:tc>
        <w:tc>
          <w:tcPr>
            <w:tcW w:w="990" w:type="dxa"/>
            <w:shd w:val="clear" w:color="auto" w:fill="auto"/>
            <w:noWrap/>
            <w:vAlign w:val="center"/>
            <w:hideMark/>
          </w:tcPr>
          <w:p w14:paraId="71CED079"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837" w:type="dxa"/>
            <w:shd w:val="clear" w:color="auto" w:fill="auto"/>
            <w:noWrap/>
            <w:vAlign w:val="center"/>
            <w:hideMark/>
          </w:tcPr>
          <w:p w14:paraId="2620AE44"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12 095</w:t>
            </w:r>
          </w:p>
        </w:tc>
        <w:tc>
          <w:tcPr>
            <w:tcW w:w="90" w:type="dxa"/>
            <w:shd w:val="clear" w:color="auto" w:fill="auto"/>
            <w:noWrap/>
            <w:vAlign w:val="center"/>
            <w:hideMark/>
          </w:tcPr>
          <w:p w14:paraId="4ECA275E"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1053" w:type="dxa"/>
            <w:shd w:val="clear" w:color="auto" w:fill="auto"/>
            <w:noWrap/>
            <w:vAlign w:val="center"/>
          </w:tcPr>
          <w:p w14:paraId="3C55119F"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9 574 </w:t>
            </w:r>
          </w:p>
        </w:tc>
        <w:tc>
          <w:tcPr>
            <w:tcW w:w="720" w:type="dxa"/>
            <w:shd w:val="clear" w:color="auto" w:fill="auto"/>
            <w:noWrap/>
            <w:vAlign w:val="center"/>
          </w:tcPr>
          <w:p w14:paraId="2691DDC0"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15 968 </w:t>
            </w:r>
          </w:p>
        </w:tc>
        <w:tc>
          <w:tcPr>
            <w:tcW w:w="873" w:type="dxa"/>
            <w:shd w:val="clear" w:color="auto" w:fill="auto"/>
            <w:noWrap/>
            <w:vAlign w:val="center"/>
          </w:tcPr>
          <w:p w14:paraId="44F4D22F"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316 </w:t>
            </w:r>
          </w:p>
        </w:tc>
        <w:tc>
          <w:tcPr>
            <w:tcW w:w="117" w:type="dxa"/>
            <w:shd w:val="clear" w:color="auto" w:fill="auto"/>
            <w:noWrap/>
            <w:vAlign w:val="center"/>
          </w:tcPr>
          <w:p w14:paraId="7F304131"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tcPr>
          <w:p w14:paraId="7941F91F"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2 538 </w:t>
            </w:r>
          </w:p>
        </w:tc>
        <w:tc>
          <w:tcPr>
            <w:tcW w:w="1080" w:type="dxa"/>
            <w:shd w:val="clear" w:color="auto" w:fill="auto"/>
            <w:noWrap/>
            <w:vAlign w:val="center"/>
          </w:tcPr>
          <w:p w14:paraId="72FF1212"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828" w:type="dxa"/>
            <w:shd w:val="clear" w:color="auto" w:fill="auto"/>
            <w:noWrap/>
            <w:vAlign w:val="center"/>
          </w:tcPr>
          <w:p w14:paraId="3E652776"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2 538 </w:t>
            </w:r>
          </w:p>
        </w:tc>
      </w:tr>
      <w:tr w:rsidR="00744544" w:rsidRPr="00A66C9F" w14:paraId="363054A4" w14:textId="77777777" w:rsidTr="00107D5D">
        <w:tc>
          <w:tcPr>
            <w:tcW w:w="2520" w:type="dxa"/>
            <w:shd w:val="clear" w:color="auto" w:fill="auto"/>
            <w:noWrap/>
            <w:vAlign w:val="center"/>
            <w:hideMark/>
          </w:tcPr>
          <w:p w14:paraId="42D0EAFA" w14:textId="77777777" w:rsidR="00744544" w:rsidRPr="00A66C9F" w:rsidRDefault="00744544" w:rsidP="00107D5D">
            <w:pPr>
              <w:tabs>
                <w:tab w:val="left" w:pos="288"/>
                <w:tab w:val="left" w:pos="576"/>
                <w:tab w:val="left" w:pos="864"/>
                <w:tab w:val="left" w:pos="1152"/>
              </w:tabs>
              <w:spacing w:before="30" w:after="30" w:line="200" w:lineRule="exact"/>
              <w:rPr>
                <w:sz w:val="16"/>
                <w:szCs w:val="16"/>
                <w:lang w:val="fr-FR"/>
              </w:rPr>
            </w:pPr>
            <w:r w:rsidRPr="00A66C9F">
              <w:rPr>
                <w:sz w:val="16"/>
                <w:szCs w:val="16"/>
                <w:lang w:val="fr-FR"/>
              </w:rPr>
              <w:t xml:space="preserve">Tchéquie </w:t>
            </w:r>
          </w:p>
        </w:tc>
        <w:tc>
          <w:tcPr>
            <w:tcW w:w="900" w:type="dxa"/>
            <w:shd w:val="clear" w:color="auto" w:fill="auto"/>
            <w:noWrap/>
            <w:vAlign w:val="center"/>
            <w:hideMark/>
          </w:tcPr>
          <w:p w14:paraId="63D34B9D"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148 </w:t>
            </w:r>
          </w:p>
        </w:tc>
        <w:tc>
          <w:tcPr>
            <w:tcW w:w="630" w:type="dxa"/>
            <w:shd w:val="clear" w:color="auto" w:fill="auto"/>
            <w:noWrap/>
            <w:vAlign w:val="center"/>
            <w:hideMark/>
          </w:tcPr>
          <w:p w14:paraId="3C08BB39"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720" w:type="dxa"/>
            <w:shd w:val="clear" w:color="auto" w:fill="auto"/>
            <w:noWrap/>
            <w:vAlign w:val="center"/>
            <w:hideMark/>
          </w:tcPr>
          <w:p w14:paraId="360356D8"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90" w:type="dxa"/>
            <w:shd w:val="clear" w:color="auto" w:fill="auto"/>
            <w:noWrap/>
            <w:vAlign w:val="center"/>
            <w:hideMark/>
          </w:tcPr>
          <w:p w14:paraId="39276DD7"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hideMark/>
          </w:tcPr>
          <w:p w14:paraId="38ADB4FC"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233</w:t>
            </w:r>
          </w:p>
        </w:tc>
        <w:tc>
          <w:tcPr>
            <w:tcW w:w="990" w:type="dxa"/>
            <w:shd w:val="clear" w:color="auto" w:fill="auto"/>
            <w:noWrap/>
            <w:vAlign w:val="center"/>
            <w:hideMark/>
          </w:tcPr>
          <w:p w14:paraId="7B050641"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837" w:type="dxa"/>
            <w:shd w:val="clear" w:color="auto" w:fill="auto"/>
            <w:noWrap/>
            <w:vAlign w:val="center"/>
            <w:hideMark/>
          </w:tcPr>
          <w:p w14:paraId="0ACDDC3C"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233</w:t>
            </w:r>
          </w:p>
        </w:tc>
        <w:tc>
          <w:tcPr>
            <w:tcW w:w="90" w:type="dxa"/>
            <w:shd w:val="clear" w:color="auto" w:fill="auto"/>
            <w:noWrap/>
            <w:vAlign w:val="center"/>
            <w:hideMark/>
          </w:tcPr>
          <w:p w14:paraId="16869D93"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1053" w:type="dxa"/>
            <w:shd w:val="clear" w:color="auto" w:fill="auto"/>
            <w:noWrap/>
            <w:vAlign w:val="center"/>
          </w:tcPr>
          <w:p w14:paraId="4557D796"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85 </w:t>
            </w:r>
          </w:p>
        </w:tc>
        <w:tc>
          <w:tcPr>
            <w:tcW w:w="720" w:type="dxa"/>
            <w:shd w:val="clear" w:color="auto" w:fill="auto"/>
            <w:noWrap/>
            <w:vAlign w:val="center"/>
          </w:tcPr>
          <w:p w14:paraId="55F65E65"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873" w:type="dxa"/>
            <w:shd w:val="clear" w:color="auto" w:fill="auto"/>
            <w:noWrap/>
            <w:vAlign w:val="center"/>
          </w:tcPr>
          <w:p w14:paraId="67903EC7"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117" w:type="dxa"/>
            <w:shd w:val="clear" w:color="auto" w:fill="auto"/>
            <w:noWrap/>
            <w:vAlign w:val="center"/>
          </w:tcPr>
          <w:p w14:paraId="23C53C53" w14:textId="77777777" w:rsidR="00744544" w:rsidRPr="00A66C9F" w:rsidRDefault="00744544" w:rsidP="00107D5D">
            <w:pPr>
              <w:tabs>
                <w:tab w:val="left" w:pos="288"/>
                <w:tab w:val="left" w:pos="576"/>
                <w:tab w:val="left" w:pos="864"/>
                <w:tab w:val="left" w:pos="1152"/>
              </w:tabs>
              <w:spacing w:before="30" w:after="30" w:line="200" w:lineRule="exact"/>
              <w:jc w:val="right"/>
              <w:rPr>
                <w:sz w:val="16"/>
                <w:szCs w:val="16"/>
                <w:lang w:val="fr-FR"/>
              </w:rPr>
            </w:pPr>
          </w:p>
        </w:tc>
        <w:tc>
          <w:tcPr>
            <w:tcW w:w="900" w:type="dxa"/>
            <w:shd w:val="clear" w:color="auto" w:fill="auto"/>
            <w:noWrap/>
            <w:vAlign w:val="center"/>
          </w:tcPr>
          <w:p w14:paraId="60A8026F"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85 </w:t>
            </w:r>
          </w:p>
        </w:tc>
        <w:tc>
          <w:tcPr>
            <w:tcW w:w="1080" w:type="dxa"/>
            <w:shd w:val="clear" w:color="auto" w:fill="auto"/>
            <w:noWrap/>
            <w:vAlign w:val="center"/>
          </w:tcPr>
          <w:p w14:paraId="287244B3"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 </w:t>
            </w:r>
          </w:p>
        </w:tc>
        <w:tc>
          <w:tcPr>
            <w:tcW w:w="828" w:type="dxa"/>
            <w:shd w:val="clear" w:color="auto" w:fill="auto"/>
            <w:noWrap/>
            <w:vAlign w:val="center"/>
          </w:tcPr>
          <w:p w14:paraId="42C261D7" w14:textId="77777777" w:rsidR="00744544" w:rsidRPr="00A66C9F" w:rsidRDefault="00744544" w:rsidP="00107D5D">
            <w:pPr>
              <w:tabs>
                <w:tab w:val="left" w:pos="288"/>
                <w:tab w:val="left" w:pos="576"/>
                <w:tab w:val="left" w:pos="864"/>
                <w:tab w:val="left" w:pos="1152"/>
              </w:tabs>
              <w:spacing w:before="30" w:after="30" w:line="200" w:lineRule="exact"/>
              <w:ind w:right="43"/>
              <w:jc w:val="right"/>
              <w:rPr>
                <w:sz w:val="16"/>
                <w:szCs w:val="16"/>
                <w:lang w:val="fr-FR"/>
              </w:rPr>
            </w:pPr>
            <w:r w:rsidRPr="00A66C9F">
              <w:rPr>
                <w:sz w:val="16"/>
                <w:szCs w:val="16"/>
                <w:lang w:val="fr-FR"/>
              </w:rPr>
              <w:t xml:space="preserve"> 85 </w:t>
            </w:r>
          </w:p>
        </w:tc>
      </w:tr>
      <w:tr w:rsidR="00744544" w:rsidRPr="00A66C9F" w14:paraId="5C416079" w14:textId="77777777" w:rsidTr="00107D5D">
        <w:tc>
          <w:tcPr>
            <w:tcW w:w="2520" w:type="dxa"/>
            <w:shd w:val="clear" w:color="auto" w:fill="auto"/>
            <w:noWrap/>
            <w:vAlign w:val="center"/>
            <w:hideMark/>
          </w:tcPr>
          <w:p w14:paraId="772BE1C1" w14:textId="77777777" w:rsidR="00744544" w:rsidRPr="00A66C9F" w:rsidRDefault="00744544" w:rsidP="00107D5D">
            <w:pPr>
              <w:tabs>
                <w:tab w:val="left" w:pos="288"/>
                <w:tab w:val="left" w:pos="576"/>
                <w:tab w:val="left" w:pos="864"/>
                <w:tab w:val="left" w:pos="1152"/>
              </w:tabs>
              <w:spacing w:before="30" w:after="81" w:line="200" w:lineRule="exact"/>
              <w:rPr>
                <w:sz w:val="16"/>
                <w:szCs w:val="16"/>
                <w:lang w:val="fr-FR"/>
              </w:rPr>
            </w:pPr>
            <w:r w:rsidRPr="00A66C9F">
              <w:rPr>
                <w:sz w:val="16"/>
                <w:szCs w:val="16"/>
                <w:lang w:val="fr-FR"/>
              </w:rPr>
              <w:t xml:space="preserve">Turquie </w:t>
            </w:r>
          </w:p>
        </w:tc>
        <w:tc>
          <w:tcPr>
            <w:tcW w:w="900" w:type="dxa"/>
            <w:shd w:val="clear" w:color="auto" w:fill="auto"/>
            <w:noWrap/>
            <w:vAlign w:val="center"/>
            <w:hideMark/>
          </w:tcPr>
          <w:p w14:paraId="6980A292" w14:textId="77777777" w:rsidR="00744544" w:rsidRPr="00A66C9F" w:rsidRDefault="00744544" w:rsidP="00107D5D">
            <w:pPr>
              <w:tabs>
                <w:tab w:val="left" w:pos="288"/>
                <w:tab w:val="left" w:pos="576"/>
                <w:tab w:val="left" w:pos="864"/>
                <w:tab w:val="left" w:pos="1152"/>
              </w:tabs>
              <w:spacing w:before="30" w:after="81" w:line="200" w:lineRule="exact"/>
              <w:ind w:right="43"/>
              <w:jc w:val="right"/>
              <w:rPr>
                <w:sz w:val="16"/>
                <w:szCs w:val="16"/>
                <w:lang w:val="fr-FR"/>
              </w:rPr>
            </w:pPr>
            <w:r w:rsidRPr="00A66C9F">
              <w:rPr>
                <w:sz w:val="16"/>
                <w:szCs w:val="16"/>
                <w:lang w:val="fr-FR"/>
              </w:rPr>
              <w:t xml:space="preserve"> 72 </w:t>
            </w:r>
          </w:p>
        </w:tc>
        <w:tc>
          <w:tcPr>
            <w:tcW w:w="630" w:type="dxa"/>
            <w:shd w:val="clear" w:color="auto" w:fill="auto"/>
            <w:noWrap/>
            <w:vAlign w:val="center"/>
            <w:hideMark/>
          </w:tcPr>
          <w:p w14:paraId="06E9A5D1" w14:textId="77777777" w:rsidR="00744544" w:rsidRPr="00A66C9F" w:rsidRDefault="00744544" w:rsidP="00107D5D">
            <w:pPr>
              <w:tabs>
                <w:tab w:val="left" w:pos="288"/>
                <w:tab w:val="left" w:pos="576"/>
                <w:tab w:val="left" w:pos="864"/>
                <w:tab w:val="left" w:pos="1152"/>
              </w:tabs>
              <w:spacing w:before="30" w:after="81" w:line="200" w:lineRule="exact"/>
              <w:ind w:right="43"/>
              <w:jc w:val="right"/>
              <w:rPr>
                <w:sz w:val="16"/>
                <w:szCs w:val="16"/>
                <w:lang w:val="fr-FR"/>
              </w:rPr>
            </w:pPr>
            <w:r w:rsidRPr="00A66C9F">
              <w:rPr>
                <w:sz w:val="16"/>
                <w:szCs w:val="16"/>
                <w:lang w:val="fr-FR"/>
              </w:rPr>
              <w:t xml:space="preserve"> – </w:t>
            </w:r>
          </w:p>
        </w:tc>
        <w:tc>
          <w:tcPr>
            <w:tcW w:w="720" w:type="dxa"/>
            <w:shd w:val="clear" w:color="auto" w:fill="auto"/>
            <w:noWrap/>
            <w:vAlign w:val="center"/>
            <w:hideMark/>
          </w:tcPr>
          <w:p w14:paraId="4C8AF02F" w14:textId="77777777" w:rsidR="00744544" w:rsidRPr="00A66C9F" w:rsidRDefault="00744544" w:rsidP="00107D5D">
            <w:pPr>
              <w:tabs>
                <w:tab w:val="left" w:pos="288"/>
                <w:tab w:val="left" w:pos="576"/>
                <w:tab w:val="left" w:pos="864"/>
                <w:tab w:val="left" w:pos="1152"/>
              </w:tabs>
              <w:spacing w:before="30" w:after="81" w:line="200" w:lineRule="exact"/>
              <w:ind w:right="43"/>
              <w:jc w:val="right"/>
              <w:rPr>
                <w:sz w:val="16"/>
                <w:szCs w:val="16"/>
                <w:lang w:val="fr-FR"/>
              </w:rPr>
            </w:pPr>
            <w:r w:rsidRPr="00A66C9F">
              <w:rPr>
                <w:sz w:val="16"/>
                <w:szCs w:val="16"/>
                <w:lang w:val="fr-FR"/>
              </w:rPr>
              <w:t>8</w:t>
            </w:r>
          </w:p>
        </w:tc>
        <w:tc>
          <w:tcPr>
            <w:tcW w:w="90" w:type="dxa"/>
            <w:shd w:val="clear" w:color="auto" w:fill="auto"/>
            <w:noWrap/>
            <w:vAlign w:val="center"/>
            <w:hideMark/>
          </w:tcPr>
          <w:p w14:paraId="092D09D4" w14:textId="77777777" w:rsidR="00744544" w:rsidRPr="00A66C9F" w:rsidRDefault="00744544" w:rsidP="00107D5D">
            <w:pPr>
              <w:tabs>
                <w:tab w:val="left" w:pos="288"/>
                <w:tab w:val="left" w:pos="576"/>
                <w:tab w:val="left" w:pos="864"/>
                <w:tab w:val="left" w:pos="1152"/>
              </w:tabs>
              <w:spacing w:before="30" w:after="81" w:line="200" w:lineRule="exact"/>
              <w:jc w:val="right"/>
              <w:rPr>
                <w:sz w:val="16"/>
                <w:szCs w:val="16"/>
                <w:lang w:val="fr-FR"/>
              </w:rPr>
            </w:pPr>
          </w:p>
        </w:tc>
        <w:tc>
          <w:tcPr>
            <w:tcW w:w="900" w:type="dxa"/>
            <w:shd w:val="clear" w:color="auto" w:fill="auto"/>
            <w:noWrap/>
            <w:vAlign w:val="center"/>
            <w:hideMark/>
          </w:tcPr>
          <w:p w14:paraId="1FDEB9D2" w14:textId="77777777" w:rsidR="00744544" w:rsidRPr="00A66C9F" w:rsidRDefault="00744544" w:rsidP="00107D5D">
            <w:pPr>
              <w:tabs>
                <w:tab w:val="left" w:pos="288"/>
                <w:tab w:val="left" w:pos="576"/>
                <w:tab w:val="left" w:pos="864"/>
                <w:tab w:val="left" w:pos="1152"/>
              </w:tabs>
              <w:spacing w:before="30" w:after="81" w:line="200" w:lineRule="exact"/>
              <w:ind w:right="43"/>
              <w:jc w:val="right"/>
              <w:rPr>
                <w:sz w:val="16"/>
                <w:szCs w:val="16"/>
                <w:lang w:val="fr-FR"/>
              </w:rPr>
            </w:pPr>
            <w:r w:rsidRPr="00A66C9F">
              <w:rPr>
                <w:sz w:val="16"/>
                <w:szCs w:val="16"/>
                <w:lang w:val="fr-FR"/>
              </w:rPr>
              <w:t>334</w:t>
            </w:r>
          </w:p>
        </w:tc>
        <w:tc>
          <w:tcPr>
            <w:tcW w:w="990" w:type="dxa"/>
            <w:shd w:val="clear" w:color="auto" w:fill="auto"/>
            <w:noWrap/>
            <w:vAlign w:val="center"/>
            <w:hideMark/>
          </w:tcPr>
          <w:p w14:paraId="3E8B82C8" w14:textId="77777777" w:rsidR="00744544" w:rsidRPr="00A66C9F" w:rsidRDefault="00744544" w:rsidP="00107D5D">
            <w:pPr>
              <w:tabs>
                <w:tab w:val="left" w:pos="288"/>
                <w:tab w:val="left" w:pos="576"/>
                <w:tab w:val="left" w:pos="864"/>
                <w:tab w:val="left" w:pos="1152"/>
              </w:tabs>
              <w:spacing w:before="30" w:after="81" w:line="200" w:lineRule="exact"/>
              <w:ind w:right="43"/>
              <w:jc w:val="right"/>
              <w:rPr>
                <w:sz w:val="16"/>
                <w:szCs w:val="16"/>
                <w:lang w:val="fr-FR"/>
              </w:rPr>
            </w:pPr>
            <w:r w:rsidRPr="00A66C9F">
              <w:rPr>
                <w:sz w:val="16"/>
                <w:szCs w:val="16"/>
                <w:lang w:val="fr-FR"/>
              </w:rPr>
              <w:t xml:space="preserve"> (233)</w:t>
            </w:r>
          </w:p>
        </w:tc>
        <w:tc>
          <w:tcPr>
            <w:tcW w:w="837" w:type="dxa"/>
            <w:shd w:val="clear" w:color="auto" w:fill="auto"/>
            <w:noWrap/>
            <w:vAlign w:val="center"/>
            <w:hideMark/>
          </w:tcPr>
          <w:p w14:paraId="0925162A" w14:textId="77777777" w:rsidR="00744544" w:rsidRPr="00A66C9F" w:rsidRDefault="00744544" w:rsidP="00107D5D">
            <w:pPr>
              <w:tabs>
                <w:tab w:val="left" w:pos="288"/>
                <w:tab w:val="left" w:pos="576"/>
                <w:tab w:val="left" w:pos="864"/>
                <w:tab w:val="left" w:pos="1152"/>
              </w:tabs>
              <w:spacing w:before="30" w:after="81" w:line="200" w:lineRule="exact"/>
              <w:ind w:right="43"/>
              <w:jc w:val="right"/>
              <w:rPr>
                <w:sz w:val="16"/>
                <w:szCs w:val="16"/>
                <w:lang w:val="fr-FR"/>
              </w:rPr>
            </w:pPr>
            <w:r w:rsidRPr="00A66C9F">
              <w:rPr>
                <w:sz w:val="16"/>
                <w:szCs w:val="16"/>
                <w:lang w:val="fr-FR"/>
              </w:rPr>
              <w:t>101</w:t>
            </w:r>
          </w:p>
        </w:tc>
        <w:tc>
          <w:tcPr>
            <w:tcW w:w="90" w:type="dxa"/>
            <w:shd w:val="clear" w:color="auto" w:fill="auto"/>
            <w:noWrap/>
            <w:vAlign w:val="center"/>
            <w:hideMark/>
          </w:tcPr>
          <w:p w14:paraId="6ED0051F" w14:textId="77777777" w:rsidR="00744544" w:rsidRPr="00A66C9F" w:rsidRDefault="00744544" w:rsidP="00107D5D">
            <w:pPr>
              <w:tabs>
                <w:tab w:val="left" w:pos="288"/>
                <w:tab w:val="left" w:pos="576"/>
                <w:tab w:val="left" w:pos="864"/>
                <w:tab w:val="left" w:pos="1152"/>
              </w:tabs>
              <w:spacing w:before="30" w:after="81" w:line="200" w:lineRule="exact"/>
              <w:jc w:val="right"/>
              <w:rPr>
                <w:sz w:val="16"/>
                <w:szCs w:val="16"/>
                <w:lang w:val="fr-FR"/>
              </w:rPr>
            </w:pPr>
          </w:p>
        </w:tc>
        <w:tc>
          <w:tcPr>
            <w:tcW w:w="1053" w:type="dxa"/>
            <w:shd w:val="clear" w:color="auto" w:fill="auto"/>
            <w:noWrap/>
            <w:vAlign w:val="center"/>
          </w:tcPr>
          <w:p w14:paraId="3D617B7C" w14:textId="77777777" w:rsidR="00744544" w:rsidRPr="00A66C9F" w:rsidRDefault="00744544" w:rsidP="00107D5D">
            <w:pPr>
              <w:tabs>
                <w:tab w:val="left" w:pos="288"/>
                <w:tab w:val="left" w:pos="576"/>
                <w:tab w:val="left" w:pos="864"/>
                <w:tab w:val="left" w:pos="1152"/>
              </w:tabs>
              <w:spacing w:before="30" w:after="81" w:line="200" w:lineRule="exact"/>
              <w:ind w:right="43"/>
              <w:jc w:val="right"/>
              <w:rPr>
                <w:sz w:val="16"/>
                <w:szCs w:val="16"/>
                <w:lang w:val="fr-FR"/>
              </w:rPr>
            </w:pPr>
            <w:r w:rsidRPr="00A66C9F">
              <w:rPr>
                <w:sz w:val="16"/>
                <w:szCs w:val="16"/>
                <w:lang w:val="fr-FR"/>
              </w:rPr>
              <w:t xml:space="preserve"> 51 </w:t>
            </w:r>
          </w:p>
        </w:tc>
        <w:tc>
          <w:tcPr>
            <w:tcW w:w="720" w:type="dxa"/>
            <w:shd w:val="clear" w:color="auto" w:fill="auto"/>
            <w:noWrap/>
            <w:vAlign w:val="center"/>
          </w:tcPr>
          <w:p w14:paraId="5FCB1C63" w14:textId="77777777" w:rsidR="00744544" w:rsidRPr="00A66C9F" w:rsidRDefault="00744544" w:rsidP="00107D5D">
            <w:pPr>
              <w:tabs>
                <w:tab w:val="left" w:pos="288"/>
                <w:tab w:val="left" w:pos="576"/>
                <w:tab w:val="left" w:pos="864"/>
                <w:tab w:val="left" w:pos="1152"/>
              </w:tabs>
              <w:spacing w:before="30" w:after="81" w:line="200" w:lineRule="exact"/>
              <w:ind w:right="43"/>
              <w:jc w:val="right"/>
              <w:rPr>
                <w:sz w:val="16"/>
                <w:szCs w:val="16"/>
                <w:lang w:val="fr-FR"/>
              </w:rPr>
            </w:pPr>
            <w:r w:rsidRPr="00A66C9F">
              <w:rPr>
                <w:sz w:val="16"/>
                <w:szCs w:val="16"/>
                <w:lang w:val="fr-FR"/>
              </w:rPr>
              <w:t xml:space="preserve"> – </w:t>
            </w:r>
          </w:p>
        </w:tc>
        <w:tc>
          <w:tcPr>
            <w:tcW w:w="873" w:type="dxa"/>
            <w:shd w:val="clear" w:color="auto" w:fill="auto"/>
            <w:noWrap/>
            <w:vAlign w:val="center"/>
          </w:tcPr>
          <w:p w14:paraId="0E0CE1BA" w14:textId="77777777" w:rsidR="00744544" w:rsidRPr="00A66C9F" w:rsidRDefault="00744544" w:rsidP="00107D5D">
            <w:pPr>
              <w:tabs>
                <w:tab w:val="left" w:pos="288"/>
                <w:tab w:val="left" w:pos="576"/>
                <w:tab w:val="left" w:pos="864"/>
                <w:tab w:val="left" w:pos="1152"/>
              </w:tabs>
              <w:spacing w:before="30" w:after="81" w:line="200" w:lineRule="exact"/>
              <w:ind w:right="43"/>
              <w:jc w:val="right"/>
              <w:rPr>
                <w:sz w:val="16"/>
                <w:szCs w:val="16"/>
                <w:lang w:val="fr-FR"/>
              </w:rPr>
            </w:pPr>
            <w:r w:rsidRPr="00A66C9F">
              <w:rPr>
                <w:sz w:val="16"/>
                <w:szCs w:val="16"/>
                <w:lang w:val="fr-FR"/>
              </w:rPr>
              <w:t xml:space="preserve"> 14 </w:t>
            </w:r>
          </w:p>
        </w:tc>
        <w:tc>
          <w:tcPr>
            <w:tcW w:w="117" w:type="dxa"/>
            <w:shd w:val="clear" w:color="auto" w:fill="auto"/>
            <w:noWrap/>
            <w:vAlign w:val="center"/>
          </w:tcPr>
          <w:p w14:paraId="1F3C554B" w14:textId="77777777" w:rsidR="00744544" w:rsidRPr="00A66C9F" w:rsidRDefault="00744544" w:rsidP="00107D5D">
            <w:pPr>
              <w:tabs>
                <w:tab w:val="left" w:pos="288"/>
                <w:tab w:val="left" w:pos="576"/>
                <w:tab w:val="left" w:pos="864"/>
                <w:tab w:val="left" w:pos="1152"/>
              </w:tabs>
              <w:spacing w:before="30" w:after="81" w:line="200" w:lineRule="exact"/>
              <w:jc w:val="right"/>
              <w:rPr>
                <w:sz w:val="16"/>
                <w:szCs w:val="16"/>
                <w:lang w:val="fr-FR"/>
              </w:rPr>
            </w:pPr>
          </w:p>
        </w:tc>
        <w:tc>
          <w:tcPr>
            <w:tcW w:w="900" w:type="dxa"/>
            <w:shd w:val="clear" w:color="auto" w:fill="auto"/>
            <w:noWrap/>
            <w:vAlign w:val="center"/>
          </w:tcPr>
          <w:p w14:paraId="68A0E4FA" w14:textId="77777777" w:rsidR="00744544" w:rsidRPr="00A66C9F" w:rsidRDefault="00744544" w:rsidP="00107D5D">
            <w:pPr>
              <w:tabs>
                <w:tab w:val="left" w:pos="288"/>
                <w:tab w:val="left" w:pos="576"/>
                <w:tab w:val="left" w:pos="864"/>
                <w:tab w:val="left" w:pos="1152"/>
              </w:tabs>
              <w:spacing w:before="30" w:after="81" w:line="200" w:lineRule="exact"/>
              <w:ind w:right="43"/>
              <w:jc w:val="right"/>
              <w:rPr>
                <w:sz w:val="16"/>
                <w:szCs w:val="16"/>
                <w:lang w:val="fr-FR"/>
              </w:rPr>
            </w:pPr>
            <w:r w:rsidRPr="00A66C9F">
              <w:rPr>
                <w:sz w:val="16"/>
                <w:szCs w:val="16"/>
                <w:lang w:val="fr-FR"/>
              </w:rPr>
              <w:t xml:space="preserve"> 298 </w:t>
            </w:r>
          </w:p>
        </w:tc>
        <w:tc>
          <w:tcPr>
            <w:tcW w:w="1080" w:type="dxa"/>
            <w:shd w:val="clear" w:color="auto" w:fill="auto"/>
            <w:noWrap/>
            <w:vAlign w:val="center"/>
          </w:tcPr>
          <w:p w14:paraId="7F7D36A3" w14:textId="77777777" w:rsidR="00744544" w:rsidRPr="00A66C9F" w:rsidRDefault="00744544" w:rsidP="00107D5D">
            <w:pPr>
              <w:tabs>
                <w:tab w:val="left" w:pos="288"/>
                <w:tab w:val="left" w:pos="576"/>
                <w:tab w:val="left" w:pos="864"/>
                <w:tab w:val="left" w:pos="1152"/>
              </w:tabs>
              <w:spacing w:before="30" w:after="81" w:line="200" w:lineRule="exact"/>
              <w:ind w:right="43"/>
              <w:jc w:val="right"/>
              <w:rPr>
                <w:sz w:val="16"/>
                <w:szCs w:val="16"/>
                <w:lang w:val="fr-FR"/>
              </w:rPr>
            </w:pPr>
            <w:r w:rsidRPr="00A66C9F">
              <w:rPr>
                <w:sz w:val="16"/>
                <w:szCs w:val="16"/>
                <w:lang w:val="fr-FR"/>
              </w:rPr>
              <w:t xml:space="preserve"> (261)</w:t>
            </w:r>
          </w:p>
        </w:tc>
        <w:tc>
          <w:tcPr>
            <w:tcW w:w="828" w:type="dxa"/>
            <w:shd w:val="clear" w:color="auto" w:fill="auto"/>
            <w:noWrap/>
            <w:vAlign w:val="center"/>
          </w:tcPr>
          <w:p w14:paraId="01A61A08" w14:textId="77777777" w:rsidR="00744544" w:rsidRPr="00A66C9F" w:rsidRDefault="00744544" w:rsidP="00107D5D">
            <w:pPr>
              <w:tabs>
                <w:tab w:val="left" w:pos="288"/>
                <w:tab w:val="left" w:pos="576"/>
                <w:tab w:val="left" w:pos="864"/>
                <w:tab w:val="left" w:pos="1152"/>
              </w:tabs>
              <w:spacing w:before="30" w:after="81" w:line="200" w:lineRule="exact"/>
              <w:ind w:right="43"/>
              <w:jc w:val="right"/>
              <w:rPr>
                <w:sz w:val="16"/>
                <w:szCs w:val="16"/>
                <w:lang w:val="fr-FR"/>
              </w:rPr>
            </w:pPr>
            <w:r w:rsidRPr="00A66C9F">
              <w:rPr>
                <w:sz w:val="16"/>
                <w:szCs w:val="16"/>
                <w:lang w:val="fr-FR"/>
              </w:rPr>
              <w:t xml:space="preserve"> 37 </w:t>
            </w:r>
          </w:p>
        </w:tc>
      </w:tr>
      <w:tr w:rsidR="00744544" w:rsidRPr="00A66C9F" w14:paraId="35E342F6" w14:textId="77777777" w:rsidTr="00107D5D">
        <w:tc>
          <w:tcPr>
            <w:tcW w:w="2520" w:type="dxa"/>
            <w:tcBorders>
              <w:top w:val="single" w:sz="4" w:space="0" w:color="auto"/>
              <w:bottom w:val="single" w:sz="12" w:space="0" w:color="auto"/>
            </w:tcBorders>
            <w:shd w:val="clear" w:color="auto" w:fill="auto"/>
            <w:noWrap/>
            <w:vAlign w:val="center"/>
            <w:hideMark/>
          </w:tcPr>
          <w:p w14:paraId="531EEB4E" w14:textId="77777777" w:rsidR="00744544" w:rsidRPr="00A66C9F" w:rsidRDefault="00744544" w:rsidP="00107D5D">
            <w:pPr>
              <w:tabs>
                <w:tab w:val="left" w:pos="180"/>
              </w:tabs>
              <w:spacing w:before="81" w:after="81" w:line="200" w:lineRule="exact"/>
              <w:ind w:right="43"/>
              <w:rPr>
                <w:b/>
                <w:bCs/>
                <w:sz w:val="16"/>
                <w:szCs w:val="16"/>
                <w:lang w:val="fr-FR"/>
              </w:rPr>
            </w:pPr>
            <w:r w:rsidRPr="00A66C9F">
              <w:rPr>
                <w:b/>
                <w:sz w:val="16"/>
                <w:szCs w:val="16"/>
                <w:lang w:val="fr-FR"/>
              </w:rPr>
              <w:tab/>
            </w:r>
            <w:r w:rsidRPr="00A66C9F">
              <w:rPr>
                <w:b/>
                <w:bCs/>
                <w:sz w:val="16"/>
                <w:szCs w:val="16"/>
                <w:lang w:val="fr-FR"/>
              </w:rPr>
              <w:t>Total</w:t>
            </w:r>
          </w:p>
        </w:tc>
        <w:tc>
          <w:tcPr>
            <w:tcW w:w="900" w:type="dxa"/>
            <w:tcBorders>
              <w:top w:val="single" w:sz="4" w:space="0" w:color="auto"/>
              <w:bottom w:val="single" w:sz="12" w:space="0" w:color="auto"/>
            </w:tcBorders>
            <w:shd w:val="clear" w:color="auto" w:fill="auto"/>
            <w:noWrap/>
            <w:vAlign w:val="center"/>
            <w:hideMark/>
          </w:tcPr>
          <w:p w14:paraId="64360379" w14:textId="77777777" w:rsidR="00744544" w:rsidRPr="00A66C9F" w:rsidRDefault="00744544" w:rsidP="00107D5D">
            <w:pPr>
              <w:spacing w:before="81" w:after="81" w:line="200" w:lineRule="exact"/>
              <w:ind w:right="43"/>
              <w:jc w:val="right"/>
              <w:rPr>
                <w:b/>
                <w:bCs/>
                <w:sz w:val="16"/>
                <w:szCs w:val="16"/>
                <w:lang w:val="fr-FR"/>
              </w:rPr>
            </w:pPr>
            <w:r w:rsidRPr="00A66C9F">
              <w:rPr>
                <w:b/>
                <w:sz w:val="16"/>
                <w:szCs w:val="16"/>
                <w:lang w:val="fr-FR"/>
              </w:rPr>
              <w:t xml:space="preserve"> </w:t>
            </w:r>
            <w:r w:rsidRPr="00A66C9F">
              <w:rPr>
                <w:b/>
                <w:bCs/>
                <w:sz w:val="16"/>
                <w:szCs w:val="16"/>
                <w:lang w:val="fr-FR"/>
              </w:rPr>
              <w:t>30 470</w:t>
            </w:r>
            <w:r w:rsidRPr="00A66C9F">
              <w:rPr>
                <w:b/>
                <w:sz w:val="16"/>
                <w:szCs w:val="16"/>
                <w:lang w:val="fr-FR"/>
              </w:rPr>
              <w:t xml:space="preserve"> </w:t>
            </w:r>
          </w:p>
        </w:tc>
        <w:tc>
          <w:tcPr>
            <w:tcW w:w="630" w:type="dxa"/>
            <w:tcBorders>
              <w:top w:val="single" w:sz="4" w:space="0" w:color="auto"/>
              <w:bottom w:val="single" w:sz="12" w:space="0" w:color="auto"/>
            </w:tcBorders>
            <w:shd w:val="clear" w:color="auto" w:fill="auto"/>
            <w:noWrap/>
            <w:vAlign w:val="center"/>
            <w:hideMark/>
          </w:tcPr>
          <w:p w14:paraId="073027A1" w14:textId="77777777" w:rsidR="00744544" w:rsidRPr="00A66C9F" w:rsidRDefault="00744544" w:rsidP="00107D5D">
            <w:pPr>
              <w:spacing w:before="81" w:after="81" w:line="200" w:lineRule="exact"/>
              <w:ind w:right="43"/>
              <w:jc w:val="right"/>
              <w:rPr>
                <w:b/>
                <w:bCs/>
                <w:sz w:val="16"/>
                <w:szCs w:val="16"/>
                <w:lang w:val="fr-FR"/>
              </w:rPr>
            </w:pPr>
            <w:r w:rsidRPr="00A66C9F">
              <w:rPr>
                <w:b/>
                <w:bCs/>
                <w:sz w:val="16"/>
                <w:szCs w:val="16"/>
                <w:lang w:val="fr-FR"/>
              </w:rPr>
              <w:t>11 582</w:t>
            </w:r>
          </w:p>
        </w:tc>
        <w:tc>
          <w:tcPr>
            <w:tcW w:w="720" w:type="dxa"/>
            <w:tcBorders>
              <w:top w:val="single" w:sz="4" w:space="0" w:color="auto"/>
              <w:bottom w:val="single" w:sz="12" w:space="0" w:color="auto"/>
            </w:tcBorders>
            <w:shd w:val="clear" w:color="auto" w:fill="auto"/>
            <w:noWrap/>
            <w:vAlign w:val="center"/>
            <w:hideMark/>
          </w:tcPr>
          <w:p w14:paraId="5D6D09D4" w14:textId="77777777" w:rsidR="00744544" w:rsidRPr="00A66C9F" w:rsidRDefault="00744544" w:rsidP="00107D5D">
            <w:pPr>
              <w:spacing w:before="81" w:after="81" w:line="200" w:lineRule="exact"/>
              <w:ind w:right="43"/>
              <w:jc w:val="right"/>
              <w:rPr>
                <w:b/>
                <w:bCs/>
                <w:sz w:val="16"/>
                <w:szCs w:val="16"/>
                <w:lang w:val="fr-FR"/>
              </w:rPr>
            </w:pPr>
            <w:r w:rsidRPr="00A66C9F">
              <w:rPr>
                <w:b/>
                <w:bCs/>
                <w:sz w:val="16"/>
                <w:szCs w:val="16"/>
                <w:lang w:val="fr-FR"/>
              </w:rPr>
              <w:t>3 232</w:t>
            </w:r>
          </w:p>
        </w:tc>
        <w:tc>
          <w:tcPr>
            <w:tcW w:w="90" w:type="dxa"/>
            <w:tcBorders>
              <w:top w:val="single" w:sz="4" w:space="0" w:color="auto"/>
              <w:bottom w:val="single" w:sz="12" w:space="0" w:color="auto"/>
            </w:tcBorders>
            <w:shd w:val="clear" w:color="auto" w:fill="auto"/>
            <w:noWrap/>
            <w:vAlign w:val="center"/>
            <w:hideMark/>
          </w:tcPr>
          <w:p w14:paraId="3B1EE8A7" w14:textId="77777777" w:rsidR="00744544" w:rsidRPr="00A66C9F" w:rsidRDefault="00744544" w:rsidP="00107D5D">
            <w:pPr>
              <w:spacing w:before="81" w:after="81" w:line="200" w:lineRule="exact"/>
              <w:jc w:val="right"/>
              <w:rPr>
                <w:b/>
                <w:bCs/>
                <w:sz w:val="16"/>
                <w:szCs w:val="16"/>
                <w:lang w:val="fr-FR"/>
              </w:rPr>
            </w:pPr>
          </w:p>
        </w:tc>
        <w:tc>
          <w:tcPr>
            <w:tcW w:w="900" w:type="dxa"/>
            <w:tcBorders>
              <w:top w:val="single" w:sz="4" w:space="0" w:color="auto"/>
              <w:bottom w:val="single" w:sz="12" w:space="0" w:color="auto"/>
            </w:tcBorders>
            <w:shd w:val="clear" w:color="auto" w:fill="auto"/>
            <w:noWrap/>
            <w:vAlign w:val="center"/>
            <w:hideMark/>
          </w:tcPr>
          <w:p w14:paraId="2BD011F5" w14:textId="77777777" w:rsidR="00744544" w:rsidRPr="00A66C9F" w:rsidRDefault="00744544" w:rsidP="00107D5D">
            <w:pPr>
              <w:spacing w:before="81" w:after="81" w:line="200" w:lineRule="exact"/>
              <w:ind w:right="43"/>
              <w:jc w:val="right"/>
              <w:rPr>
                <w:b/>
                <w:bCs/>
                <w:sz w:val="16"/>
                <w:szCs w:val="16"/>
                <w:lang w:val="fr-FR"/>
              </w:rPr>
            </w:pPr>
            <w:r w:rsidRPr="00A66C9F">
              <w:rPr>
                <w:b/>
                <w:bCs/>
                <w:sz w:val="16"/>
                <w:szCs w:val="16"/>
                <w:lang w:val="fr-FR"/>
              </w:rPr>
              <w:t>51 033</w:t>
            </w:r>
          </w:p>
        </w:tc>
        <w:tc>
          <w:tcPr>
            <w:tcW w:w="990" w:type="dxa"/>
            <w:tcBorders>
              <w:top w:val="single" w:sz="4" w:space="0" w:color="auto"/>
              <w:bottom w:val="single" w:sz="12" w:space="0" w:color="auto"/>
            </w:tcBorders>
            <w:shd w:val="clear" w:color="auto" w:fill="auto"/>
            <w:noWrap/>
            <w:vAlign w:val="center"/>
            <w:hideMark/>
          </w:tcPr>
          <w:p w14:paraId="684D9BD3" w14:textId="77777777" w:rsidR="00744544" w:rsidRPr="00A66C9F" w:rsidRDefault="00744544" w:rsidP="00107D5D">
            <w:pPr>
              <w:spacing w:before="81" w:after="81" w:line="200" w:lineRule="exact"/>
              <w:ind w:right="43"/>
              <w:jc w:val="right"/>
              <w:rPr>
                <w:b/>
                <w:bCs/>
                <w:sz w:val="16"/>
                <w:szCs w:val="16"/>
                <w:lang w:val="fr-FR"/>
              </w:rPr>
            </w:pPr>
            <w:r w:rsidRPr="00A66C9F">
              <w:rPr>
                <w:b/>
                <w:sz w:val="16"/>
                <w:szCs w:val="16"/>
                <w:lang w:val="fr-FR"/>
              </w:rPr>
              <w:t xml:space="preserve"> </w:t>
            </w:r>
            <w:r w:rsidRPr="00A66C9F">
              <w:rPr>
                <w:b/>
                <w:bCs/>
                <w:sz w:val="16"/>
                <w:szCs w:val="16"/>
                <w:lang w:val="fr-FR"/>
              </w:rPr>
              <w:t>(15 244)</w:t>
            </w:r>
          </w:p>
        </w:tc>
        <w:tc>
          <w:tcPr>
            <w:tcW w:w="837" w:type="dxa"/>
            <w:tcBorders>
              <w:top w:val="single" w:sz="4" w:space="0" w:color="auto"/>
              <w:bottom w:val="single" w:sz="12" w:space="0" w:color="auto"/>
            </w:tcBorders>
            <w:shd w:val="clear" w:color="auto" w:fill="auto"/>
            <w:noWrap/>
            <w:vAlign w:val="center"/>
            <w:hideMark/>
          </w:tcPr>
          <w:p w14:paraId="045FD3DC" w14:textId="77777777" w:rsidR="00744544" w:rsidRPr="00A66C9F" w:rsidRDefault="00744544" w:rsidP="00107D5D">
            <w:pPr>
              <w:spacing w:before="81" w:after="81" w:line="200" w:lineRule="exact"/>
              <w:ind w:right="43"/>
              <w:jc w:val="right"/>
              <w:rPr>
                <w:b/>
                <w:bCs/>
                <w:sz w:val="16"/>
                <w:szCs w:val="16"/>
                <w:lang w:val="fr-FR"/>
              </w:rPr>
            </w:pPr>
            <w:r w:rsidRPr="00A66C9F">
              <w:rPr>
                <w:b/>
                <w:bCs/>
                <w:sz w:val="16"/>
                <w:szCs w:val="16"/>
                <w:lang w:val="fr-FR"/>
              </w:rPr>
              <w:t>35 789</w:t>
            </w:r>
          </w:p>
        </w:tc>
        <w:tc>
          <w:tcPr>
            <w:tcW w:w="90" w:type="dxa"/>
            <w:tcBorders>
              <w:top w:val="single" w:sz="4" w:space="0" w:color="auto"/>
              <w:bottom w:val="single" w:sz="12" w:space="0" w:color="auto"/>
            </w:tcBorders>
            <w:shd w:val="clear" w:color="auto" w:fill="auto"/>
            <w:noWrap/>
            <w:vAlign w:val="center"/>
            <w:hideMark/>
          </w:tcPr>
          <w:p w14:paraId="6B4F491B" w14:textId="77777777" w:rsidR="00744544" w:rsidRPr="00A66C9F" w:rsidRDefault="00744544" w:rsidP="00107D5D">
            <w:pPr>
              <w:spacing w:before="81" w:after="81" w:line="200" w:lineRule="exact"/>
              <w:jc w:val="right"/>
              <w:rPr>
                <w:b/>
                <w:bCs/>
                <w:sz w:val="16"/>
                <w:szCs w:val="16"/>
                <w:lang w:val="fr-FR"/>
              </w:rPr>
            </w:pPr>
          </w:p>
        </w:tc>
        <w:tc>
          <w:tcPr>
            <w:tcW w:w="1053" w:type="dxa"/>
            <w:tcBorders>
              <w:top w:val="single" w:sz="4" w:space="0" w:color="auto"/>
              <w:bottom w:val="single" w:sz="12" w:space="0" w:color="auto"/>
            </w:tcBorders>
            <w:shd w:val="clear" w:color="auto" w:fill="auto"/>
            <w:noWrap/>
            <w:vAlign w:val="center"/>
          </w:tcPr>
          <w:p w14:paraId="5BB474C3" w14:textId="77777777" w:rsidR="00744544" w:rsidRPr="00A66C9F" w:rsidRDefault="00744544" w:rsidP="00107D5D">
            <w:pPr>
              <w:spacing w:before="81" w:after="81" w:line="200" w:lineRule="exact"/>
              <w:ind w:right="43"/>
              <w:jc w:val="right"/>
              <w:rPr>
                <w:b/>
                <w:bCs/>
                <w:sz w:val="16"/>
                <w:szCs w:val="16"/>
                <w:lang w:val="fr-FR"/>
              </w:rPr>
            </w:pPr>
            <w:r w:rsidRPr="00A66C9F">
              <w:rPr>
                <w:b/>
                <w:sz w:val="16"/>
                <w:szCs w:val="16"/>
                <w:lang w:val="fr-FR"/>
              </w:rPr>
              <w:t xml:space="preserve"> </w:t>
            </w:r>
            <w:r w:rsidRPr="00A66C9F">
              <w:rPr>
                <w:b/>
                <w:bCs/>
                <w:sz w:val="16"/>
                <w:szCs w:val="16"/>
                <w:lang w:val="fr-FR"/>
              </w:rPr>
              <w:t>31 283</w:t>
            </w:r>
            <w:r w:rsidRPr="00A66C9F">
              <w:rPr>
                <w:b/>
                <w:sz w:val="16"/>
                <w:szCs w:val="16"/>
                <w:lang w:val="fr-FR"/>
              </w:rPr>
              <w:t xml:space="preserve"> </w:t>
            </w:r>
          </w:p>
        </w:tc>
        <w:tc>
          <w:tcPr>
            <w:tcW w:w="720" w:type="dxa"/>
            <w:tcBorders>
              <w:top w:val="single" w:sz="4" w:space="0" w:color="auto"/>
              <w:bottom w:val="single" w:sz="12" w:space="0" w:color="auto"/>
            </w:tcBorders>
            <w:shd w:val="clear" w:color="auto" w:fill="auto"/>
            <w:noWrap/>
            <w:vAlign w:val="center"/>
          </w:tcPr>
          <w:p w14:paraId="34F042AB" w14:textId="77777777" w:rsidR="00744544" w:rsidRPr="00A66C9F" w:rsidRDefault="00744544" w:rsidP="00107D5D">
            <w:pPr>
              <w:spacing w:before="81" w:after="81" w:line="200" w:lineRule="exact"/>
              <w:ind w:right="43"/>
              <w:jc w:val="right"/>
              <w:rPr>
                <w:b/>
                <w:bCs/>
                <w:sz w:val="16"/>
                <w:szCs w:val="16"/>
                <w:lang w:val="fr-FR"/>
              </w:rPr>
            </w:pPr>
            <w:r w:rsidRPr="00A66C9F">
              <w:rPr>
                <w:b/>
                <w:sz w:val="16"/>
                <w:szCs w:val="16"/>
                <w:lang w:val="fr-FR"/>
              </w:rPr>
              <w:t xml:space="preserve"> </w:t>
            </w:r>
            <w:r w:rsidRPr="00A66C9F">
              <w:rPr>
                <w:b/>
                <w:bCs/>
                <w:sz w:val="16"/>
                <w:szCs w:val="16"/>
                <w:lang w:val="fr-FR"/>
              </w:rPr>
              <w:t>31 732</w:t>
            </w:r>
            <w:r w:rsidRPr="00A66C9F">
              <w:rPr>
                <w:b/>
                <w:sz w:val="16"/>
                <w:szCs w:val="16"/>
                <w:lang w:val="fr-FR"/>
              </w:rPr>
              <w:t xml:space="preserve"> </w:t>
            </w:r>
          </w:p>
        </w:tc>
        <w:tc>
          <w:tcPr>
            <w:tcW w:w="873" w:type="dxa"/>
            <w:tcBorders>
              <w:top w:val="single" w:sz="4" w:space="0" w:color="auto"/>
              <w:bottom w:val="single" w:sz="12" w:space="0" w:color="auto"/>
            </w:tcBorders>
            <w:shd w:val="clear" w:color="auto" w:fill="auto"/>
            <w:noWrap/>
            <w:vAlign w:val="center"/>
          </w:tcPr>
          <w:p w14:paraId="003A6E32" w14:textId="77777777" w:rsidR="00744544" w:rsidRPr="00A66C9F" w:rsidRDefault="00744544" w:rsidP="00107D5D">
            <w:pPr>
              <w:spacing w:before="81" w:after="81" w:line="200" w:lineRule="exact"/>
              <w:ind w:right="43"/>
              <w:jc w:val="right"/>
              <w:rPr>
                <w:b/>
                <w:bCs/>
                <w:sz w:val="16"/>
                <w:szCs w:val="16"/>
                <w:lang w:val="fr-FR"/>
              </w:rPr>
            </w:pPr>
            <w:r w:rsidRPr="00A66C9F">
              <w:rPr>
                <w:b/>
                <w:sz w:val="16"/>
                <w:szCs w:val="16"/>
                <w:lang w:val="fr-FR"/>
              </w:rPr>
              <w:t xml:space="preserve"> </w:t>
            </w:r>
            <w:r w:rsidRPr="00A66C9F">
              <w:rPr>
                <w:b/>
                <w:bCs/>
                <w:sz w:val="16"/>
                <w:szCs w:val="16"/>
                <w:lang w:val="fr-FR"/>
              </w:rPr>
              <w:t>5 972</w:t>
            </w:r>
            <w:r w:rsidRPr="00A66C9F">
              <w:rPr>
                <w:b/>
                <w:sz w:val="16"/>
                <w:szCs w:val="16"/>
                <w:lang w:val="fr-FR"/>
              </w:rPr>
              <w:t xml:space="preserve"> </w:t>
            </w:r>
          </w:p>
        </w:tc>
        <w:tc>
          <w:tcPr>
            <w:tcW w:w="117" w:type="dxa"/>
            <w:tcBorders>
              <w:top w:val="single" w:sz="4" w:space="0" w:color="auto"/>
              <w:bottom w:val="single" w:sz="12" w:space="0" w:color="auto"/>
            </w:tcBorders>
            <w:shd w:val="clear" w:color="auto" w:fill="auto"/>
            <w:noWrap/>
            <w:vAlign w:val="center"/>
          </w:tcPr>
          <w:p w14:paraId="5CA21FFF" w14:textId="77777777" w:rsidR="00744544" w:rsidRPr="00A66C9F" w:rsidRDefault="00744544" w:rsidP="00107D5D">
            <w:pPr>
              <w:spacing w:before="81" w:after="81" w:line="200" w:lineRule="exact"/>
              <w:jc w:val="right"/>
              <w:rPr>
                <w:b/>
                <w:bCs/>
                <w:sz w:val="16"/>
                <w:szCs w:val="16"/>
                <w:lang w:val="fr-FR"/>
              </w:rPr>
            </w:pPr>
          </w:p>
        </w:tc>
        <w:tc>
          <w:tcPr>
            <w:tcW w:w="900" w:type="dxa"/>
            <w:tcBorders>
              <w:top w:val="single" w:sz="4" w:space="0" w:color="auto"/>
              <w:bottom w:val="single" w:sz="12" w:space="0" w:color="auto"/>
            </w:tcBorders>
            <w:shd w:val="clear" w:color="auto" w:fill="auto"/>
            <w:noWrap/>
            <w:vAlign w:val="center"/>
          </w:tcPr>
          <w:p w14:paraId="52B25D71" w14:textId="77777777" w:rsidR="00744544" w:rsidRPr="00A66C9F" w:rsidRDefault="00744544" w:rsidP="00107D5D">
            <w:pPr>
              <w:spacing w:before="81" w:after="81" w:line="200" w:lineRule="exact"/>
              <w:ind w:right="43"/>
              <w:jc w:val="right"/>
              <w:rPr>
                <w:b/>
                <w:bCs/>
                <w:sz w:val="16"/>
                <w:szCs w:val="16"/>
                <w:lang w:val="fr-FR"/>
              </w:rPr>
            </w:pPr>
            <w:r w:rsidRPr="00A66C9F">
              <w:rPr>
                <w:b/>
                <w:sz w:val="16"/>
                <w:szCs w:val="16"/>
                <w:lang w:val="fr-FR"/>
              </w:rPr>
              <w:t xml:space="preserve"> </w:t>
            </w:r>
            <w:r w:rsidRPr="00A66C9F">
              <w:rPr>
                <w:b/>
                <w:bCs/>
                <w:sz w:val="16"/>
                <w:szCs w:val="16"/>
                <w:lang w:val="fr-FR"/>
              </w:rPr>
              <w:t>34 083</w:t>
            </w:r>
            <w:r w:rsidRPr="00A66C9F">
              <w:rPr>
                <w:b/>
                <w:sz w:val="16"/>
                <w:szCs w:val="16"/>
                <w:lang w:val="fr-FR"/>
              </w:rPr>
              <w:t xml:space="preserve"> </w:t>
            </w:r>
          </w:p>
        </w:tc>
        <w:tc>
          <w:tcPr>
            <w:tcW w:w="1080" w:type="dxa"/>
            <w:tcBorders>
              <w:top w:val="single" w:sz="4" w:space="0" w:color="auto"/>
              <w:bottom w:val="single" w:sz="12" w:space="0" w:color="auto"/>
            </w:tcBorders>
            <w:shd w:val="clear" w:color="auto" w:fill="auto"/>
            <w:noWrap/>
            <w:vAlign w:val="center"/>
          </w:tcPr>
          <w:p w14:paraId="1FB79E2E" w14:textId="77777777" w:rsidR="00744544" w:rsidRPr="00A66C9F" w:rsidRDefault="00744544" w:rsidP="00107D5D">
            <w:pPr>
              <w:spacing w:before="81" w:after="81" w:line="200" w:lineRule="exact"/>
              <w:ind w:right="43"/>
              <w:jc w:val="right"/>
              <w:rPr>
                <w:b/>
                <w:bCs/>
                <w:sz w:val="16"/>
                <w:szCs w:val="16"/>
                <w:lang w:val="fr-FR"/>
              </w:rPr>
            </w:pPr>
            <w:r w:rsidRPr="00A66C9F">
              <w:rPr>
                <w:b/>
                <w:sz w:val="16"/>
                <w:szCs w:val="16"/>
                <w:lang w:val="fr-FR"/>
              </w:rPr>
              <w:t xml:space="preserve"> </w:t>
            </w:r>
            <w:r w:rsidRPr="00A66C9F">
              <w:rPr>
                <w:b/>
                <w:bCs/>
                <w:sz w:val="16"/>
                <w:szCs w:val="16"/>
                <w:lang w:val="fr-FR"/>
              </w:rPr>
              <w:t>(13 950)</w:t>
            </w:r>
          </w:p>
        </w:tc>
        <w:tc>
          <w:tcPr>
            <w:tcW w:w="828" w:type="dxa"/>
            <w:tcBorders>
              <w:top w:val="single" w:sz="4" w:space="0" w:color="auto"/>
              <w:bottom w:val="single" w:sz="12" w:space="0" w:color="auto"/>
            </w:tcBorders>
            <w:shd w:val="clear" w:color="auto" w:fill="auto"/>
            <w:noWrap/>
            <w:vAlign w:val="center"/>
          </w:tcPr>
          <w:p w14:paraId="623C144A" w14:textId="77777777" w:rsidR="00744544" w:rsidRPr="00A66C9F" w:rsidRDefault="00744544" w:rsidP="00107D5D">
            <w:pPr>
              <w:spacing w:before="81" w:after="81" w:line="200" w:lineRule="exact"/>
              <w:ind w:right="43"/>
              <w:jc w:val="right"/>
              <w:rPr>
                <w:b/>
                <w:bCs/>
                <w:sz w:val="16"/>
                <w:szCs w:val="16"/>
                <w:lang w:val="fr-FR"/>
              </w:rPr>
            </w:pPr>
            <w:r w:rsidRPr="00A66C9F">
              <w:rPr>
                <w:b/>
                <w:sz w:val="16"/>
                <w:szCs w:val="16"/>
                <w:lang w:val="fr-FR"/>
              </w:rPr>
              <w:t xml:space="preserve"> </w:t>
            </w:r>
            <w:r w:rsidRPr="00A66C9F">
              <w:rPr>
                <w:b/>
                <w:bCs/>
                <w:sz w:val="16"/>
                <w:szCs w:val="16"/>
                <w:lang w:val="fr-FR"/>
              </w:rPr>
              <w:t>20 133</w:t>
            </w:r>
            <w:r w:rsidRPr="00A66C9F">
              <w:rPr>
                <w:b/>
                <w:sz w:val="16"/>
                <w:szCs w:val="16"/>
                <w:lang w:val="fr-FR"/>
              </w:rPr>
              <w:t xml:space="preserve"> </w:t>
            </w:r>
          </w:p>
        </w:tc>
      </w:tr>
    </w:tbl>
    <w:p w14:paraId="31736BD9" w14:textId="77777777" w:rsidR="00744544" w:rsidRPr="00A66C9F" w:rsidRDefault="00744544" w:rsidP="00744544">
      <w:pPr>
        <w:pStyle w:val="SingleTxt"/>
        <w:rPr>
          <w:lang w:val="fr-FR"/>
        </w:rPr>
      </w:pPr>
    </w:p>
    <w:p w14:paraId="55272843" w14:textId="77777777" w:rsidR="00744544" w:rsidRPr="00A66C9F" w:rsidRDefault="00744544" w:rsidP="00DB7521">
      <w:pPr>
        <w:pStyle w:val="SingleTxt"/>
        <w:tabs>
          <w:tab w:val="right" w:pos="1685"/>
        </w:tabs>
        <w:ind w:left="1742" w:hanging="475"/>
        <w:rPr>
          <w:lang w:val="fr-FR"/>
        </w:rPr>
        <w:sectPr w:rsidR="00744544" w:rsidRPr="00A66C9F" w:rsidSect="00744544">
          <w:headerReference w:type="even" r:id="rId35"/>
          <w:headerReference w:type="default" r:id="rId36"/>
          <w:footerReference w:type="even" r:id="rId37"/>
          <w:footerReference w:type="default" r:id="rId38"/>
          <w:pgSz w:w="15840" w:h="12240" w:orient="landscape"/>
          <w:pgMar w:top="1195" w:right="1440" w:bottom="1195" w:left="1152" w:header="576" w:footer="1037" w:gutter="0"/>
          <w:cols w:space="720"/>
          <w:noEndnote/>
          <w:bidi/>
          <w:rtlGutter/>
          <w:docGrid w:linePitch="360"/>
        </w:sectPr>
      </w:pPr>
    </w:p>
    <w:p w14:paraId="2527CA65" w14:textId="77777777" w:rsidR="00744544" w:rsidRPr="00A66C9F" w:rsidRDefault="00744544" w:rsidP="00753AB8">
      <w:pPr>
        <w:pStyle w:val="SingleTxt"/>
        <w:numPr>
          <w:ilvl w:val="0"/>
          <w:numId w:val="15"/>
        </w:numPr>
        <w:spacing w:line="240" w:lineRule="exact"/>
        <w:rPr>
          <w:szCs w:val="20"/>
          <w:lang w:val="fr-FR"/>
        </w:rPr>
      </w:pPr>
      <w:r w:rsidRPr="00A66C9F">
        <w:rPr>
          <w:lang w:val="fr-FR"/>
        </w:rPr>
        <w:lastRenderedPageBreak/>
        <w:t xml:space="preserve">Au Brésil et dans certaines provinces de la Chine, ainsi qu’en Grèce, en Papouasie-Nouvelle-Guinée, en Suède et en Turquie pour certaines périodes, il n’existe aucun dispositif officiel de recouvrement des créances fiscales, et les dépositaires de la Caisse et leurs correspondants n’ont jusqu’à présent pas été en mesure de recouvrer ces créances. Bien que les États Membres concernés aient confirmé l’exonération fiscale de la Caisse, les impôts retenus sur les investissements directs dans les pays susvisés sont comptabilisés mais continuent d’être intégralement provisionnés pour 2019, à moins que leur recouvrement les années suivantes soit pratiquement certain. </w:t>
      </w:r>
    </w:p>
    <w:p w14:paraId="028C3BC5" w14:textId="77777777" w:rsidR="00744544" w:rsidRPr="00A66C9F" w:rsidRDefault="00744544" w:rsidP="00753AB8">
      <w:pPr>
        <w:pStyle w:val="SingleTxt"/>
        <w:numPr>
          <w:ilvl w:val="0"/>
          <w:numId w:val="15"/>
        </w:numPr>
        <w:spacing w:line="240" w:lineRule="exact"/>
        <w:rPr>
          <w:szCs w:val="20"/>
          <w:lang w:val="fr-FR"/>
        </w:rPr>
      </w:pPr>
      <w:r w:rsidRPr="00A66C9F">
        <w:rPr>
          <w:lang w:val="fr-FR"/>
        </w:rPr>
        <w:t>Le tableau ci-dessous présente une balance chronologique des créances sur les administrations fiscales au 31 décembre 2019 et au 31 décembre 2018.</w:t>
      </w:r>
    </w:p>
    <w:p w14:paraId="58DD9516" w14:textId="77777777" w:rsidR="00744544" w:rsidRPr="00A66C9F" w:rsidRDefault="00744544" w:rsidP="00744544">
      <w:pPr>
        <w:pStyle w:val="SingleTxt"/>
        <w:spacing w:after="0" w:line="120" w:lineRule="exact"/>
        <w:rPr>
          <w:sz w:val="10"/>
          <w:lang w:val="fr-FR"/>
        </w:rPr>
      </w:pPr>
    </w:p>
    <w:p w14:paraId="47AD4064" w14:textId="77777777" w:rsidR="00744544" w:rsidRPr="00A66C9F" w:rsidRDefault="00744544" w:rsidP="0074454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lang w:val="fr-FR"/>
        </w:rPr>
        <w:tab/>
      </w:r>
      <w:r w:rsidRPr="00A66C9F">
        <w:rPr>
          <w:lang w:val="fr-FR"/>
        </w:rPr>
        <w:tab/>
      </w:r>
      <w:r w:rsidRPr="00A66C9F">
        <w:rPr>
          <w:sz w:val="14"/>
          <w:szCs w:val="14"/>
          <w:lang w:val="fr-FR"/>
        </w:rPr>
        <w:t>(En milliers de dollars des États-Unis)</w:t>
      </w:r>
    </w:p>
    <w:p w14:paraId="5C8C0D2D" w14:textId="77777777" w:rsidR="00744544" w:rsidRPr="00A66C9F" w:rsidRDefault="00744544" w:rsidP="00744544">
      <w:pPr>
        <w:pStyle w:val="SingleTxt"/>
        <w:spacing w:after="0" w:line="120" w:lineRule="exact"/>
        <w:rPr>
          <w:sz w:val="10"/>
          <w:lang w:val="fr-FR"/>
        </w:rPr>
      </w:pPr>
    </w:p>
    <w:p w14:paraId="03E250D1" w14:textId="77777777" w:rsidR="00744544" w:rsidRPr="00A66C9F" w:rsidRDefault="00744544" w:rsidP="00744544">
      <w:pPr>
        <w:pStyle w:val="SingleTxt"/>
        <w:spacing w:after="0" w:line="120" w:lineRule="exact"/>
        <w:rPr>
          <w:sz w:val="10"/>
          <w:lang w:val="fr-FR"/>
        </w:rPr>
      </w:pPr>
    </w:p>
    <w:tbl>
      <w:tblPr>
        <w:tblW w:w="7353" w:type="dxa"/>
        <w:tblInd w:w="1260" w:type="dxa"/>
        <w:tblLayout w:type="fixed"/>
        <w:tblCellMar>
          <w:left w:w="0" w:type="dxa"/>
          <w:right w:w="0" w:type="dxa"/>
        </w:tblCellMar>
        <w:tblLook w:val="04A0" w:firstRow="1" w:lastRow="0" w:firstColumn="1" w:lastColumn="0" w:noHBand="0" w:noVBand="1"/>
      </w:tblPr>
      <w:tblGrid>
        <w:gridCol w:w="1710"/>
        <w:gridCol w:w="990"/>
        <w:gridCol w:w="990"/>
        <w:gridCol w:w="900"/>
        <w:gridCol w:w="90"/>
        <w:gridCol w:w="891"/>
        <w:gridCol w:w="891"/>
        <w:gridCol w:w="891"/>
      </w:tblGrid>
      <w:tr w:rsidR="00744544" w:rsidRPr="00A66C9F" w14:paraId="1E210FEA" w14:textId="77777777" w:rsidTr="00107D5D">
        <w:trPr>
          <w:trHeight w:val="300"/>
          <w:tblHeader/>
        </w:trPr>
        <w:tc>
          <w:tcPr>
            <w:tcW w:w="1710" w:type="dxa"/>
            <w:tcBorders>
              <w:top w:val="single" w:sz="4" w:space="0" w:color="auto"/>
            </w:tcBorders>
            <w:shd w:val="clear" w:color="auto" w:fill="auto"/>
            <w:noWrap/>
            <w:vAlign w:val="bottom"/>
            <w:hideMark/>
          </w:tcPr>
          <w:p w14:paraId="1C4310C2" w14:textId="77777777" w:rsidR="00744544" w:rsidRPr="00A66C9F" w:rsidRDefault="00744544" w:rsidP="00107D5D">
            <w:pPr>
              <w:keepNext/>
              <w:keepLines/>
              <w:suppressAutoHyphens/>
              <w:spacing w:before="80" w:after="80" w:line="160" w:lineRule="exact"/>
              <w:ind w:right="40"/>
              <w:jc w:val="center"/>
              <w:rPr>
                <w:i/>
                <w:iCs/>
                <w:sz w:val="14"/>
                <w:szCs w:val="18"/>
                <w:lang w:val="fr-FR"/>
              </w:rPr>
            </w:pPr>
          </w:p>
        </w:tc>
        <w:tc>
          <w:tcPr>
            <w:tcW w:w="2880" w:type="dxa"/>
            <w:gridSpan w:val="3"/>
            <w:tcBorders>
              <w:top w:val="single" w:sz="4" w:space="0" w:color="auto"/>
              <w:bottom w:val="single" w:sz="4" w:space="0" w:color="auto"/>
            </w:tcBorders>
            <w:shd w:val="clear" w:color="auto" w:fill="auto"/>
            <w:noWrap/>
            <w:vAlign w:val="bottom"/>
            <w:hideMark/>
          </w:tcPr>
          <w:p w14:paraId="53E6AA1B" w14:textId="77777777" w:rsidR="00744544" w:rsidRPr="00A66C9F" w:rsidRDefault="00744544" w:rsidP="00107D5D">
            <w:pPr>
              <w:keepNext/>
              <w:keepLines/>
              <w:suppressAutoHyphens/>
              <w:spacing w:before="80" w:after="80" w:line="160" w:lineRule="exact"/>
              <w:ind w:right="43"/>
              <w:jc w:val="center"/>
              <w:rPr>
                <w:i/>
                <w:iCs/>
                <w:sz w:val="14"/>
                <w:szCs w:val="18"/>
                <w:lang w:val="fr-FR"/>
              </w:rPr>
            </w:pPr>
            <w:r w:rsidRPr="00A66C9F">
              <w:rPr>
                <w:i/>
                <w:iCs/>
                <w:sz w:val="14"/>
                <w:lang w:val="fr-FR"/>
              </w:rPr>
              <w:t>Au 31 décembre 2019</w:t>
            </w:r>
          </w:p>
        </w:tc>
        <w:tc>
          <w:tcPr>
            <w:tcW w:w="90" w:type="dxa"/>
            <w:tcBorders>
              <w:top w:val="single" w:sz="4" w:space="0" w:color="auto"/>
            </w:tcBorders>
            <w:shd w:val="clear" w:color="auto" w:fill="auto"/>
            <w:vAlign w:val="bottom"/>
          </w:tcPr>
          <w:p w14:paraId="5318C086" w14:textId="77777777" w:rsidR="00744544" w:rsidRPr="00A66C9F" w:rsidRDefault="00744544" w:rsidP="00107D5D">
            <w:pPr>
              <w:keepNext/>
              <w:keepLines/>
              <w:suppressAutoHyphens/>
              <w:spacing w:before="80" w:after="80" w:line="160" w:lineRule="exact"/>
              <w:ind w:right="43"/>
              <w:jc w:val="center"/>
              <w:rPr>
                <w:i/>
                <w:iCs/>
                <w:sz w:val="2"/>
                <w:szCs w:val="18"/>
                <w:lang w:val="fr-FR"/>
              </w:rPr>
            </w:pPr>
          </w:p>
        </w:tc>
        <w:tc>
          <w:tcPr>
            <w:tcW w:w="2673" w:type="dxa"/>
            <w:gridSpan w:val="3"/>
            <w:tcBorders>
              <w:top w:val="single" w:sz="4" w:space="0" w:color="auto"/>
              <w:bottom w:val="single" w:sz="4" w:space="0" w:color="auto"/>
            </w:tcBorders>
            <w:shd w:val="clear" w:color="auto" w:fill="auto"/>
            <w:vAlign w:val="bottom"/>
          </w:tcPr>
          <w:p w14:paraId="779EB20A" w14:textId="77777777" w:rsidR="00744544" w:rsidRPr="00A66C9F" w:rsidRDefault="00744544" w:rsidP="00107D5D">
            <w:pPr>
              <w:keepNext/>
              <w:keepLines/>
              <w:suppressAutoHyphens/>
              <w:spacing w:before="80" w:after="80" w:line="160" w:lineRule="exact"/>
              <w:ind w:right="43"/>
              <w:jc w:val="center"/>
              <w:rPr>
                <w:i/>
                <w:iCs/>
                <w:sz w:val="14"/>
                <w:szCs w:val="18"/>
                <w:lang w:val="fr-FR"/>
              </w:rPr>
            </w:pPr>
            <w:r w:rsidRPr="00A66C9F">
              <w:rPr>
                <w:i/>
                <w:iCs/>
                <w:sz w:val="14"/>
                <w:lang w:val="fr-FR"/>
              </w:rPr>
              <w:t>Au 31 décembre 2018</w:t>
            </w:r>
          </w:p>
        </w:tc>
      </w:tr>
      <w:tr w:rsidR="00744544" w:rsidRPr="00A66C9F" w14:paraId="2F19BAE3" w14:textId="77777777" w:rsidTr="00107D5D">
        <w:trPr>
          <w:tblHeader/>
        </w:trPr>
        <w:tc>
          <w:tcPr>
            <w:tcW w:w="1710" w:type="dxa"/>
            <w:tcBorders>
              <w:bottom w:val="single" w:sz="12" w:space="0" w:color="auto"/>
            </w:tcBorders>
            <w:shd w:val="clear" w:color="auto" w:fill="auto"/>
            <w:noWrap/>
            <w:vAlign w:val="bottom"/>
            <w:hideMark/>
          </w:tcPr>
          <w:p w14:paraId="756C353C" w14:textId="77777777" w:rsidR="00744544" w:rsidRPr="00A66C9F" w:rsidRDefault="00744544" w:rsidP="00107D5D">
            <w:pPr>
              <w:keepNext/>
              <w:keepLines/>
              <w:suppressAutoHyphens/>
              <w:spacing w:before="80" w:after="80" w:line="160" w:lineRule="exact"/>
              <w:ind w:right="40"/>
              <w:rPr>
                <w:i/>
                <w:iCs/>
                <w:sz w:val="14"/>
                <w:szCs w:val="18"/>
                <w:lang w:val="fr-FR"/>
              </w:rPr>
            </w:pPr>
            <w:r w:rsidRPr="00A66C9F">
              <w:rPr>
                <w:i/>
                <w:iCs/>
                <w:sz w:val="14"/>
                <w:lang w:val="fr-FR"/>
              </w:rPr>
              <w:t>Pays</w:t>
            </w:r>
          </w:p>
        </w:tc>
        <w:tc>
          <w:tcPr>
            <w:tcW w:w="990" w:type="dxa"/>
            <w:tcBorders>
              <w:bottom w:val="single" w:sz="12" w:space="0" w:color="auto"/>
            </w:tcBorders>
            <w:shd w:val="clear" w:color="auto" w:fill="auto"/>
            <w:vAlign w:val="bottom"/>
            <w:hideMark/>
          </w:tcPr>
          <w:p w14:paraId="53432599" w14:textId="77777777" w:rsidR="00744544" w:rsidRPr="00A66C9F" w:rsidRDefault="00744544" w:rsidP="00107D5D">
            <w:pPr>
              <w:keepNext/>
              <w:keepLines/>
              <w:suppressAutoHyphens/>
              <w:spacing w:before="80" w:after="80" w:line="160" w:lineRule="exact"/>
              <w:ind w:right="43"/>
              <w:jc w:val="right"/>
              <w:rPr>
                <w:i/>
                <w:iCs/>
                <w:sz w:val="14"/>
                <w:szCs w:val="18"/>
                <w:lang w:val="fr-FR"/>
              </w:rPr>
            </w:pPr>
            <w:r w:rsidRPr="00A66C9F">
              <w:rPr>
                <w:i/>
                <w:iCs/>
                <w:sz w:val="14"/>
                <w:lang w:val="fr-FR"/>
              </w:rPr>
              <w:t xml:space="preserve">Plus </w:t>
            </w:r>
            <w:r w:rsidRPr="00A66C9F">
              <w:rPr>
                <w:i/>
                <w:iCs/>
                <w:sz w:val="14"/>
                <w:lang w:val="fr-FR"/>
              </w:rPr>
              <w:br/>
              <w:t>de 3 ans</w:t>
            </w:r>
          </w:p>
        </w:tc>
        <w:tc>
          <w:tcPr>
            <w:tcW w:w="990" w:type="dxa"/>
            <w:tcBorders>
              <w:bottom w:val="single" w:sz="12" w:space="0" w:color="auto"/>
            </w:tcBorders>
            <w:shd w:val="clear" w:color="auto" w:fill="auto"/>
            <w:vAlign w:val="bottom"/>
            <w:hideMark/>
          </w:tcPr>
          <w:p w14:paraId="52064083" w14:textId="77777777" w:rsidR="00744544" w:rsidRPr="00A66C9F" w:rsidRDefault="00744544" w:rsidP="00107D5D">
            <w:pPr>
              <w:keepNext/>
              <w:keepLines/>
              <w:suppressAutoHyphens/>
              <w:spacing w:before="80" w:after="80" w:line="160" w:lineRule="exact"/>
              <w:ind w:right="43"/>
              <w:jc w:val="right"/>
              <w:rPr>
                <w:i/>
                <w:iCs/>
                <w:sz w:val="14"/>
                <w:szCs w:val="18"/>
                <w:lang w:val="fr-FR"/>
              </w:rPr>
            </w:pPr>
            <w:r w:rsidRPr="00A66C9F">
              <w:rPr>
                <w:i/>
                <w:iCs/>
                <w:sz w:val="14"/>
                <w:lang w:val="fr-FR"/>
              </w:rPr>
              <w:t xml:space="preserve">Moins </w:t>
            </w:r>
            <w:r w:rsidRPr="00A66C9F">
              <w:rPr>
                <w:i/>
                <w:iCs/>
                <w:sz w:val="14"/>
                <w:lang w:val="fr-FR"/>
              </w:rPr>
              <w:br/>
              <w:t>de 3 ans</w:t>
            </w:r>
          </w:p>
        </w:tc>
        <w:tc>
          <w:tcPr>
            <w:tcW w:w="900" w:type="dxa"/>
            <w:tcBorders>
              <w:bottom w:val="single" w:sz="12" w:space="0" w:color="auto"/>
            </w:tcBorders>
            <w:shd w:val="clear" w:color="auto" w:fill="auto"/>
            <w:vAlign w:val="bottom"/>
            <w:hideMark/>
          </w:tcPr>
          <w:p w14:paraId="54E5CAF0" w14:textId="77777777" w:rsidR="00744544" w:rsidRPr="00A66C9F" w:rsidRDefault="00744544" w:rsidP="00107D5D">
            <w:pPr>
              <w:keepNext/>
              <w:keepLines/>
              <w:suppressAutoHyphens/>
              <w:spacing w:before="80" w:after="80" w:line="160" w:lineRule="exact"/>
              <w:ind w:right="43"/>
              <w:jc w:val="right"/>
              <w:rPr>
                <w:i/>
                <w:iCs/>
                <w:sz w:val="14"/>
                <w:szCs w:val="18"/>
                <w:lang w:val="fr-FR"/>
              </w:rPr>
            </w:pPr>
            <w:r w:rsidRPr="00A66C9F">
              <w:rPr>
                <w:i/>
                <w:iCs/>
                <w:sz w:val="14"/>
                <w:lang w:val="fr-FR"/>
              </w:rPr>
              <w:t xml:space="preserve">Créances </w:t>
            </w:r>
            <w:r w:rsidRPr="00A66C9F">
              <w:rPr>
                <w:i/>
                <w:iCs/>
                <w:sz w:val="14"/>
                <w:lang w:val="fr-FR"/>
              </w:rPr>
              <w:br/>
              <w:t>fiscales</w:t>
            </w:r>
          </w:p>
        </w:tc>
        <w:tc>
          <w:tcPr>
            <w:tcW w:w="981" w:type="dxa"/>
            <w:gridSpan w:val="2"/>
            <w:tcBorders>
              <w:bottom w:val="single" w:sz="12" w:space="0" w:color="auto"/>
            </w:tcBorders>
            <w:shd w:val="clear" w:color="auto" w:fill="auto"/>
            <w:vAlign w:val="bottom"/>
            <w:hideMark/>
          </w:tcPr>
          <w:p w14:paraId="0EA741DE" w14:textId="77777777" w:rsidR="00744544" w:rsidRPr="00A66C9F" w:rsidRDefault="00744544" w:rsidP="00107D5D">
            <w:pPr>
              <w:keepNext/>
              <w:keepLines/>
              <w:suppressAutoHyphens/>
              <w:spacing w:before="80" w:after="80" w:line="160" w:lineRule="exact"/>
              <w:ind w:right="43"/>
              <w:jc w:val="right"/>
              <w:rPr>
                <w:i/>
                <w:iCs/>
                <w:sz w:val="14"/>
                <w:szCs w:val="18"/>
                <w:lang w:val="fr-FR"/>
              </w:rPr>
            </w:pPr>
            <w:r w:rsidRPr="00A66C9F">
              <w:rPr>
                <w:i/>
                <w:iCs/>
                <w:sz w:val="14"/>
                <w:lang w:val="fr-FR"/>
              </w:rPr>
              <w:t xml:space="preserve">Plus </w:t>
            </w:r>
            <w:r w:rsidRPr="00A66C9F">
              <w:rPr>
                <w:i/>
                <w:iCs/>
                <w:sz w:val="14"/>
                <w:lang w:val="fr-FR"/>
              </w:rPr>
              <w:br/>
              <w:t>de 3 ans</w:t>
            </w:r>
          </w:p>
        </w:tc>
        <w:tc>
          <w:tcPr>
            <w:tcW w:w="891" w:type="dxa"/>
            <w:tcBorders>
              <w:bottom w:val="single" w:sz="12" w:space="0" w:color="auto"/>
            </w:tcBorders>
            <w:shd w:val="clear" w:color="auto" w:fill="auto"/>
            <w:vAlign w:val="bottom"/>
            <w:hideMark/>
          </w:tcPr>
          <w:p w14:paraId="41968B9C" w14:textId="77777777" w:rsidR="00744544" w:rsidRPr="00A66C9F" w:rsidRDefault="00744544" w:rsidP="00107D5D">
            <w:pPr>
              <w:keepNext/>
              <w:keepLines/>
              <w:suppressAutoHyphens/>
              <w:spacing w:before="80" w:after="80" w:line="160" w:lineRule="exact"/>
              <w:ind w:right="43"/>
              <w:jc w:val="right"/>
              <w:rPr>
                <w:i/>
                <w:iCs/>
                <w:sz w:val="14"/>
                <w:szCs w:val="18"/>
                <w:lang w:val="fr-FR"/>
              </w:rPr>
            </w:pPr>
            <w:r w:rsidRPr="00A66C9F">
              <w:rPr>
                <w:i/>
                <w:iCs/>
                <w:sz w:val="14"/>
                <w:lang w:val="fr-FR"/>
              </w:rPr>
              <w:t xml:space="preserve">Moins </w:t>
            </w:r>
            <w:r w:rsidRPr="00A66C9F">
              <w:rPr>
                <w:i/>
                <w:iCs/>
                <w:sz w:val="14"/>
                <w:lang w:val="fr-FR"/>
              </w:rPr>
              <w:br/>
              <w:t>de 3 ans</w:t>
            </w:r>
          </w:p>
        </w:tc>
        <w:tc>
          <w:tcPr>
            <w:tcW w:w="891" w:type="dxa"/>
            <w:tcBorders>
              <w:bottom w:val="single" w:sz="12" w:space="0" w:color="auto"/>
            </w:tcBorders>
            <w:shd w:val="clear" w:color="auto" w:fill="auto"/>
            <w:vAlign w:val="bottom"/>
            <w:hideMark/>
          </w:tcPr>
          <w:p w14:paraId="4776AEB9" w14:textId="77777777" w:rsidR="00744544" w:rsidRPr="00A66C9F" w:rsidRDefault="00744544" w:rsidP="00107D5D">
            <w:pPr>
              <w:keepNext/>
              <w:keepLines/>
              <w:suppressAutoHyphens/>
              <w:spacing w:before="80" w:after="80" w:line="160" w:lineRule="exact"/>
              <w:ind w:right="43"/>
              <w:jc w:val="right"/>
              <w:rPr>
                <w:i/>
                <w:iCs/>
                <w:sz w:val="14"/>
                <w:szCs w:val="18"/>
                <w:lang w:val="fr-FR"/>
              </w:rPr>
            </w:pPr>
            <w:r w:rsidRPr="00A66C9F">
              <w:rPr>
                <w:i/>
                <w:iCs/>
                <w:sz w:val="14"/>
                <w:lang w:val="fr-FR"/>
              </w:rPr>
              <w:t>Créances fiscales</w:t>
            </w:r>
          </w:p>
        </w:tc>
      </w:tr>
      <w:tr w:rsidR="00744544" w:rsidRPr="00A66C9F" w14:paraId="2B7AAD2F" w14:textId="77777777" w:rsidTr="00107D5D">
        <w:trPr>
          <w:trHeight w:hRule="exact" w:val="115"/>
          <w:tblHeader/>
        </w:trPr>
        <w:tc>
          <w:tcPr>
            <w:tcW w:w="1710" w:type="dxa"/>
            <w:tcBorders>
              <w:top w:val="single" w:sz="12" w:space="0" w:color="auto"/>
            </w:tcBorders>
            <w:shd w:val="clear" w:color="auto" w:fill="auto"/>
            <w:noWrap/>
            <w:vAlign w:val="bottom"/>
          </w:tcPr>
          <w:p w14:paraId="09235B7A" w14:textId="77777777" w:rsidR="00744544" w:rsidRPr="00A66C9F" w:rsidRDefault="00744544" w:rsidP="00107D5D">
            <w:pPr>
              <w:keepNext/>
              <w:keepLines/>
              <w:suppressAutoHyphens/>
              <w:spacing w:before="40" w:after="40" w:line="210" w:lineRule="exact"/>
              <w:ind w:right="40"/>
              <w:rPr>
                <w:sz w:val="17"/>
                <w:lang w:val="fr-FR"/>
              </w:rPr>
            </w:pPr>
          </w:p>
        </w:tc>
        <w:tc>
          <w:tcPr>
            <w:tcW w:w="990" w:type="dxa"/>
            <w:tcBorders>
              <w:top w:val="single" w:sz="12" w:space="0" w:color="auto"/>
            </w:tcBorders>
            <w:shd w:val="clear" w:color="auto" w:fill="auto"/>
            <w:noWrap/>
            <w:vAlign w:val="bottom"/>
          </w:tcPr>
          <w:p w14:paraId="2C7915F6" w14:textId="77777777" w:rsidR="00744544" w:rsidRPr="00A66C9F" w:rsidRDefault="00744544" w:rsidP="00107D5D">
            <w:pPr>
              <w:keepNext/>
              <w:keepLines/>
              <w:suppressAutoHyphens/>
              <w:spacing w:before="40" w:after="40" w:line="210" w:lineRule="exact"/>
              <w:ind w:right="40"/>
              <w:jc w:val="right"/>
              <w:rPr>
                <w:sz w:val="17"/>
                <w:szCs w:val="17"/>
                <w:lang w:val="fr-FR"/>
              </w:rPr>
            </w:pPr>
          </w:p>
        </w:tc>
        <w:tc>
          <w:tcPr>
            <w:tcW w:w="990" w:type="dxa"/>
            <w:tcBorders>
              <w:top w:val="single" w:sz="12" w:space="0" w:color="auto"/>
            </w:tcBorders>
            <w:shd w:val="clear" w:color="auto" w:fill="auto"/>
            <w:noWrap/>
            <w:vAlign w:val="bottom"/>
          </w:tcPr>
          <w:p w14:paraId="3C4C5283" w14:textId="77777777" w:rsidR="00744544" w:rsidRPr="00A66C9F" w:rsidRDefault="00744544" w:rsidP="00107D5D">
            <w:pPr>
              <w:keepNext/>
              <w:keepLines/>
              <w:suppressAutoHyphens/>
              <w:spacing w:before="40" w:after="40" w:line="210" w:lineRule="exact"/>
              <w:ind w:right="43"/>
              <w:jc w:val="right"/>
              <w:rPr>
                <w:sz w:val="17"/>
                <w:lang w:val="fr-FR"/>
              </w:rPr>
            </w:pPr>
          </w:p>
        </w:tc>
        <w:tc>
          <w:tcPr>
            <w:tcW w:w="900" w:type="dxa"/>
            <w:tcBorders>
              <w:top w:val="single" w:sz="12" w:space="0" w:color="auto"/>
            </w:tcBorders>
            <w:shd w:val="clear" w:color="auto" w:fill="auto"/>
            <w:noWrap/>
            <w:vAlign w:val="bottom"/>
          </w:tcPr>
          <w:p w14:paraId="570644C1" w14:textId="77777777" w:rsidR="00744544" w:rsidRPr="00A66C9F" w:rsidRDefault="00744544" w:rsidP="00107D5D">
            <w:pPr>
              <w:keepNext/>
              <w:keepLines/>
              <w:suppressAutoHyphens/>
              <w:spacing w:before="40" w:after="40" w:line="210" w:lineRule="exact"/>
              <w:ind w:right="43"/>
              <w:jc w:val="right"/>
              <w:rPr>
                <w:sz w:val="17"/>
                <w:lang w:val="fr-FR"/>
              </w:rPr>
            </w:pPr>
          </w:p>
        </w:tc>
        <w:tc>
          <w:tcPr>
            <w:tcW w:w="981" w:type="dxa"/>
            <w:gridSpan w:val="2"/>
            <w:tcBorders>
              <w:top w:val="single" w:sz="12" w:space="0" w:color="auto"/>
            </w:tcBorders>
            <w:shd w:val="clear" w:color="auto" w:fill="auto"/>
            <w:noWrap/>
            <w:vAlign w:val="bottom"/>
          </w:tcPr>
          <w:p w14:paraId="26887FCC" w14:textId="77777777" w:rsidR="00744544" w:rsidRPr="00A66C9F" w:rsidRDefault="00744544" w:rsidP="00107D5D">
            <w:pPr>
              <w:keepNext/>
              <w:keepLines/>
              <w:suppressAutoHyphens/>
              <w:spacing w:before="40" w:after="40" w:line="210" w:lineRule="exact"/>
              <w:ind w:right="43"/>
              <w:jc w:val="right"/>
              <w:rPr>
                <w:sz w:val="17"/>
                <w:szCs w:val="17"/>
                <w:lang w:val="fr-FR"/>
              </w:rPr>
            </w:pPr>
          </w:p>
        </w:tc>
        <w:tc>
          <w:tcPr>
            <w:tcW w:w="891" w:type="dxa"/>
            <w:tcBorders>
              <w:top w:val="single" w:sz="12" w:space="0" w:color="auto"/>
            </w:tcBorders>
            <w:shd w:val="clear" w:color="auto" w:fill="auto"/>
            <w:noWrap/>
            <w:vAlign w:val="bottom"/>
          </w:tcPr>
          <w:p w14:paraId="5D9B8D39" w14:textId="77777777" w:rsidR="00744544" w:rsidRPr="00A66C9F" w:rsidRDefault="00744544" w:rsidP="00107D5D">
            <w:pPr>
              <w:keepNext/>
              <w:keepLines/>
              <w:suppressAutoHyphens/>
              <w:spacing w:before="40" w:after="40" w:line="210" w:lineRule="exact"/>
              <w:ind w:right="43"/>
              <w:jc w:val="right"/>
              <w:rPr>
                <w:sz w:val="17"/>
                <w:szCs w:val="17"/>
                <w:lang w:val="fr-FR"/>
              </w:rPr>
            </w:pPr>
          </w:p>
        </w:tc>
        <w:tc>
          <w:tcPr>
            <w:tcW w:w="891" w:type="dxa"/>
            <w:tcBorders>
              <w:top w:val="single" w:sz="12" w:space="0" w:color="auto"/>
            </w:tcBorders>
            <w:shd w:val="clear" w:color="auto" w:fill="auto"/>
            <w:noWrap/>
            <w:vAlign w:val="bottom"/>
          </w:tcPr>
          <w:p w14:paraId="3385B4ED" w14:textId="77777777" w:rsidR="00744544" w:rsidRPr="00A66C9F" w:rsidRDefault="00744544" w:rsidP="00107D5D">
            <w:pPr>
              <w:keepNext/>
              <w:keepLines/>
              <w:suppressAutoHyphens/>
              <w:spacing w:before="40" w:after="40" w:line="210" w:lineRule="exact"/>
              <w:ind w:right="43"/>
              <w:jc w:val="right"/>
              <w:rPr>
                <w:sz w:val="17"/>
                <w:szCs w:val="17"/>
                <w:lang w:val="fr-FR"/>
              </w:rPr>
            </w:pPr>
          </w:p>
        </w:tc>
      </w:tr>
      <w:tr w:rsidR="00744544" w:rsidRPr="00A66C9F" w14:paraId="79CC966F" w14:textId="77777777" w:rsidTr="00107D5D">
        <w:trPr>
          <w:trHeight w:val="300"/>
        </w:trPr>
        <w:tc>
          <w:tcPr>
            <w:tcW w:w="1710" w:type="dxa"/>
            <w:shd w:val="clear" w:color="auto" w:fill="auto"/>
            <w:noWrap/>
            <w:vAlign w:val="bottom"/>
          </w:tcPr>
          <w:p w14:paraId="1C52A9AF"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Allemagne</w:t>
            </w:r>
          </w:p>
        </w:tc>
        <w:tc>
          <w:tcPr>
            <w:tcW w:w="990" w:type="dxa"/>
            <w:shd w:val="clear" w:color="auto" w:fill="auto"/>
            <w:noWrap/>
            <w:vAlign w:val="bottom"/>
          </w:tcPr>
          <w:p w14:paraId="2A446E99"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 </w:t>
            </w:r>
          </w:p>
        </w:tc>
        <w:tc>
          <w:tcPr>
            <w:tcW w:w="990" w:type="dxa"/>
            <w:shd w:val="clear" w:color="auto" w:fill="auto"/>
            <w:noWrap/>
            <w:vAlign w:val="bottom"/>
          </w:tcPr>
          <w:p w14:paraId="1E53BD20"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15 668 </w:t>
            </w:r>
          </w:p>
        </w:tc>
        <w:tc>
          <w:tcPr>
            <w:tcW w:w="900" w:type="dxa"/>
            <w:shd w:val="clear" w:color="auto" w:fill="auto"/>
            <w:noWrap/>
            <w:vAlign w:val="bottom"/>
          </w:tcPr>
          <w:p w14:paraId="0D8B2A6D"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15 668</w:t>
            </w:r>
          </w:p>
        </w:tc>
        <w:tc>
          <w:tcPr>
            <w:tcW w:w="981" w:type="dxa"/>
            <w:gridSpan w:val="2"/>
            <w:shd w:val="clear" w:color="auto" w:fill="auto"/>
            <w:noWrap/>
            <w:vAlign w:val="bottom"/>
          </w:tcPr>
          <w:p w14:paraId="2EE75B1C"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 </w:t>
            </w:r>
          </w:p>
        </w:tc>
        <w:tc>
          <w:tcPr>
            <w:tcW w:w="891" w:type="dxa"/>
            <w:shd w:val="clear" w:color="auto" w:fill="auto"/>
            <w:noWrap/>
            <w:vAlign w:val="bottom"/>
          </w:tcPr>
          <w:p w14:paraId="7C9F0DE5"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14 774 </w:t>
            </w:r>
          </w:p>
        </w:tc>
        <w:tc>
          <w:tcPr>
            <w:tcW w:w="891" w:type="dxa"/>
            <w:shd w:val="clear" w:color="auto" w:fill="auto"/>
            <w:noWrap/>
            <w:vAlign w:val="bottom"/>
          </w:tcPr>
          <w:p w14:paraId="7CE50A64"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14 774 </w:t>
            </w:r>
          </w:p>
        </w:tc>
      </w:tr>
      <w:tr w:rsidR="00744544" w:rsidRPr="00A66C9F" w14:paraId="4EFA619B" w14:textId="77777777" w:rsidTr="00107D5D">
        <w:trPr>
          <w:trHeight w:val="300"/>
        </w:trPr>
        <w:tc>
          <w:tcPr>
            <w:tcW w:w="1710" w:type="dxa"/>
            <w:shd w:val="clear" w:color="auto" w:fill="auto"/>
            <w:noWrap/>
            <w:vAlign w:val="bottom"/>
          </w:tcPr>
          <w:p w14:paraId="38B4271F"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Australie</w:t>
            </w:r>
          </w:p>
        </w:tc>
        <w:tc>
          <w:tcPr>
            <w:tcW w:w="990" w:type="dxa"/>
            <w:shd w:val="clear" w:color="auto" w:fill="auto"/>
            <w:noWrap/>
            <w:vAlign w:val="bottom"/>
          </w:tcPr>
          <w:p w14:paraId="724DA168"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 </w:t>
            </w:r>
          </w:p>
        </w:tc>
        <w:tc>
          <w:tcPr>
            <w:tcW w:w="990" w:type="dxa"/>
            <w:shd w:val="clear" w:color="auto" w:fill="auto"/>
            <w:noWrap/>
            <w:vAlign w:val="bottom"/>
          </w:tcPr>
          <w:p w14:paraId="2736081F"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44</w:t>
            </w:r>
          </w:p>
        </w:tc>
        <w:tc>
          <w:tcPr>
            <w:tcW w:w="900" w:type="dxa"/>
            <w:shd w:val="clear" w:color="auto" w:fill="auto"/>
            <w:noWrap/>
            <w:vAlign w:val="bottom"/>
          </w:tcPr>
          <w:p w14:paraId="5EE2521F"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44</w:t>
            </w:r>
          </w:p>
        </w:tc>
        <w:tc>
          <w:tcPr>
            <w:tcW w:w="981" w:type="dxa"/>
            <w:gridSpan w:val="2"/>
            <w:shd w:val="clear" w:color="auto" w:fill="auto"/>
            <w:noWrap/>
            <w:vAlign w:val="bottom"/>
          </w:tcPr>
          <w:p w14:paraId="2B754654"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 </w:t>
            </w:r>
          </w:p>
        </w:tc>
        <w:tc>
          <w:tcPr>
            <w:tcW w:w="891" w:type="dxa"/>
            <w:shd w:val="clear" w:color="auto" w:fill="auto"/>
            <w:noWrap/>
            <w:vAlign w:val="bottom"/>
          </w:tcPr>
          <w:p w14:paraId="4D17E0E7"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 </w:t>
            </w:r>
          </w:p>
        </w:tc>
        <w:tc>
          <w:tcPr>
            <w:tcW w:w="891" w:type="dxa"/>
            <w:shd w:val="clear" w:color="auto" w:fill="auto"/>
            <w:noWrap/>
            <w:vAlign w:val="bottom"/>
          </w:tcPr>
          <w:p w14:paraId="281BD656"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 </w:t>
            </w:r>
          </w:p>
        </w:tc>
      </w:tr>
      <w:tr w:rsidR="00744544" w:rsidRPr="00A66C9F" w14:paraId="22045E2B" w14:textId="77777777" w:rsidTr="00107D5D">
        <w:trPr>
          <w:trHeight w:val="300"/>
        </w:trPr>
        <w:tc>
          <w:tcPr>
            <w:tcW w:w="1710" w:type="dxa"/>
            <w:shd w:val="clear" w:color="auto" w:fill="auto"/>
            <w:noWrap/>
            <w:vAlign w:val="bottom"/>
          </w:tcPr>
          <w:p w14:paraId="767F5245"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Belgique</w:t>
            </w:r>
          </w:p>
        </w:tc>
        <w:tc>
          <w:tcPr>
            <w:tcW w:w="990" w:type="dxa"/>
            <w:shd w:val="clear" w:color="auto" w:fill="auto"/>
            <w:noWrap/>
            <w:vAlign w:val="bottom"/>
          </w:tcPr>
          <w:p w14:paraId="0D840E8A"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c>
          <w:tcPr>
            <w:tcW w:w="990" w:type="dxa"/>
            <w:shd w:val="clear" w:color="auto" w:fill="auto"/>
            <w:noWrap/>
            <w:vAlign w:val="bottom"/>
          </w:tcPr>
          <w:p w14:paraId="1E2E8626"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630</w:t>
            </w:r>
          </w:p>
        </w:tc>
        <w:tc>
          <w:tcPr>
            <w:tcW w:w="900" w:type="dxa"/>
            <w:shd w:val="clear" w:color="auto" w:fill="auto"/>
            <w:noWrap/>
            <w:vAlign w:val="bottom"/>
          </w:tcPr>
          <w:p w14:paraId="79DD1440"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630</w:t>
            </w:r>
          </w:p>
        </w:tc>
        <w:tc>
          <w:tcPr>
            <w:tcW w:w="981" w:type="dxa"/>
            <w:gridSpan w:val="2"/>
            <w:shd w:val="clear" w:color="auto" w:fill="auto"/>
            <w:noWrap/>
            <w:vAlign w:val="bottom"/>
          </w:tcPr>
          <w:p w14:paraId="315EE126"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c>
          <w:tcPr>
            <w:tcW w:w="891" w:type="dxa"/>
            <w:shd w:val="clear" w:color="auto" w:fill="auto"/>
            <w:noWrap/>
            <w:vAlign w:val="bottom"/>
          </w:tcPr>
          <w:p w14:paraId="1FF03910"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c>
          <w:tcPr>
            <w:tcW w:w="891" w:type="dxa"/>
            <w:shd w:val="clear" w:color="auto" w:fill="auto"/>
            <w:noWrap/>
            <w:vAlign w:val="bottom"/>
          </w:tcPr>
          <w:p w14:paraId="5DC9CE83"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r>
      <w:tr w:rsidR="00744544" w:rsidRPr="00A66C9F" w14:paraId="4665643C" w14:textId="77777777" w:rsidTr="00107D5D">
        <w:trPr>
          <w:trHeight w:val="300"/>
        </w:trPr>
        <w:tc>
          <w:tcPr>
            <w:tcW w:w="1710" w:type="dxa"/>
            <w:shd w:val="clear" w:color="auto" w:fill="auto"/>
            <w:noWrap/>
            <w:vAlign w:val="bottom"/>
          </w:tcPr>
          <w:p w14:paraId="1C9D64A6"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Canada</w:t>
            </w:r>
          </w:p>
        </w:tc>
        <w:tc>
          <w:tcPr>
            <w:tcW w:w="990" w:type="dxa"/>
            <w:shd w:val="clear" w:color="auto" w:fill="auto"/>
            <w:noWrap/>
            <w:vAlign w:val="bottom"/>
          </w:tcPr>
          <w:p w14:paraId="5D2B03A7"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c>
          <w:tcPr>
            <w:tcW w:w="990" w:type="dxa"/>
            <w:shd w:val="clear" w:color="auto" w:fill="auto"/>
            <w:noWrap/>
            <w:vAlign w:val="bottom"/>
          </w:tcPr>
          <w:p w14:paraId="56380538"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12</w:t>
            </w:r>
          </w:p>
        </w:tc>
        <w:tc>
          <w:tcPr>
            <w:tcW w:w="900" w:type="dxa"/>
            <w:shd w:val="clear" w:color="auto" w:fill="auto"/>
            <w:noWrap/>
            <w:vAlign w:val="bottom"/>
          </w:tcPr>
          <w:p w14:paraId="3E2D103B"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12</w:t>
            </w:r>
          </w:p>
        </w:tc>
        <w:tc>
          <w:tcPr>
            <w:tcW w:w="981" w:type="dxa"/>
            <w:gridSpan w:val="2"/>
            <w:shd w:val="clear" w:color="auto" w:fill="auto"/>
            <w:noWrap/>
            <w:vAlign w:val="bottom"/>
          </w:tcPr>
          <w:p w14:paraId="61D48DEF"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c>
          <w:tcPr>
            <w:tcW w:w="891" w:type="dxa"/>
            <w:shd w:val="clear" w:color="auto" w:fill="auto"/>
            <w:noWrap/>
            <w:vAlign w:val="bottom"/>
          </w:tcPr>
          <w:p w14:paraId="3255F63F"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c>
          <w:tcPr>
            <w:tcW w:w="891" w:type="dxa"/>
            <w:shd w:val="clear" w:color="auto" w:fill="auto"/>
            <w:noWrap/>
            <w:vAlign w:val="bottom"/>
          </w:tcPr>
          <w:p w14:paraId="26D4A25C"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r>
      <w:tr w:rsidR="00744544" w:rsidRPr="00A66C9F" w14:paraId="42E7F1D3" w14:textId="77777777" w:rsidTr="00107D5D">
        <w:trPr>
          <w:trHeight w:val="300"/>
        </w:trPr>
        <w:tc>
          <w:tcPr>
            <w:tcW w:w="1710" w:type="dxa"/>
            <w:shd w:val="clear" w:color="auto" w:fill="auto"/>
            <w:noWrap/>
            <w:vAlign w:val="bottom"/>
          </w:tcPr>
          <w:p w14:paraId="3AC33035"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 xml:space="preserve">Chili </w:t>
            </w:r>
          </w:p>
        </w:tc>
        <w:tc>
          <w:tcPr>
            <w:tcW w:w="990" w:type="dxa"/>
            <w:shd w:val="clear" w:color="auto" w:fill="auto"/>
            <w:noWrap/>
            <w:vAlign w:val="bottom"/>
          </w:tcPr>
          <w:p w14:paraId="6D1D35FF"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 </w:t>
            </w:r>
          </w:p>
        </w:tc>
        <w:tc>
          <w:tcPr>
            <w:tcW w:w="990" w:type="dxa"/>
            <w:shd w:val="clear" w:color="auto" w:fill="auto"/>
            <w:noWrap/>
            <w:vAlign w:val="bottom"/>
          </w:tcPr>
          <w:p w14:paraId="14AD6230"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38 </w:t>
            </w:r>
          </w:p>
        </w:tc>
        <w:tc>
          <w:tcPr>
            <w:tcW w:w="900" w:type="dxa"/>
            <w:shd w:val="clear" w:color="auto" w:fill="auto"/>
            <w:noWrap/>
            <w:vAlign w:val="bottom"/>
          </w:tcPr>
          <w:p w14:paraId="5A9C8A4D"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38</w:t>
            </w:r>
          </w:p>
        </w:tc>
        <w:tc>
          <w:tcPr>
            <w:tcW w:w="981" w:type="dxa"/>
            <w:gridSpan w:val="2"/>
            <w:shd w:val="clear" w:color="auto" w:fill="auto"/>
            <w:noWrap/>
            <w:vAlign w:val="bottom"/>
          </w:tcPr>
          <w:p w14:paraId="42729506"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 </w:t>
            </w:r>
          </w:p>
        </w:tc>
        <w:tc>
          <w:tcPr>
            <w:tcW w:w="891" w:type="dxa"/>
            <w:shd w:val="clear" w:color="auto" w:fill="auto"/>
            <w:noWrap/>
            <w:vAlign w:val="bottom"/>
          </w:tcPr>
          <w:p w14:paraId="40CBD3FB"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13 </w:t>
            </w:r>
          </w:p>
        </w:tc>
        <w:tc>
          <w:tcPr>
            <w:tcW w:w="891" w:type="dxa"/>
            <w:shd w:val="clear" w:color="auto" w:fill="auto"/>
            <w:noWrap/>
            <w:vAlign w:val="bottom"/>
          </w:tcPr>
          <w:p w14:paraId="669024FD"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13 </w:t>
            </w:r>
          </w:p>
        </w:tc>
      </w:tr>
      <w:tr w:rsidR="00744544" w:rsidRPr="00A66C9F" w14:paraId="7FEBD5D1" w14:textId="77777777" w:rsidTr="00107D5D">
        <w:trPr>
          <w:trHeight w:val="300"/>
        </w:trPr>
        <w:tc>
          <w:tcPr>
            <w:tcW w:w="1710" w:type="dxa"/>
            <w:shd w:val="clear" w:color="auto" w:fill="auto"/>
            <w:noWrap/>
            <w:vAlign w:val="bottom"/>
          </w:tcPr>
          <w:p w14:paraId="5735056A"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 xml:space="preserve">Chine </w:t>
            </w:r>
          </w:p>
        </w:tc>
        <w:tc>
          <w:tcPr>
            <w:tcW w:w="990" w:type="dxa"/>
            <w:shd w:val="clear" w:color="auto" w:fill="auto"/>
            <w:noWrap/>
            <w:vAlign w:val="bottom"/>
          </w:tcPr>
          <w:p w14:paraId="281DA494"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 </w:t>
            </w:r>
          </w:p>
        </w:tc>
        <w:tc>
          <w:tcPr>
            <w:tcW w:w="990" w:type="dxa"/>
            <w:shd w:val="clear" w:color="auto" w:fill="auto"/>
            <w:noWrap/>
            <w:vAlign w:val="bottom"/>
          </w:tcPr>
          <w:p w14:paraId="143F78EA"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297</w:t>
            </w:r>
          </w:p>
        </w:tc>
        <w:tc>
          <w:tcPr>
            <w:tcW w:w="900" w:type="dxa"/>
            <w:shd w:val="clear" w:color="auto" w:fill="auto"/>
            <w:noWrap/>
            <w:vAlign w:val="bottom"/>
          </w:tcPr>
          <w:p w14:paraId="620E76DB"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297</w:t>
            </w:r>
          </w:p>
        </w:tc>
        <w:tc>
          <w:tcPr>
            <w:tcW w:w="981" w:type="dxa"/>
            <w:gridSpan w:val="2"/>
            <w:shd w:val="clear" w:color="auto" w:fill="auto"/>
            <w:noWrap/>
            <w:vAlign w:val="bottom"/>
          </w:tcPr>
          <w:p w14:paraId="5FF2A532"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63 </w:t>
            </w:r>
          </w:p>
        </w:tc>
        <w:tc>
          <w:tcPr>
            <w:tcW w:w="891" w:type="dxa"/>
            <w:shd w:val="clear" w:color="auto" w:fill="auto"/>
            <w:noWrap/>
            <w:vAlign w:val="bottom"/>
          </w:tcPr>
          <w:p w14:paraId="7AB84FBE"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33 </w:t>
            </w:r>
          </w:p>
        </w:tc>
        <w:tc>
          <w:tcPr>
            <w:tcW w:w="891" w:type="dxa"/>
            <w:shd w:val="clear" w:color="auto" w:fill="auto"/>
            <w:noWrap/>
            <w:vAlign w:val="bottom"/>
          </w:tcPr>
          <w:p w14:paraId="0BD83166"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96 </w:t>
            </w:r>
          </w:p>
        </w:tc>
      </w:tr>
      <w:tr w:rsidR="00744544" w:rsidRPr="00A66C9F" w14:paraId="61D8285B" w14:textId="77777777" w:rsidTr="00107D5D">
        <w:trPr>
          <w:trHeight w:val="300"/>
        </w:trPr>
        <w:tc>
          <w:tcPr>
            <w:tcW w:w="1710" w:type="dxa"/>
            <w:shd w:val="clear" w:color="auto" w:fill="auto"/>
            <w:noWrap/>
            <w:vAlign w:val="bottom"/>
          </w:tcPr>
          <w:p w14:paraId="1576A2DF"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Colombie</w:t>
            </w:r>
          </w:p>
        </w:tc>
        <w:tc>
          <w:tcPr>
            <w:tcW w:w="990" w:type="dxa"/>
            <w:shd w:val="clear" w:color="auto" w:fill="auto"/>
            <w:noWrap/>
            <w:vAlign w:val="bottom"/>
          </w:tcPr>
          <w:p w14:paraId="035306E1"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c>
          <w:tcPr>
            <w:tcW w:w="990" w:type="dxa"/>
            <w:shd w:val="clear" w:color="auto" w:fill="auto"/>
            <w:noWrap/>
            <w:vAlign w:val="bottom"/>
          </w:tcPr>
          <w:p w14:paraId="233B8C41"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8</w:t>
            </w:r>
          </w:p>
        </w:tc>
        <w:tc>
          <w:tcPr>
            <w:tcW w:w="900" w:type="dxa"/>
            <w:shd w:val="clear" w:color="auto" w:fill="auto"/>
            <w:noWrap/>
            <w:vAlign w:val="bottom"/>
          </w:tcPr>
          <w:p w14:paraId="3E805B07"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8</w:t>
            </w:r>
          </w:p>
        </w:tc>
        <w:tc>
          <w:tcPr>
            <w:tcW w:w="981" w:type="dxa"/>
            <w:gridSpan w:val="2"/>
            <w:shd w:val="clear" w:color="auto" w:fill="auto"/>
            <w:noWrap/>
            <w:vAlign w:val="bottom"/>
          </w:tcPr>
          <w:p w14:paraId="5D30FBF9"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c>
          <w:tcPr>
            <w:tcW w:w="891" w:type="dxa"/>
            <w:shd w:val="clear" w:color="auto" w:fill="auto"/>
            <w:noWrap/>
            <w:vAlign w:val="bottom"/>
          </w:tcPr>
          <w:p w14:paraId="3B3F76E5"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c>
          <w:tcPr>
            <w:tcW w:w="891" w:type="dxa"/>
            <w:shd w:val="clear" w:color="auto" w:fill="auto"/>
            <w:noWrap/>
            <w:vAlign w:val="bottom"/>
          </w:tcPr>
          <w:p w14:paraId="0CC0F733"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r>
      <w:tr w:rsidR="00744544" w:rsidRPr="00A66C9F" w14:paraId="20BC6483" w14:textId="77777777" w:rsidTr="00107D5D">
        <w:trPr>
          <w:trHeight w:val="300"/>
        </w:trPr>
        <w:tc>
          <w:tcPr>
            <w:tcW w:w="1710" w:type="dxa"/>
            <w:shd w:val="clear" w:color="auto" w:fill="auto"/>
            <w:noWrap/>
            <w:vAlign w:val="bottom"/>
          </w:tcPr>
          <w:p w14:paraId="3C911A2E"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Espagne</w:t>
            </w:r>
          </w:p>
        </w:tc>
        <w:tc>
          <w:tcPr>
            <w:tcW w:w="990" w:type="dxa"/>
            <w:shd w:val="clear" w:color="auto" w:fill="auto"/>
            <w:noWrap/>
            <w:vAlign w:val="bottom"/>
          </w:tcPr>
          <w:p w14:paraId="25A61880"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 </w:t>
            </w:r>
          </w:p>
        </w:tc>
        <w:tc>
          <w:tcPr>
            <w:tcW w:w="990" w:type="dxa"/>
            <w:shd w:val="clear" w:color="auto" w:fill="auto"/>
            <w:noWrap/>
            <w:vAlign w:val="bottom"/>
          </w:tcPr>
          <w:p w14:paraId="7006AC68"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248 </w:t>
            </w:r>
          </w:p>
        </w:tc>
        <w:tc>
          <w:tcPr>
            <w:tcW w:w="900" w:type="dxa"/>
            <w:shd w:val="clear" w:color="auto" w:fill="auto"/>
            <w:noWrap/>
            <w:vAlign w:val="bottom"/>
          </w:tcPr>
          <w:p w14:paraId="4B10FDAD"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248</w:t>
            </w:r>
          </w:p>
        </w:tc>
        <w:tc>
          <w:tcPr>
            <w:tcW w:w="981" w:type="dxa"/>
            <w:gridSpan w:val="2"/>
            <w:shd w:val="clear" w:color="auto" w:fill="auto"/>
            <w:noWrap/>
            <w:vAlign w:val="bottom"/>
          </w:tcPr>
          <w:p w14:paraId="65E0C544"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 </w:t>
            </w:r>
          </w:p>
        </w:tc>
        <w:tc>
          <w:tcPr>
            <w:tcW w:w="891" w:type="dxa"/>
            <w:shd w:val="clear" w:color="auto" w:fill="auto"/>
            <w:noWrap/>
            <w:vAlign w:val="bottom"/>
          </w:tcPr>
          <w:p w14:paraId="7AFC9F5C"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537 </w:t>
            </w:r>
          </w:p>
        </w:tc>
        <w:tc>
          <w:tcPr>
            <w:tcW w:w="891" w:type="dxa"/>
            <w:shd w:val="clear" w:color="auto" w:fill="auto"/>
            <w:noWrap/>
            <w:vAlign w:val="bottom"/>
          </w:tcPr>
          <w:p w14:paraId="487A8E92"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537 </w:t>
            </w:r>
          </w:p>
        </w:tc>
      </w:tr>
      <w:tr w:rsidR="00744544" w:rsidRPr="00A66C9F" w14:paraId="7D69EBDD" w14:textId="77777777" w:rsidTr="00107D5D">
        <w:trPr>
          <w:trHeight w:val="300"/>
        </w:trPr>
        <w:tc>
          <w:tcPr>
            <w:tcW w:w="1710" w:type="dxa"/>
            <w:shd w:val="clear" w:color="auto" w:fill="auto"/>
            <w:noWrap/>
            <w:vAlign w:val="bottom"/>
          </w:tcPr>
          <w:p w14:paraId="7668B786"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Fédération de Russie</w:t>
            </w:r>
          </w:p>
        </w:tc>
        <w:tc>
          <w:tcPr>
            <w:tcW w:w="990" w:type="dxa"/>
            <w:shd w:val="clear" w:color="auto" w:fill="auto"/>
            <w:noWrap/>
            <w:vAlign w:val="bottom"/>
          </w:tcPr>
          <w:p w14:paraId="2A5589E4"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c>
          <w:tcPr>
            <w:tcW w:w="990" w:type="dxa"/>
            <w:shd w:val="clear" w:color="auto" w:fill="auto"/>
            <w:noWrap/>
            <w:vAlign w:val="bottom"/>
          </w:tcPr>
          <w:p w14:paraId="2E97AD32"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1 443</w:t>
            </w:r>
          </w:p>
        </w:tc>
        <w:tc>
          <w:tcPr>
            <w:tcW w:w="900" w:type="dxa"/>
            <w:shd w:val="clear" w:color="auto" w:fill="auto"/>
            <w:noWrap/>
            <w:vAlign w:val="bottom"/>
          </w:tcPr>
          <w:p w14:paraId="0BDC27F1"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1 443</w:t>
            </w:r>
          </w:p>
        </w:tc>
        <w:tc>
          <w:tcPr>
            <w:tcW w:w="981" w:type="dxa"/>
            <w:gridSpan w:val="2"/>
            <w:shd w:val="clear" w:color="auto" w:fill="auto"/>
            <w:noWrap/>
            <w:vAlign w:val="bottom"/>
          </w:tcPr>
          <w:p w14:paraId="17F4F4B0"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c>
          <w:tcPr>
            <w:tcW w:w="891" w:type="dxa"/>
            <w:shd w:val="clear" w:color="auto" w:fill="auto"/>
            <w:noWrap/>
            <w:vAlign w:val="bottom"/>
          </w:tcPr>
          <w:p w14:paraId="2B5BB6E4"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c>
          <w:tcPr>
            <w:tcW w:w="891" w:type="dxa"/>
            <w:shd w:val="clear" w:color="auto" w:fill="auto"/>
            <w:noWrap/>
            <w:vAlign w:val="bottom"/>
          </w:tcPr>
          <w:p w14:paraId="78841015"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r>
      <w:tr w:rsidR="00744544" w:rsidRPr="00A66C9F" w14:paraId="6017CE45" w14:textId="77777777" w:rsidTr="00107D5D">
        <w:trPr>
          <w:trHeight w:val="300"/>
        </w:trPr>
        <w:tc>
          <w:tcPr>
            <w:tcW w:w="1710" w:type="dxa"/>
            <w:shd w:val="clear" w:color="auto" w:fill="auto"/>
            <w:noWrap/>
            <w:vAlign w:val="bottom"/>
          </w:tcPr>
          <w:p w14:paraId="638A6F66"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Irlande</w:t>
            </w:r>
          </w:p>
        </w:tc>
        <w:tc>
          <w:tcPr>
            <w:tcW w:w="990" w:type="dxa"/>
            <w:shd w:val="clear" w:color="auto" w:fill="auto"/>
            <w:noWrap/>
            <w:vAlign w:val="bottom"/>
          </w:tcPr>
          <w:p w14:paraId="50E08E78"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c>
          <w:tcPr>
            <w:tcW w:w="990" w:type="dxa"/>
            <w:shd w:val="clear" w:color="auto" w:fill="auto"/>
            <w:noWrap/>
            <w:vAlign w:val="bottom"/>
          </w:tcPr>
          <w:p w14:paraId="51C67972"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c>
          <w:tcPr>
            <w:tcW w:w="900" w:type="dxa"/>
            <w:shd w:val="clear" w:color="auto" w:fill="auto"/>
            <w:noWrap/>
            <w:vAlign w:val="bottom"/>
          </w:tcPr>
          <w:p w14:paraId="462DDAD0"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c>
          <w:tcPr>
            <w:tcW w:w="981" w:type="dxa"/>
            <w:gridSpan w:val="2"/>
            <w:shd w:val="clear" w:color="auto" w:fill="auto"/>
            <w:noWrap/>
            <w:vAlign w:val="bottom"/>
          </w:tcPr>
          <w:p w14:paraId="68303394"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c>
          <w:tcPr>
            <w:tcW w:w="891" w:type="dxa"/>
            <w:shd w:val="clear" w:color="auto" w:fill="auto"/>
            <w:noWrap/>
            <w:vAlign w:val="bottom"/>
          </w:tcPr>
          <w:p w14:paraId="1C37A2B0"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31</w:t>
            </w:r>
          </w:p>
        </w:tc>
        <w:tc>
          <w:tcPr>
            <w:tcW w:w="891" w:type="dxa"/>
            <w:shd w:val="clear" w:color="auto" w:fill="auto"/>
            <w:noWrap/>
            <w:vAlign w:val="bottom"/>
          </w:tcPr>
          <w:p w14:paraId="1D68FF53"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31</w:t>
            </w:r>
          </w:p>
        </w:tc>
      </w:tr>
      <w:tr w:rsidR="00744544" w:rsidRPr="00A66C9F" w14:paraId="2E93170F" w14:textId="77777777" w:rsidTr="00107D5D">
        <w:trPr>
          <w:trHeight w:val="300"/>
        </w:trPr>
        <w:tc>
          <w:tcPr>
            <w:tcW w:w="1710" w:type="dxa"/>
            <w:shd w:val="clear" w:color="auto" w:fill="auto"/>
            <w:noWrap/>
            <w:vAlign w:val="bottom"/>
          </w:tcPr>
          <w:p w14:paraId="0C5112F9"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Japon</w:t>
            </w:r>
          </w:p>
        </w:tc>
        <w:tc>
          <w:tcPr>
            <w:tcW w:w="990" w:type="dxa"/>
            <w:shd w:val="clear" w:color="auto" w:fill="auto"/>
            <w:noWrap/>
            <w:vAlign w:val="bottom"/>
          </w:tcPr>
          <w:p w14:paraId="1D518F22"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 </w:t>
            </w:r>
          </w:p>
        </w:tc>
        <w:tc>
          <w:tcPr>
            <w:tcW w:w="990" w:type="dxa"/>
            <w:shd w:val="clear" w:color="auto" w:fill="auto"/>
            <w:noWrap/>
            <w:vAlign w:val="bottom"/>
          </w:tcPr>
          <w:p w14:paraId="5CECD96D"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4</w:t>
            </w:r>
          </w:p>
        </w:tc>
        <w:tc>
          <w:tcPr>
            <w:tcW w:w="900" w:type="dxa"/>
            <w:shd w:val="clear" w:color="auto" w:fill="auto"/>
            <w:noWrap/>
            <w:vAlign w:val="bottom"/>
          </w:tcPr>
          <w:p w14:paraId="055E0EC8"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4</w:t>
            </w:r>
          </w:p>
        </w:tc>
        <w:tc>
          <w:tcPr>
            <w:tcW w:w="981" w:type="dxa"/>
            <w:gridSpan w:val="2"/>
            <w:shd w:val="clear" w:color="auto" w:fill="auto"/>
            <w:noWrap/>
            <w:vAlign w:val="bottom"/>
          </w:tcPr>
          <w:p w14:paraId="0469BC84"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 </w:t>
            </w:r>
          </w:p>
        </w:tc>
        <w:tc>
          <w:tcPr>
            <w:tcW w:w="891" w:type="dxa"/>
            <w:shd w:val="clear" w:color="auto" w:fill="auto"/>
            <w:noWrap/>
            <w:vAlign w:val="bottom"/>
          </w:tcPr>
          <w:p w14:paraId="6771CDB9"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c>
          <w:tcPr>
            <w:tcW w:w="891" w:type="dxa"/>
            <w:shd w:val="clear" w:color="auto" w:fill="auto"/>
            <w:noWrap/>
            <w:vAlign w:val="bottom"/>
          </w:tcPr>
          <w:p w14:paraId="13EE0DC6"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r>
      <w:tr w:rsidR="00744544" w:rsidRPr="00A66C9F" w14:paraId="4352B47C" w14:textId="77777777" w:rsidTr="00107D5D">
        <w:trPr>
          <w:trHeight w:val="300"/>
        </w:trPr>
        <w:tc>
          <w:tcPr>
            <w:tcW w:w="1710" w:type="dxa"/>
            <w:shd w:val="clear" w:color="auto" w:fill="auto"/>
            <w:noWrap/>
            <w:vAlign w:val="bottom"/>
          </w:tcPr>
          <w:p w14:paraId="5BE861C8"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Luxembourg</w:t>
            </w:r>
          </w:p>
        </w:tc>
        <w:tc>
          <w:tcPr>
            <w:tcW w:w="990" w:type="dxa"/>
            <w:shd w:val="clear" w:color="auto" w:fill="auto"/>
            <w:noWrap/>
            <w:vAlign w:val="bottom"/>
          </w:tcPr>
          <w:p w14:paraId="7CFC0C7F"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c>
          <w:tcPr>
            <w:tcW w:w="990" w:type="dxa"/>
            <w:shd w:val="clear" w:color="auto" w:fill="auto"/>
            <w:noWrap/>
            <w:vAlign w:val="bottom"/>
          </w:tcPr>
          <w:p w14:paraId="6C7851FB"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4</w:t>
            </w:r>
          </w:p>
        </w:tc>
        <w:tc>
          <w:tcPr>
            <w:tcW w:w="900" w:type="dxa"/>
            <w:shd w:val="clear" w:color="auto" w:fill="auto"/>
            <w:noWrap/>
            <w:vAlign w:val="bottom"/>
          </w:tcPr>
          <w:p w14:paraId="5EEDEF1C"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4</w:t>
            </w:r>
          </w:p>
        </w:tc>
        <w:tc>
          <w:tcPr>
            <w:tcW w:w="981" w:type="dxa"/>
            <w:gridSpan w:val="2"/>
            <w:shd w:val="clear" w:color="auto" w:fill="auto"/>
            <w:noWrap/>
            <w:vAlign w:val="bottom"/>
          </w:tcPr>
          <w:p w14:paraId="68FAF8C9"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c>
          <w:tcPr>
            <w:tcW w:w="891" w:type="dxa"/>
            <w:shd w:val="clear" w:color="auto" w:fill="auto"/>
            <w:noWrap/>
            <w:vAlign w:val="bottom"/>
          </w:tcPr>
          <w:p w14:paraId="7F271B45"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c>
          <w:tcPr>
            <w:tcW w:w="891" w:type="dxa"/>
            <w:shd w:val="clear" w:color="auto" w:fill="auto"/>
            <w:noWrap/>
            <w:vAlign w:val="bottom"/>
          </w:tcPr>
          <w:p w14:paraId="1A4E279F"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r>
      <w:tr w:rsidR="00744544" w:rsidRPr="00A66C9F" w14:paraId="408842B9" w14:textId="77777777" w:rsidTr="00107D5D">
        <w:trPr>
          <w:trHeight w:val="300"/>
        </w:trPr>
        <w:tc>
          <w:tcPr>
            <w:tcW w:w="1710" w:type="dxa"/>
            <w:shd w:val="clear" w:color="auto" w:fill="auto"/>
            <w:noWrap/>
            <w:vAlign w:val="bottom"/>
          </w:tcPr>
          <w:p w14:paraId="56E2DBF3"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Mexique</w:t>
            </w:r>
          </w:p>
        </w:tc>
        <w:tc>
          <w:tcPr>
            <w:tcW w:w="990" w:type="dxa"/>
            <w:shd w:val="clear" w:color="auto" w:fill="auto"/>
            <w:noWrap/>
            <w:vAlign w:val="bottom"/>
          </w:tcPr>
          <w:p w14:paraId="581CF07D"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 </w:t>
            </w:r>
          </w:p>
        </w:tc>
        <w:tc>
          <w:tcPr>
            <w:tcW w:w="990" w:type="dxa"/>
            <w:shd w:val="clear" w:color="auto" w:fill="auto"/>
            <w:noWrap/>
            <w:vAlign w:val="bottom"/>
          </w:tcPr>
          <w:p w14:paraId="6942C4DF"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60 </w:t>
            </w:r>
          </w:p>
        </w:tc>
        <w:tc>
          <w:tcPr>
            <w:tcW w:w="900" w:type="dxa"/>
            <w:shd w:val="clear" w:color="auto" w:fill="auto"/>
            <w:noWrap/>
            <w:vAlign w:val="bottom"/>
          </w:tcPr>
          <w:p w14:paraId="41879A92"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60</w:t>
            </w:r>
          </w:p>
        </w:tc>
        <w:tc>
          <w:tcPr>
            <w:tcW w:w="981" w:type="dxa"/>
            <w:gridSpan w:val="2"/>
            <w:shd w:val="clear" w:color="auto" w:fill="auto"/>
            <w:noWrap/>
            <w:vAlign w:val="bottom"/>
          </w:tcPr>
          <w:p w14:paraId="0A419AAD"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 </w:t>
            </w:r>
          </w:p>
        </w:tc>
        <w:tc>
          <w:tcPr>
            <w:tcW w:w="891" w:type="dxa"/>
            <w:shd w:val="clear" w:color="auto" w:fill="auto"/>
            <w:noWrap/>
            <w:vAlign w:val="bottom"/>
          </w:tcPr>
          <w:p w14:paraId="11D784D7"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58 </w:t>
            </w:r>
          </w:p>
        </w:tc>
        <w:tc>
          <w:tcPr>
            <w:tcW w:w="891" w:type="dxa"/>
            <w:shd w:val="clear" w:color="auto" w:fill="auto"/>
            <w:noWrap/>
            <w:vAlign w:val="bottom"/>
          </w:tcPr>
          <w:p w14:paraId="140FE31B"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58 </w:t>
            </w:r>
          </w:p>
        </w:tc>
      </w:tr>
      <w:tr w:rsidR="00744544" w:rsidRPr="00A66C9F" w14:paraId="01623184" w14:textId="77777777" w:rsidTr="00107D5D">
        <w:trPr>
          <w:trHeight w:val="300"/>
        </w:trPr>
        <w:tc>
          <w:tcPr>
            <w:tcW w:w="1710" w:type="dxa"/>
            <w:shd w:val="clear" w:color="auto" w:fill="auto"/>
            <w:noWrap/>
            <w:vAlign w:val="bottom"/>
          </w:tcPr>
          <w:p w14:paraId="46748AB9"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Norvège</w:t>
            </w:r>
          </w:p>
        </w:tc>
        <w:tc>
          <w:tcPr>
            <w:tcW w:w="990" w:type="dxa"/>
            <w:shd w:val="clear" w:color="auto" w:fill="auto"/>
            <w:noWrap/>
            <w:vAlign w:val="bottom"/>
          </w:tcPr>
          <w:p w14:paraId="7FFABB09"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c>
          <w:tcPr>
            <w:tcW w:w="990" w:type="dxa"/>
            <w:shd w:val="clear" w:color="auto" w:fill="auto"/>
            <w:noWrap/>
            <w:vAlign w:val="bottom"/>
          </w:tcPr>
          <w:p w14:paraId="50E654AF"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365</w:t>
            </w:r>
          </w:p>
        </w:tc>
        <w:tc>
          <w:tcPr>
            <w:tcW w:w="900" w:type="dxa"/>
            <w:shd w:val="clear" w:color="auto" w:fill="auto"/>
            <w:noWrap/>
            <w:vAlign w:val="bottom"/>
          </w:tcPr>
          <w:p w14:paraId="2F4BA6B3"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365</w:t>
            </w:r>
          </w:p>
        </w:tc>
        <w:tc>
          <w:tcPr>
            <w:tcW w:w="981" w:type="dxa"/>
            <w:gridSpan w:val="2"/>
            <w:shd w:val="clear" w:color="auto" w:fill="auto"/>
            <w:noWrap/>
            <w:vAlign w:val="bottom"/>
          </w:tcPr>
          <w:p w14:paraId="0446F4CD"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c>
          <w:tcPr>
            <w:tcW w:w="891" w:type="dxa"/>
            <w:shd w:val="clear" w:color="auto" w:fill="auto"/>
            <w:noWrap/>
            <w:vAlign w:val="bottom"/>
          </w:tcPr>
          <w:p w14:paraId="312A12CC"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c>
          <w:tcPr>
            <w:tcW w:w="891" w:type="dxa"/>
            <w:shd w:val="clear" w:color="auto" w:fill="auto"/>
            <w:noWrap/>
            <w:vAlign w:val="bottom"/>
          </w:tcPr>
          <w:p w14:paraId="361FEA09"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r>
      <w:tr w:rsidR="00744544" w:rsidRPr="00A66C9F" w14:paraId="5F903E8F" w14:textId="77777777" w:rsidTr="00107D5D">
        <w:trPr>
          <w:trHeight w:val="300"/>
        </w:trPr>
        <w:tc>
          <w:tcPr>
            <w:tcW w:w="1710" w:type="dxa"/>
            <w:shd w:val="clear" w:color="auto" w:fill="auto"/>
            <w:noWrap/>
            <w:vAlign w:val="bottom"/>
          </w:tcPr>
          <w:p w14:paraId="2F124B0D"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Pays-Bas</w:t>
            </w:r>
          </w:p>
        </w:tc>
        <w:tc>
          <w:tcPr>
            <w:tcW w:w="990" w:type="dxa"/>
            <w:shd w:val="clear" w:color="auto" w:fill="auto"/>
            <w:noWrap/>
            <w:vAlign w:val="bottom"/>
          </w:tcPr>
          <w:p w14:paraId="6BD6111B"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 </w:t>
            </w:r>
          </w:p>
        </w:tc>
        <w:tc>
          <w:tcPr>
            <w:tcW w:w="990" w:type="dxa"/>
            <w:shd w:val="clear" w:color="auto" w:fill="auto"/>
            <w:noWrap/>
            <w:vAlign w:val="bottom"/>
          </w:tcPr>
          <w:p w14:paraId="0E5B26EB"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3 064 </w:t>
            </w:r>
          </w:p>
        </w:tc>
        <w:tc>
          <w:tcPr>
            <w:tcW w:w="900" w:type="dxa"/>
            <w:shd w:val="clear" w:color="auto" w:fill="auto"/>
            <w:noWrap/>
            <w:vAlign w:val="bottom"/>
          </w:tcPr>
          <w:p w14:paraId="59F0C908"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3 064</w:t>
            </w:r>
          </w:p>
        </w:tc>
        <w:tc>
          <w:tcPr>
            <w:tcW w:w="981" w:type="dxa"/>
            <w:gridSpan w:val="2"/>
            <w:shd w:val="clear" w:color="auto" w:fill="auto"/>
            <w:noWrap/>
            <w:vAlign w:val="bottom"/>
          </w:tcPr>
          <w:p w14:paraId="055D1293"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 </w:t>
            </w:r>
          </w:p>
        </w:tc>
        <w:tc>
          <w:tcPr>
            <w:tcW w:w="891" w:type="dxa"/>
            <w:shd w:val="clear" w:color="auto" w:fill="auto"/>
            <w:noWrap/>
            <w:vAlign w:val="bottom"/>
          </w:tcPr>
          <w:p w14:paraId="5E9E3CA2"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970 </w:t>
            </w:r>
          </w:p>
        </w:tc>
        <w:tc>
          <w:tcPr>
            <w:tcW w:w="891" w:type="dxa"/>
            <w:shd w:val="clear" w:color="auto" w:fill="auto"/>
            <w:noWrap/>
            <w:vAlign w:val="bottom"/>
          </w:tcPr>
          <w:p w14:paraId="77890BA2"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970 </w:t>
            </w:r>
          </w:p>
        </w:tc>
      </w:tr>
      <w:tr w:rsidR="00744544" w:rsidRPr="00A66C9F" w14:paraId="16868C72" w14:textId="77777777" w:rsidTr="00107D5D">
        <w:trPr>
          <w:trHeight w:val="300"/>
        </w:trPr>
        <w:tc>
          <w:tcPr>
            <w:tcW w:w="1710" w:type="dxa"/>
            <w:shd w:val="clear" w:color="auto" w:fill="auto"/>
            <w:noWrap/>
            <w:vAlign w:val="bottom"/>
          </w:tcPr>
          <w:p w14:paraId="3BBCE5C4"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Philippines</w:t>
            </w:r>
          </w:p>
        </w:tc>
        <w:tc>
          <w:tcPr>
            <w:tcW w:w="990" w:type="dxa"/>
            <w:shd w:val="clear" w:color="auto" w:fill="auto"/>
            <w:noWrap/>
            <w:vAlign w:val="bottom"/>
          </w:tcPr>
          <w:p w14:paraId="58C766AB"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c>
          <w:tcPr>
            <w:tcW w:w="990" w:type="dxa"/>
            <w:shd w:val="clear" w:color="auto" w:fill="auto"/>
            <w:noWrap/>
            <w:vAlign w:val="bottom"/>
          </w:tcPr>
          <w:p w14:paraId="74BA9F7C"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65</w:t>
            </w:r>
          </w:p>
        </w:tc>
        <w:tc>
          <w:tcPr>
            <w:tcW w:w="900" w:type="dxa"/>
            <w:shd w:val="clear" w:color="auto" w:fill="auto"/>
            <w:noWrap/>
            <w:vAlign w:val="bottom"/>
          </w:tcPr>
          <w:p w14:paraId="3685516E"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65</w:t>
            </w:r>
          </w:p>
        </w:tc>
        <w:tc>
          <w:tcPr>
            <w:tcW w:w="981" w:type="dxa"/>
            <w:gridSpan w:val="2"/>
            <w:shd w:val="clear" w:color="auto" w:fill="auto"/>
            <w:noWrap/>
            <w:vAlign w:val="bottom"/>
          </w:tcPr>
          <w:p w14:paraId="3391CCB1"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c>
          <w:tcPr>
            <w:tcW w:w="891" w:type="dxa"/>
            <w:shd w:val="clear" w:color="auto" w:fill="auto"/>
            <w:noWrap/>
            <w:vAlign w:val="bottom"/>
          </w:tcPr>
          <w:p w14:paraId="7B667312"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c>
          <w:tcPr>
            <w:tcW w:w="891" w:type="dxa"/>
            <w:shd w:val="clear" w:color="auto" w:fill="auto"/>
            <w:noWrap/>
            <w:vAlign w:val="bottom"/>
          </w:tcPr>
          <w:p w14:paraId="24597267"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w:t>
            </w:r>
          </w:p>
        </w:tc>
      </w:tr>
      <w:tr w:rsidR="00744544" w:rsidRPr="00A66C9F" w14:paraId="43FA35CF" w14:textId="77777777" w:rsidTr="00107D5D">
        <w:trPr>
          <w:trHeight w:val="300"/>
        </w:trPr>
        <w:tc>
          <w:tcPr>
            <w:tcW w:w="1710" w:type="dxa"/>
            <w:shd w:val="clear" w:color="auto" w:fill="auto"/>
            <w:noWrap/>
            <w:vAlign w:val="bottom"/>
          </w:tcPr>
          <w:p w14:paraId="42C6BFA4"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Royaume-Uni</w:t>
            </w:r>
          </w:p>
        </w:tc>
        <w:tc>
          <w:tcPr>
            <w:tcW w:w="990" w:type="dxa"/>
            <w:shd w:val="clear" w:color="auto" w:fill="auto"/>
            <w:noWrap/>
            <w:vAlign w:val="bottom"/>
          </w:tcPr>
          <w:p w14:paraId="5DB2C254"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 </w:t>
            </w:r>
          </w:p>
        </w:tc>
        <w:tc>
          <w:tcPr>
            <w:tcW w:w="990" w:type="dxa"/>
            <w:shd w:val="clear" w:color="auto" w:fill="auto"/>
            <w:noWrap/>
            <w:vAlign w:val="bottom"/>
          </w:tcPr>
          <w:p w14:paraId="2DD602DC"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1 365 </w:t>
            </w:r>
          </w:p>
        </w:tc>
        <w:tc>
          <w:tcPr>
            <w:tcW w:w="900" w:type="dxa"/>
            <w:shd w:val="clear" w:color="auto" w:fill="auto"/>
            <w:noWrap/>
            <w:vAlign w:val="bottom"/>
          </w:tcPr>
          <w:p w14:paraId="06386C72"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1 365</w:t>
            </w:r>
          </w:p>
        </w:tc>
        <w:tc>
          <w:tcPr>
            <w:tcW w:w="981" w:type="dxa"/>
            <w:gridSpan w:val="2"/>
            <w:shd w:val="clear" w:color="auto" w:fill="auto"/>
            <w:noWrap/>
            <w:vAlign w:val="bottom"/>
          </w:tcPr>
          <w:p w14:paraId="3DA4FF92"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 </w:t>
            </w:r>
          </w:p>
        </w:tc>
        <w:tc>
          <w:tcPr>
            <w:tcW w:w="891" w:type="dxa"/>
            <w:shd w:val="clear" w:color="auto" w:fill="auto"/>
            <w:noWrap/>
            <w:vAlign w:val="bottom"/>
          </w:tcPr>
          <w:p w14:paraId="7DED59AE"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952 </w:t>
            </w:r>
          </w:p>
        </w:tc>
        <w:tc>
          <w:tcPr>
            <w:tcW w:w="891" w:type="dxa"/>
            <w:shd w:val="clear" w:color="auto" w:fill="auto"/>
            <w:noWrap/>
            <w:vAlign w:val="bottom"/>
          </w:tcPr>
          <w:p w14:paraId="159659A8"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952 </w:t>
            </w:r>
          </w:p>
        </w:tc>
      </w:tr>
      <w:tr w:rsidR="00744544" w:rsidRPr="00A66C9F" w14:paraId="4D9DB518" w14:textId="77777777" w:rsidTr="00107D5D">
        <w:trPr>
          <w:trHeight w:val="300"/>
        </w:trPr>
        <w:tc>
          <w:tcPr>
            <w:tcW w:w="1710" w:type="dxa"/>
            <w:shd w:val="clear" w:color="auto" w:fill="auto"/>
            <w:noWrap/>
            <w:vAlign w:val="bottom"/>
          </w:tcPr>
          <w:p w14:paraId="70EF0D61"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Singapour</w:t>
            </w:r>
          </w:p>
        </w:tc>
        <w:tc>
          <w:tcPr>
            <w:tcW w:w="990" w:type="dxa"/>
            <w:shd w:val="clear" w:color="auto" w:fill="auto"/>
            <w:noWrap/>
            <w:vAlign w:val="bottom"/>
          </w:tcPr>
          <w:p w14:paraId="1DE13182"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 </w:t>
            </w:r>
          </w:p>
        </w:tc>
        <w:tc>
          <w:tcPr>
            <w:tcW w:w="990" w:type="dxa"/>
            <w:shd w:val="clear" w:color="auto" w:fill="auto"/>
            <w:noWrap/>
            <w:vAlign w:val="bottom"/>
          </w:tcPr>
          <w:p w14:paraId="63351806"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45 </w:t>
            </w:r>
          </w:p>
        </w:tc>
        <w:tc>
          <w:tcPr>
            <w:tcW w:w="900" w:type="dxa"/>
            <w:shd w:val="clear" w:color="auto" w:fill="auto"/>
            <w:noWrap/>
            <w:vAlign w:val="bottom"/>
          </w:tcPr>
          <w:p w14:paraId="06E7892E"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45</w:t>
            </w:r>
          </w:p>
        </w:tc>
        <w:tc>
          <w:tcPr>
            <w:tcW w:w="981" w:type="dxa"/>
            <w:gridSpan w:val="2"/>
            <w:shd w:val="clear" w:color="auto" w:fill="auto"/>
            <w:noWrap/>
            <w:vAlign w:val="bottom"/>
          </w:tcPr>
          <w:p w14:paraId="7B866BDF"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 </w:t>
            </w:r>
          </w:p>
        </w:tc>
        <w:tc>
          <w:tcPr>
            <w:tcW w:w="891" w:type="dxa"/>
            <w:shd w:val="clear" w:color="auto" w:fill="auto"/>
            <w:noWrap/>
            <w:vAlign w:val="bottom"/>
          </w:tcPr>
          <w:p w14:paraId="6EE532C2"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42 </w:t>
            </w:r>
          </w:p>
        </w:tc>
        <w:tc>
          <w:tcPr>
            <w:tcW w:w="891" w:type="dxa"/>
            <w:shd w:val="clear" w:color="auto" w:fill="auto"/>
            <w:noWrap/>
            <w:vAlign w:val="bottom"/>
          </w:tcPr>
          <w:p w14:paraId="69D93A47"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42 </w:t>
            </w:r>
          </w:p>
        </w:tc>
      </w:tr>
      <w:tr w:rsidR="00744544" w:rsidRPr="00A66C9F" w14:paraId="52159C38" w14:textId="77777777" w:rsidTr="00107D5D">
        <w:trPr>
          <w:trHeight w:val="300"/>
        </w:trPr>
        <w:tc>
          <w:tcPr>
            <w:tcW w:w="1710" w:type="dxa"/>
            <w:shd w:val="clear" w:color="auto" w:fill="auto"/>
            <w:noWrap/>
            <w:vAlign w:val="bottom"/>
          </w:tcPr>
          <w:p w14:paraId="36394ADD"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Suisse</w:t>
            </w:r>
          </w:p>
        </w:tc>
        <w:tc>
          <w:tcPr>
            <w:tcW w:w="990" w:type="dxa"/>
            <w:shd w:val="clear" w:color="auto" w:fill="auto"/>
            <w:noWrap/>
            <w:vAlign w:val="bottom"/>
          </w:tcPr>
          <w:p w14:paraId="4EF9BE66"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 </w:t>
            </w:r>
          </w:p>
        </w:tc>
        <w:tc>
          <w:tcPr>
            <w:tcW w:w="990" w:type="dxa"/>
            <w:shd w:val="clear" w:color="auto" w:fill="auto"/>
            <w:noWrap/>
            <w:vAlign w:val="bottom"/>
          </w:tcPr>
          <w:p w14:paraId="5E0A3F25"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12 095</w:t>
            </w:r>
          </w:p>
        </w:tc>
        <w:tc>
          <w:tcPr>
            <w:tcW w:w="900" w:type="dxa"/>
            <w:shd w:val="clear" w:color="auto" w:fill="auto"/>
            <w:noWrap/>
            <w:vAlign w:val="bottom"/>
          </w:tcPr>
          <w:p w14:paraId="4A256474"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12 095</w:t>
            </w:r>
          </w:p>
        </w:tc>
        <w:tc>
          <w:tcPr>
            <w:tcW w:w="981" w:type="dxa"/>
            <w:gridSpan w:val="2"/>
            <w:shd w:val="clear" w:color="auto" w:fill="auto"/>
            <w:noWrap/>
            <w:vAlign w:val="bottom"/>
          </w:tcPr>
          <w:p w14:paraId="178B9334"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 </w:t>
            </w:r>
          </w:p>
        </w:tc>
        <w:tc>
          <w:tcPr>
            <w:tcW w:w="891" w:type="dxa"/>
            <w:shd w:val="clear" w:color="auto" w:fill="auto"/>
            <w:noWrap/>
            <w:vAlign w:val="bottom"/>
          </w:tcPr>
          <w:p w14:paraId="609AFC4B"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2 538 </w:t>
            </w:r>
          </w:p>
        </w:tc>
        <w:tc>
          <w:tcPr>
            <w:tcW w:w="891" w:type="dxa"/>
            <w:shd w:val="clear" w:color="auto" w:fill="auto"/>
            <w:noWrap/>
            <w:vAlign w:val="bottom"/>
          </w:tcPr>
          <w:p w14:paraId="34CDB13F"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2 538 </w:t>
            </w:r>
          </w:p>
        </w:tc>
      </w:tr>
      <w:tr w:rsidR="00744544" w:rsidRPr="00A66C9F" w14:paraId="4113FC45" w14:textId="77777777" w:rsidTr="00107D5D">
        <w:trPr>
          <w:trHeight w:val="300"/>
        </w:trPr>
        <w:tc>
          <w:tcPr>
            <w:tcW w:w="1710" w:type="dxa"/>
            <w:shd w:val="clear" w:color="auto" w:fill="auto"/>
            <w:noWrap/>
            <w:vAlign w:val="bottom"/>
          </w:tcPr>
          <w:p w14:paraId="2217047C"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Tchéquie</w:t>
            </w:r>
          </w:p>
        </w:tc>
        <w:tc>
          <w:tcPr>
            <w:tcW w:w="990" w:type="dxa"/>
            <w:shd w:val="clear" w:color="auto" w:fill="auto"/>
            <w:noWrap/>
            <w:vAlign w:val="bottom"/>
          </w:tcPr>
          <w:p w14:paraId="6813D15A"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 </w:t>
            </w:r>
          </w:p>
        </w:tc>
        <w:tc>
          <w:tcPr>
            <w:tcW w:w="990" w:type="dxa"/>
            <w:shd w:val="clear" w:color="auto" w:fill="auto"/>
            <w:noWrap/>
            <w:vAlign w:val="bottom"/>
          </w:tcPr>
          <w:p w14:paraId="5B534E66"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233 </w:t>
            </w:r>
          </w:p>
        </w:tc>
        <w:tc>
          <w:tcPr>
            <w:tcW w:w="900" w:type="dxa"/>
            <w:shd w:val="clear" w:color="auto" w:fill="auto"/>
            <w:noWrap/>
            <w:vAlign w:val="bottom"/>
          </w:tcPr>
          <w:p w14:paraId="25F37DB1"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233</w:t>
            </w:r>
          </w:p>
        </w:tc>
        <w:tc>
          <w:tcPr>
            <w:tcW w:w="981" w:type="dxa"/>
            <w:gridSpan w:val="2"/>
            <w:shd w:val="clear" w:color="auto" w:fill="auto"/>
            <w:noWrap/>
            <w:vAlign w:val="bottom"/>
          </w:tcPr>
          <w:p w14:paraId="0929B297"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 </w:t>
            </w:r>
          </w:p>
        </w:tc>
        <w:tc>
          <w:tcPr>
            <w:tcW w:w="891" w:type="dxa"/>
            <w:shd w:val="clear" w:color="auto" w:fill="auto"/>
            <w:noWrap/>
            <w:vAlign w:val="bottom"/>
          </w:tcPr>
          <w:p w14:paraId="1FB502AE"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85 </w:t>
            </w:r>
          </w:p>
        </w:tc>
        <w:tc>
          <w:tcPr>
            <w:tcW w:w="891" w:type="dxa"/>
            <w:shd w:val="clear" w:color="auto" w:fill="auto"/>
            <w:noWrap/>
            <w:vAlign w:val="bottom"/>
          </w:tcPr>
          <w:p w14:paraId="7E348D0C"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85 </w:t>
            </w:r>
          </w:p>
        </w:tc>
      </w:tr>
      <w:tr w:rsidR="00744544" w:rsidRPr="00A66C9F" w14:paraId="1D7421FB" w14:textId="77777777" w:rsidTr="00107D5D">
        <w:trPr>
          <w:trHeight w:val="300"/>
        </w:trPr>
        <w:tc>
          <w:tcPr>
            <w:tcW w:w="1710" w:type="dxa"/>
            <w:shd w:val="clear" w:color="auto" w:fill="auto"/>
            <w:noWrap/>
            <w:vAlign w:val="bottom"/>
          </w:tcPr>
          <w:p w14:paraId="36C1C719" w14:textId="77777777" w:rsidR="00744544" w:rsidRPr="00A66C9F" w:rsidRDefault="00744544" w:rsidP="00107D5D">
            <w:pPr>
              <w:keepNext/>
              <w:keepLines/>
              <w:tabs>
                <w:tab w:val="left" w:pos="288"/>
                <w:tab w:val="left" w:pos="576"/>
                <w:tab w:val="left" w:pos="864"/>
                <w:tab w:val="left" w:pos="1152"/>
              </w:tabs>
              <w:suppressAutoHyphens/>
              <w:spacing w:before="40" w:after="81" w:line="210" w:lineRule="exact"/>
              <w:ind w:right="43"/>
              <w:rPr>
                <w:sz w:val="17"/>
                <w:szCs w:val="17"/>
                <w:lang w:val="fr-FR"/>
              </w:rPr>
            </w:pPr>
            <w:r w:rsidRPr="00A66C9F">
              <w:rPr>
                <w:sz w:val="17"/>
                <w:lang w:val="fr-FR"/>
              </w:rPr>
              <w:t>Turquie</w:t>
            </w:r>
          </w:p>
        </w:tc>
        <w:tc>
          <w:tcPr>
            <w:tcW w:w="990" w:type="dxa"/>
            <w:shd w:val="clear" w:color="auto" w:fill="auto"/>
            <w:noWrap/>
            <w:vAlign w:val="bottom"/>
          </w:tcPr>
          <w:p w14:paraId="42FFD05D" w14:textId="77777777" w:rsidR="00744544" w:rsidRPr="00A66C9F" w:rsidRDefault="00744544" w:rsidP="00107D5D">
            <w:pPr>
              <w:keepNext/>
              <w:keepLines/>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szCs w:val="17"/>
                <w:lang w:val="fr-FR"/>
              </w:rPr>
              <w:t xml:space="preserve"> – </w:t>
            </w:r>
          </w:p>
        </w:tc>
        <w:tc>
          <w:tcPr>
            <w:tcW w:w="990" w:type="dxa"/>
            <w:shd w:val="clear" w:color="auto" w:fill="auto"/>
            <w:noWrap/>
            <w:vAlign w:val="bottom"/>
          </w:tcPr>
          <w:p w14:paraId="6AE96828" w14:textId="77777777" w:rsidR="00744544" w:rsidRPr="00A66C9F" w:rsidRDefault="00744544" w:rsidP="00107D5D">
            <w:pPr>
              <w:keepNext/>
              <w:keepLines/>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lang w:val="fr-FR"/>
              </w:rPr>
              <w:t xml:space="preserve"> 101 </w:t>
            </w:r>
          </w:p>
        </w:tc>
        <w:tc>
          <w:tcPr>
            <w:tcW w:w="900" w:type="dxa"/>
            <w:shd w:val="clear" w:color="auto" w:fill="auto"/>
            <w:noWrap/>
            <w:vAlign w:val="bottom"/>
          </w:tcPr>
          <w:p w14:paraId="174DC7B6" w14:textId="77777777" w:rsidR="00744544" w:rsidRPr="00A66C9F" w:rsidRDefault="00744544" w:rsidP="00107D5D">
            <w:pPr>
              <w:keepNext/>
              <w:keepLines/>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lang w:val="fr-FR"/>
              </w:rPr>
              <w:t>101</w:t>
            </w:r>
          </w:p>
        </w:tc>
        <w:tc>
          <w:tcPr>
            <w:tcW w:w="981" w:type="dxa"/>
            <w:gridSpan w:val="2"/>
            <w:shd w:val="clear" w:color="auto" w:fill="auto"/>
            <w:noWrap/>
            <w:vAlign w:val="bottom"/>
          </w:tcPr>
          <w:p w14:paraId="1DF34A4A" w14:textId="77777777" w:rsidR="00744544" w:rsidRPr="00A66C9F" w:rsidRDefault="00744544" w:rsidP="00107D5D">
            <w:pPr>
              <w:keepNext/>
              <w:keepLines/>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szCs w:val="17"/>
                <w:lang w:val="fr-FR"/>
              </w:rPr>
              <w:t xml:space="preserve"> – </w:t>
            </w:r>
          </w:p>
        </w:tc>
        <w:tc>
          <w:tcPr>
            <w:tcW w:w="891" w:type="dxa"/>
            <w:shd w:val="clear" w:color="auto" w:fill="auto"/>
            <w:noWrap/>
            <w:vAlign w:val="bottom"/>
          </w:tcPr>
          <w:p w14:paraId="1975C311" w14:textId="77777777" w:rsidR="00744544" w:rsidRPr="00A66C9F" w:rsidRDefault="00744544" w:rsidP="00107D5D">
            <w:pPr>
              <w:keepNext/>
              <w:keepLines/>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lang w:val="fr-FR"/>
              </w:rPr>
              <w:t xml:space="preserve"> 37 </w:t>
            </w:r>
          </w:p>
        </w:tc>
        <w:tc>
          <w:tcPr>
            <w:tcW w:w="891" w:type="dxa"/>
            <w:shd w:val="clear" w:color="auto" w:fill="auto"/>
            <w:noWrap/>
            <w:vAlign w:val="bottom"/>
          </w:tcPr>
          <w:p w14:paraId="55C90FE8" w14:textId="77777777" w:rsidR="00744544" w:rsidRPr="00A66C9F" w:rsidRDefault="00744544" w:rsidP="00107D5D">
            <w:pPr>
              <w:keepNext/>
              <w:keepLines/>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lang w:val="fr-FR"/>
              </w:rPr>
              <w:t xml:space="preserve"> 37 </w:t>
            </w:r>
          </w:p>
        </w:tc>
      </w:tr>
      <w:tr w:rsidR="00744544" w:rsidRPr="00A66C9F" w14:paraId="078997CF" w14:textId="77777777" w:rsidTr="00107D5D">
        <w:trPr>
          <w:trHeight w:val="315"/>
        </w:trPr>
        <w:tc>
          <w:tcPr>
            <w:tcW w:w="1710" w:type="dxa"/>
            <w:tcBorders>
              <w:top w:val="single" w:sz="4" w:space="0" w:color="auto"/>
              <w:bottom w:val="single" w:sz="12" w:space="0" w:color="auto"/>
            </w:tcBorders>
            <w:shd w:val="clear" w:color="auto" w:fill="auto"/>
            <w:noWrap/>
            <w:vAlign w:val="bottom"/>
            <w:hideMark/>
          </w:tcPr>
          <w:p w14:paraId="0B4866D7" w14:textId="77777777" w:rsidR="00744544" w:rsidRPr="00A66C9F" w:rsidRDefault="00744544" w:rsidP="00107D5D">
            <w:pPr>
              <w:keepNext/>
              <w:keepLines/>
              <w:tabs>
                <w:tab w:val="left" w:pos="288"/>
                <w:tab w:val="left" w:pos="576"/>
                <w:tab w:val="left" w:pos="864"/>
                <w:tab w:val="left" w:pos="1152"/>
              </w:tabs>
              <w:suppressAutoHyphens/>
              <w:spacing w:before="81" w:after="81" w:line="210" w:lineRule="exact"/>
              <w:ind w:left="174" w:right="40"/>
              <w:rPr>
                <w:b/>
                <w:bCs/>
                <w:sz w:val="17"/>
                <w:szCs w:val="17"/>
                <w:lang w:val="fr-FR"/>
              </w:rPr>
            </w:pPr>
            <w:r w:rsidRPr="00A66C9F">
              <w:rPr>
                <w:b/>
                <w:bCs/>
                <w:sz w:val="17"/>
                <w:lang w:val="fr-FR"/>
              </w:rPr>
              <w:t>Total</w:t>
            </w:r>
          </w:p>
        </w:tc>
        <w:tc>
          <w:tcPr>
            <w:tcW w:w="990" w:type="dxa"/>
            <w:tcBorders>
              <w:top w:val="single" w:sz="4" w:space="0" w:color="auto"/>
              <w:bottom w:val="single" w:sz="12" w:space="0" w:color="auto"/>
            </w:tcBorders>
            <w:shd w:val="clear" w:color="auto" w:fill="auto"/>
            <w:noWrap/>
            <w:vAlign w:val="bottom"/>
          </w:tcPr>
          <w:p w14:paraId="739DF29C" w14:textId="77777777" w:rsidR="00744544" w:rsidRPr="00A66C9F" w:rsidRDefault="00744544" w:rsidP="00107D5D">
            <w:pPr>
              <w:keepNext/>
              <w:keepLines/>
              <w:tabs>
                <w:tab w:val="left" w:pos="288"/>
                <w:tab w:val="left" w:pos="576"/>
                <w:tab w:val="left" w:pos="864"/>
                <w:tab w:val="left" w:pos="1152"/>
              </w:tabs>
              <w:suppressAutoHyphens/>
              <w:spacing w:before="81" w:after="81" w:line="210" w:lineRule="exact"/>
              <w:ind w:right="40"/>
              <w:jc w:val="right"/>
              <w:rPr>
                <w:b/>
                <w:bCs/>
                <w:sz w:val="17"/>
                <w:szCs w:val="17"/>
                <w:lang w:val="fr-FR"/>
              </w:rPr>
            </w:pPr>
            <w:r w:rsidRPr="00A66C9F">
              <w:rPr>
                <w:b/>
                <w:sz w:val="17"/>
                <w:szCs w:val="17"/>
                <w:lang w:val="fr-FR"/>
              </w:rPr>
              <w:t xml:space="preserve"> – </w:t>
            </w:r>
          </w:p>
        </w:tc>
        <w:tc>
          <w:tcPr>
            <w:tcW w:w="990" w:type="dxa"/>
            <w:tcBorders>
              <w:top w:val="single" w:sz="4" w:space="0" w:color="auto"/>
              <w:bottom w:val="single" w:sz="12" w:space="0" w:color="auto"/>
            </w:tcBorders>
            <w:shd w:val="clear" w:color="auto" w:fill="auto"/>
            <w:noWrap/>
            <w:vAlign w:val="bottom"/>
          </w:tcPr>
          <w:p w14:paraId="0D7146D5" w14:textId="77777777" w:rsidR="00744544" w:rsidRPr="00A66C9F" w:rsidRDefault="00744544" w:rsidP="00107D5D">
            <w:pPr>
              <w:keepNext/>
              <w:keepLines/>
              <w:tabs>
                <w:tab w:val="left" w:pos="288"/>
                <w:tab w:val="left" w:pos="576"/>
                <w:tab w:val="left" w:pos="864"/>
                <w:tab w:val="left" w:pos="1152"/>
              </w:tabs>
              <w:suppressAutoHyphens/>
              <w:spacing w:before="81" w:after="81" w:line="210" w:lineRule="exact"/>
              <w:ind w:right="40"/>
              <w:jc w:val="right"/>
              <w:rPr>
                <w:b/>
                <w:bCs/>
                <w:sz w:val="17"/>
                <w:szCs w:val="17"/>
                <w:lang w:val="fr-FR"/>
              </w:rPr>
            </w:pPr>
            <w:r w:rsidRPr="00A66C9F">
              <w:rPr>
                <w:b/>
                <w:bCs/>
                <w:sz w:val="17"/>
                <w:lang w:val="fr-FR"/>
              </w:rPr>
              <w:t>35 789</w:t>
            </w:r>
            <w:r w:rsidRPr="00A66C9F">
              <w:rPr>
                <w:b/>
                <w:sz w:val="17"/>
                <w:lang w:val="fr-FR"/>
              </w:rPr>
              <w:t xml:space="preserve"> </w:t>
            </w:r>
          </w:p>
        </w:tc>
        <w:tc>
          <w:tcPr>
            <w:tcW w:w="900" w:type="dxa"/>
            <w:tcBorders>
              <w:top w:val="single" w:sz="4" w:space="0" w:color="auto"/>
              <w:bottom w:val="single" w:sz="12" w:space="0" w:color="auto"/>
            </w:tcBorders>
            <w:shd w:val="clear" w:color="auto" w:fill="auto"/>
            <w:noWrap/>
            <w:vAlign w:val="bottom"/>
          </w:tcPr>
          <w:p w14:paraId="4DB70C1B" w14:textId="77777777" w:rsidR="00744544" w:rsidRPr="00A66C9F" w:rsidRDefault="00744544" w:rsidP="00107D5D">
            <w:pPr>
              <w:keepNext/>
              <w:keepLines/>
              <w:tabs>
                <w:tab w:val="left" w:pos="288"/>
                <w:tab w:val="left" w:pos="576"/>
                <w:tab w:val="left" w:pos="864"/>
                <w:tab w:val="left" w:pos="1152"/>
              </w:tabs>
              <w:suppressAutoHyphens/>
              <w:spacing w:before="81" w:after="81" w:line="210" w:lineRule="exact"/>
              <w:ind w:right="40"/>
              <w:jc w:val="right"/>
              <w:rPr>
                <w:b/>
                <w:bCs/>
                <w:sz w:val="17"/>
                <w:szCs w:val="17"/>
                <w:lang w:val="fr-FR"/>
              </w:rPr>
            </w:pPr>
            <w:r w:rsidRPr="00A66C9F">
              <w:rPr>
                <w:b/>
                <w:sz w:val="17"/>
                <w:lang w:val="fr-FR"/>
              </w:rPr>
              <w:t xml:space="preserve"> </w:t>
            </w:r>
            <w:r w:rsidRPr="00A66C9F">
              <w:rPr>
                <w:b/>
                <w:bCs/>
                <w:sz w:val="17"/>
                <w:lang w:val="fr-FR"/>
              </w:rPr>
              <w:t>35 789</w:t>
            </w:r>
            <w:r w:rsidRPr="00A66C9F">
              <w:rPr>
                <w:b/>
                <w:sz w:val="17"/>
                <w:lang w:val="fr-FR"/>
              </w:rPr>
              <w:t xml:space="preserve"> </w:t>
            </w:r>
          </w:p>
        </w:tc>
        <w:tc>
          <w:tcPr>
            <w:tcW w:w="981" w:type="dxa"/>
            <w:gridSpan w:val="2"/>
            <w:tcBorders>
              <w:top w:val="single" w:sz="4" w:space="0" w:color="auto"/>
              <w:bottom w:val="single" w:sz="12" w:space="0" w:color="auto"/>
            </w:tcBorders>
            <w:shd w:val="clear" w:color="auto" w:fill="auto"/>
            <w:noWrap/>
            <w:vAlign w:val="bottom"/>
            <w:hideMark/>
          </w:tcPr>
          <w:p w14:paraId="02584087" w14:textId="77777777" w:rsidR="00744544" w:rsidRPr="00A66C9F" w:rsidRDefault="00744544" w:rsidP="00107D5D">
            <w:pPr>
              <w:keepNext/>
              <w:keepLines/>
              <w:tabs>
                <w:tab w:val="left" w:pos="288"/>
                <w:tab w:val="left" w:pos="576"/>
                <w:tab w:val="left" w:pos="864"/>
                <w:tab w:val="left" w:pos="1152"/>
              </w:tabs>
              <w:suppressAutoHyphens/>
              <w:spacing w:before="81" w:after="81" w:line="210" w:lineRule="exact"/>
              <w:ind w:right="40"/>
              <w:jc w:val="right"/>
              <w:rPr>
                <w:b/>
                <w:bCs/>
                <w:sz w:val="17"/>
                <w:szCs w:val="17"/>
                <w:lang w:val="fr-FR"/>
              </w:rPr>
            </w:pPr>
            <w:r w:rsidRPr="00A66C9F">
              <w:rPr>
                <w:b/>
                <w:sz w:val="17"/>
                <w:lang w:val="fr-FR"/>
              </w:rPr>
              <w:t xml:space="preserve"> </w:t>
            </w:r>
            <w:r w:rsidRPr="00A66C9F">
              <w:rPr>
                <w:b/>
                <w:bCs/>
                <w:sz w:val="17"/>
                <w:lang w:val="fr-FR"/>
              </w:rPr>
              <w:t>63</w:t>
            </w:r>
            <w:r w:rsidRPr="00A66C9F">
              <w:rPr>
                <w:b/>
                <w:sz w:val="17"/>
                <w:lang w:val="fr-FR"/>
              </w:rPr>
              <w:t xml:space="preserve"> </w:t>
            </w:r>
          </w:p>
        </w:tc>
        <w:tc>
          <w:tcPr>
            <w:tcW w:w="891" w:type="dxa"/>
            <w:tcBorders>
              <w:top w:val="single" w:sz="4" w:space="0" w:color="auto"/>
              <w:bottom w:val="single" w:sz="12" w:space="0" w:color="auto"/>
            </w:tcBorders>
            <w:shd w:val="clear" w:color="auto" w:fill="auto"/>
            <w:noWrap/>
            <w:vAlign w:val="bottom"/>
            <w:hideMark/>
          </w:tcPr>
          <w:p w14:paraId="0EB030EB" w14:textId="77777777" w:rsidR="00744544" w:rsidRPr="00A66C9F" w:rsidRDefault="00744544" w:rsidP="00107D5D">
            <w:pPr>
              <w:keepNext/>
              <w:keepLines/>
              <w:tabs>
                <w:tab w:val="left" w:pos="288"/>
                <w:tab w:val="left" w:pos="576"/>
                <w:tab w:val="left" w:pos="864"/>
                <w:tab w:val="left" w:pos="1152"/>
              </w:tabs>
              <w:suppressAutoHyphens/>
              <w:spacing w:before="81" w:after="81" w:line="210" w:lineRule="exact"/>
              <w:ind w:right="40"/>
              <w:jc w:val="right"/>
              <w:rPr>
                <w:b/>
                <w:bCs/>
                <w:sz w:val="17"/>
                <w:szCs w:val="17"/>
                <w:lang w:val="fr-FR"/>
              </w:rPr>
            </w:pPr>
            <w:r w:rsidRPr="00A66C9F">
              <w:rPr>
                <w:b/>
                <w:sz w:val="17"/>
                <w:lang w:val="fr-FR"/>
              </w:rPr>
              <w:t xml:space="preserve"> </w:t>
            </w:r>
            <w:r w:rsidRPr="00A66C9F">
              <w:rPr>
                <w:b/>
                <w:bCs/>
                <w:sz w:val="17"/>
                <w:lang w:val="fr-FR"/>
              </w:rPr>
              <w:t>20 070</w:t>
            </w:r>
            <w:r w:rsidRPr="00A66C9F">
              <w:rPr>
                <w:b/>
                <w:sz w:val="17"/>
                <w:lang w:val="fr-FR"/>
              </w:rPr>
              <w:t xml:space="preserve"> </w:t>
            </w:r>
          </w:p>
        </w:tc>
        <w:tc>
          <w:tcPr>
            <w:tcW w:w="891" w:type="dxa"/>
            <w:tcBorders>
              <w:top w:val="single" w:sz="4" w:space="0" w:color="auto"/>
              <w:bottom w:val="single" w:sz="12" w:space="0" w:color="auto"/>
            </w:tcBorders>
            <w:shd w:val="clear" w:color="auto" w:fill="auto"/>
            <w:noWrap/>
            <w:vAlign w:val="bottom"/>
            <w:hideMark/>
          </w:tcPr>
          <w:p w14:paraId="185171DB" w14:textId="77777777" w:rsidR="00744544" w:rsidRPr="00A66C9F" w:rsidRDefault="00744544" w:rsidP="00107D5D">
            <w:pPr>
              <w:keepNext/>
              <w:keepLines/>
              <w:tabs>
                <w:tab w:val="left" w:pos="288"/>
                <w:tab w:val="left" w:pos="576"/>
                <w:tab w:val="left" w:pos="864"/>
                <w:tab w:val="left" w:pos="1152"/>
              </w:tabs>
              <w:suppressAutoHyphens/>
              <w:spacing w:before="81" w:after="81" w:line="210" w:lineRule="exact"/>
              <w:ind w:right="40"/>
              <w:jc w:val="right"/>
              <w:rPr>
                <w:b/>
                <w:bCs/>
                <w:sz w:val="17"/>
                <w:szCs w:val="17"/>
                <w:lang w:val="fr-FR"/>
              </w:rPr>
            </w:pPr>
            <w:r w:rsidRPr="00A66C9F">
              <w:rPr>
                <w:b/>
                <w:sz w:val="17"/>
                <w:lang w:val="fr-FR"/>
              </w:rPr>
              <w:t xml:space="preserve"> </w:t>
            </w:r>
            <w:r w:rsidRPr="00A66C9F">
              <w:rPr>
                <w:b/>
                <w:bCs/>
                <w:sz w:val="17"/>
                <w:lang w:val="fr-FR"/>
              </w:rPr>
              <w:t>20 133</w:t>
            </w:r>
            <w:r w:rsidRPr="00A66C9F">
              <w:rPr>
                <w:b/>
                <w:sz w:val="17"/>
                <w:lang w:val="fr-FR"/>
              </w:rPr>
              <w:t xml:space="preserve"> </w:t>
            </w:r>
          </w:p>
        </w:tc>
      </w:tr>
    </w:tbl>
    <w:p w14:paraId="44918AFC" w14:textId="77777777" w:rsidR="00744544" w:rsidRPr="00A66C9F" w:rsidRDefault="00744544" w:rsidP="00744544">
      <w:pPr>
        <w:pStyle w:val="SingleTxt"/>
        <w:spacing w:after="0" w:line="120" w:lineRule="exact"/>
        <w:rPr>
          <w:sz w:val="10"/>
          <w:lang w:val="fr-FR"/>
        </w:rPr>
      </w:pPr>
    </w:p>
    <w:p w14:paraId="1E8DB486" w14:textId="77777777" w:rsidR="00744544" w:rsidRPr="00A66C9F" w:rsidRDefault="00744544" w:rsidP="00744544">
      <w:pPr>
        <w:pStyle w:val="SingleTxt"/>
        <w:spacing w:after="0" w:line="120" w:lineRule="exact"/>
        <w:rPr>
          <w:sz w:val="10"/>
          <w:lang w:val="fr-FR"/>
        </w:rPr>
      </w:pPr>
    </w:p>
    <w:p w14:paraId="3D533D64" w14:textId="77777777" w:rsidR="00744544" w:rsidRPr="00A66C9F" w:rsidRDefault="00744544" w:rsidP="00744544">
      <w:pPr>
        <w:pStyle w:val="SingleTxt"/>
        <w:spacing w:after="0" w:line="120" w:lineRule="exact"/>
        <w:rPr>
          <w:sz w:val="10"/>
          <w:lang w:val="fr-FR"/>
        </w:rPr>
      </w:pPr>
    </w:p>
    <w:p w14:paraId="3D66EE75"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fr-FR"/>
        </w:rPr>
      </w:pPr>
      <w:r w:rsidRPr="00A66C9F">
        <w:rPr>
          <w:lang w:val="fr-FR"/>
        </w:rPr>
        <w:tab/>
      </w:r>
      <w:r w:rsidRPr="00A66C9F">
        <w:rPr>
          <w:lang w:val="fr-FR"/>
        </w:rPr>
        <w:tab/>
        <w:t>Note 9</w:t>
      </w:r>
    </w:p>
    <w:p w14:paraId="30D6E322"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Autres éléments d’actif</w:t>
      </w:r>
    </w:p>
    <w:p w14:paraId="3ED46705" w14:textId="77777777" w:rsidR="00744544" w:rsidRPr="00A66C9F" w:rsidRDefault="00744544" w:rsidP="00744544">
      <w:pPr>
        <w:pStyle w:val="SingleTxt"/>
        <w:spacing w:after="0" w:line="120" w:lineRule="exact"/>
        <w:rPr>
          <w:sz w:val="10"/>
          <w:lang w:val="fr-FR"/>
        </w:rPr>
      </w:pPr>
    </w:p>
    <w:p w14:paraId="7580F238" w14:textId="77777777" w:rsidR="00744544" w:rsidRPr="00A66C9F" w:rsidRDefault="00744544" w:rsidP="00753AB8">
      <w:pPr>
        <w:pStyle w:val="SingleTxt"/>
        <w:numPr>
          <w:ilvl w:val="0"/>
          <w:numId w:val="15"/>
        </w:numPr>
        <w:spacing w:line="240" w:lineRule="exact"/>
        <w:rPr>
          <w:szCs w:val="20"/>
          <w:lang w:val="fr-FR"/>
        </w:rPr>
      </w:pPr>
      <w:bookmarkStart w:id="193" w:name="_Toc511808309"/>
      <w:bookmarkStart w:id="194" w:name="_Toc511808477"/>
      <w:bookmarkStart w:id="195" w:name="_Toc511808645"/>
      <w:bookmarkStart w:id="196" w:name="_Toc511813465"/>
      <w:bookmarkStart w:id="197" w:name="_Toc511813635"/>
      <w:bookmarkStart w:id="198" w:name="_Toc511831746"/>
      <w:bookmarkStart w:id="199" w:name="_Toc511903221"/>
      <w:bookmarkStart w:id="200" w:name="_Toc511920521"/>
      <w:bookmarkStart w:id="201" w:name="_Toc480546488"/>
      <w:bookmarkEnd w:id="193"/>
      <w:bookmarkEnd w:id="194"/>
      <w:bookmarkEnd w:id="195"/>
      <w:bookmarkEnd w:id="196"/>
      <w:bookmarkEnd w:id="197"/>
      <w:bookmarkEnd w:id="198"/>
      <w:bookmarkEnd w:id="199"/>
      <w:bookmarkEnd w:id="200"/>
      <w:bookmarkEnd w:id="201"/>
      <w:r w:rsidRPr="00A66C9F">
        <w:rPr>
          <w:lang w:val="fr-FR"/>
        </w:rPr>
        <w:t>Le solde des autres éléments d’actif inscrit dans l’état de l’actif net disponible pour le versement des prestations se décompose comme suit :</w:t>
      </w:r>
    </w:p>
    <w:p w14:paraId="6ED95284" w14:textId="77777777" w:rsidR="00744544" w:rsidRPr="00A66C9F" w:rsidRDefault="00744544" w:rsidP="00744544">
      <w:pPr>
        <w:pStyle w:val="SingleTxt"/>
        <w:spacing w:after="0" w:line="120" w:lineRule="exact"/>
        <w:rPr>
          <w:sz w:val="10"/>
          <w:lang w:val="fr-FR"/>
        </w:rPr>
      </w:pPr>
    </w:p>
    <w:p w14:paraId="223F7BAE" w14:textId="77777777" w:rsidR="00744544" w:rsidRPr="00A66C9F" w:rsidRDefault="00744544" w:rsidP="0074454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lang w:val="fr-FR"/>
        </w:rPr>
        <w:lastRenderedPageBreak/>
        <w:tab/>
      </w:r>
      <w:r w:rsidRPr="00A66C9F">
        <w:rPr>
          <w:sz w:val="14"/>
          <w:szCs w:val="14"/>
          <w:lang w:val="fr-FR"/>
        </w:rPr>
        <w:tab/>
        <w:t>(En milliers de dollars des États-Unis)</w:t>
      </w:r>
    </w:p>
    <w:p w14:paraId="78788113" w14:textId="77777777" w:rsidR="00744544" w:rsidRPr="00A66C9F" w:rsidRDefault="00744544" w:rsidP="00744544">
      <w:pPr>
        <w:pStyle w:val="SingleTxt"/>
        <w:keepNext/>
        <w:spacing w:after="0" w:line="120" w:lineRule="exact"/>
        <w:rPr>
          <w:sz w:val="10"/>
          <w:lang w:val="fr-FR"/>
        </w:rPr>
      </w:pPr>
    </w:p>
    <w:p w14:paraId="41FC9EF4" w14:textId="77777777" w:rsidR="00744544" w:rsidRPr="00A66C9F" w:rsidRDefault="00744544" w:rsidP="00744544">
      <w:pPr>
        <w:pStyle w:val="SingleTxt"/>
        <w:keepNext/>
        <w:spacing w:after="0" w:line="120" w:lineRule="exact"/>
        <w:rPr>
          <w:sz w:val="10"/>
          <w:lang w:val="fr-FR"/>
        </w:rPr>
      </w:pPr>
    </w:p>
    <w:tbl>
      <w:tblPr>
        <w:tblW w:w="0" w:type="auto"/>
        <w:tblInd w:w="1260" w:type="dxa"/>
        <w:tblLayout w:type="fixed"/>
        <w:tblCellMar>
          <w:left w:w="0" w:type="dxa"/>
          <w:right w:w="0" w:type="dxa"/>
        </w:tblCellMar>
        <w:tblLook w:val="00A0" w:firstRow="1" w:lastRow="0" w:firstColumn="1" w:lastColumn="0" w:noHBand="0" w:noVBand="0"/>
      </w:tblPr>
      <w:tblGrid>
        <w:gridCol w:w="4500"/>
        <w:gridCol w:w="1410"/>
        <w:gridCol w:w="1410"/>
      </w:tblGrid>
      <w:tr w:rsidR="00744544" w:rsidRPr="00A66C9F" w14:paraId="0C3E8322" w14:textId="77777777" w:rsidTr="00107D5D">
        <w:trPr>
          <w:tblHeader/>
        </w:trPr>
        <w:tc>
          <w:tcPr>
            <w:tcW w:w="4500" w:type="dxa"/>
            <w:tcBorders>
              <w:top w:val="single" w:sz="4" w:space="0" w:color="auto"/>
              <w:bottom w:val="single" w:sz="12" w:space="0" w:color="auto"/>
            </w:tcBorders>
            <w:shd w:val="clear" w:color="auto" w:fill="auto"/>
            <w:vAlign w:val="bottom"/>
          </w:tcPr>
          <w:p w14:paraId="136AC398" w14:textId="77777777" w:rsidR="00744544" w:rsidRPr="00A66C9F" w:rsidRDefault="00744544" w:rsidP="00107D5D">
            <w:pPr>
              <w:suppressAutoHyphens/>
              <w:spacing w:before="81" w:after="81" w:line="160" w:lineRule="exact"/>
              <w:ind w:right="40"/>
              <w:rPr>
                <w:rFonts w:eastAsia="Times New Roman"/>
                <w:i/>
                <w:color w:val="000000"/>
                <w:sz w:val="14"/>
                <w:szCs w:val="21"/>
                <w:lang w:val="fr-FR"/>
              </w:rPr>
            </w:pPr>
          </w:p>
        </w:tc>
        <w:tc>
          <w:tcPr>
            <w:tcW w:w="1410" w:type="dxa"/>
            <w:tcBorders>
              <w:top w:val="single" w:sz="4" w:space="0" w:color="auto"/>
              <w:bottom w:val="single" w:sz="12" w:space="0" w:color="auto"/>
            </w:tcBorders>
            <w:shd w:val="clear" w:color="auto" w:fill="auto"/>
            <w:vAlign w:val="bottom"/>
          </w:tcPr>
          <w:p w14:paraId="01DE669B" w14:textId="77777777" w:rsidR="00744544" w:rsidRPr="00A66C9F" w:rsidDel="005F43B7" w:rsidRDefault="00744544" w:rsidP="00107D5D">
            <w:pPr>
              <w:suppressAutoHyphens/>
              <w:spacing w:before="81" w:after="81" w:line="160" w:lineRule="exact"/>
              <w:ind w:right="43"/>
              <w:jc w:val="right"/>
              <w:rPr>
                <w:rFonts w:eastAsia="Times New Roman"/>
                <w:i/>
                <w:color w:val="000000"/>
                <w:sz w:val="14"/>
                <w:szCs w:val="21"/>
                <w:lang w:val="fr-FR"/>
              </w:rPr>
            </w:pPr>
            <w:r w:rsidRPr="00A66C9F">
              <w:rPr>
                <w:rFonts w:eastAsia="Times New Roman"/>
                <w:i/>
                <w:sz w:val="14"/>
                <w:szCs w:val="21"/>
                <w:lang w:val="fr-FR"/>
              </w:rPr>
              <w:t>31 décembre 2019</w:t>
            </w:r>
          </w:p>
        </w:tc>
        <w:tc>
          <w:tcPr>
            <w:tcW w:w="1410" w:type="dxa"/>
            <w:tcBorders>
              <w:top w:val="single" w:sz="4" w:space="0" w:color="auto"/>
              <w:bottom w:val="single" w:sz="12" w:space="0" w:color="auto"/>
            </w:tcBorders>
            <w:shd w:val="clear" w:color="auto" w:fill="auto"/>
            <w:vAlign w:val="bottom"/>
          </w:tcPr>
          <w:p w14:paraId="4C12E741" w14:textId="77777777" w:rsidR="00744544" w:rsidRPr="00A66C9F" w:rsidRDefault="00744544" w:rsidP="00107D5D">
            <w:pPr>
              <w:suppressAutoHyphens/>
              <w:spacing w:before="81" w:after="81" w:line="160" w:lineRule="exact"/>
              <w:ind w:right="43"/>
              <w:jc w:val="right"/>
              <w:rPr>
                <w:rFonts w:eastAsia="Times New Roman"/>
                <w:i/>
                <w:sz w:val="14"/>
                <w:szCs w:val="21"/>
                <w:lang w:val="fr-FR"/>
              </w:rPr>
            </w:pPr>
            <w:r w:rsidRPr="00A66C9F">
              <w:rPr>
                <w:rFonts w:eastAsia="Times New Roman"/>
                <w:i/>
                <w:sz w:val="14"/>
                <w:szCs w:val="21"/>
                <w:lang w:val="fr-FR"/>
              </w:rPr>
              <w:t>31 décembre 2018</w:t>
            </w:r>
          </w:p>
        </w:tc>
      </w:tr>
      <w:tr w:rsidR="00744544" w:rsidRPr="00A66C9F" w14:paraId="5E853BF8" w14:textId="77777777" w:rsidTr="00107D5D">
        <w:trPr>
          <w:trHeight w:hRule="exact" w:val="115"/>
          <w:tblHeader/>
        </w:trPr>
        <w:tc>
          <w:tcPr>
            <w:tcW w:w="4500" w:type="dxa"/>
            <w:tcBorders>
              <w:top w:val="single" w:sz="12" w:space="0" w:color="auto"/>
            </w:tcBorders>
            <w:shd w:val="clear" w:color="auto" w:fill="auto"/>
            <w:vAlign w:val="bottom"/>
          </w:tcPr>
          <w:p w14:paraId="553963A7" w14:textId="77777777" w:rsidR="00744544" w:rsidRPr="00A66C9F" w:rsidRDefault="00744544" w:rsidP="00107D5D">
            <w:pPr>
              <w:suppressAutoHyphens/>
              <w:spacing w:before="40" w:after="40" w:line="210" w:lineRule="exact"/>
              <w:ind w:right="40"/>
              <w:rPr>
                <w:sz w:val="17"/>
                <w:lang w:val="fr-FR"/>
              </w:rPr>
            </w:pPr>
          </w:p>
        </w:tc>
        <w:tc>
          <w:tcPr>
            <w:tcW w:w="1410" w:type="dxa"/>
            <w:tcBorders>
              <w:top w:val="single" w:sz="12" w:space="0" w:color="auto"/>
            </w:tcBorders>
            <w:shd w:val="clear" w:color="auto" w:fill="auto"/>
            <w:vAlign w:val="bottom"/>
          </w:tcPr>
          <w:p w14:paraId="15B0CF45" w14:textId="77777777" w:rsidR="00744544" w:rsidRPr="00A66C9F" w:rsidRDefault="00744544" w:rsidP="00107D5D">
            <w:pPr>
              <w:suppressAutoHyphens/>
              <w:spacing w:before="40" w:after="40" w:line="210" w:lineRule="exact"/>
              <w:ind w:right="43"/>
              <w:jc w:val="right"/>
              <w:rPr>
                <w:sz w:val="17"/>
                <w:lang w:val="fr-FR"/>
              </w:rPr>
            </w:pPr>
          </w:p>
        </w:tc>
        <w:tc>
          <w:tcPr>
            <w:tcW w:w="1410" w:type="dxa"/>
            <w:tcBorders>
              <w:top w:val="single" w:sz="12" w:space="0" w:color="auto"/>
            </w:tcBorders>
            <w:shd w:val="clear" w:color="auto" w:fill="auto"/>
            <w:vAlign w:val="bottom"/>
          </w:tcPr>
          <w:p w14:paraId="3B0C3620" w14:textId="77777777" w:rsidR="00744544" w:rsidRPr="00A66C9F" w:rsidRDefault="00744544" w:rsidP="00107D5D">
            <w:pPr>
              <w:suppressAutoHyphens/>
              <w:spacing w:before="40" w:after="40" w:line="210" w:lineRule="exact"/>
              <w:ind w:right="43"/>
              <w:jc w:val="right"/>
              <w:rPr>
                <w:sz w:val="17"/>
                <w:lang w:val="fr-FR"/>
              </w:rPr>
            </w:pPr>
          </w:p>
        </w:tc>
      </w:tr>
      <w:tr w:rsidR="00744544" w:rsidRPr="00A66C9F" w14:paraId="24D122F4" w14:textId="77777777" w:rsidTr="00107D5D">
        <w:tc>
          <w:tcPr>
            <w:tcW w:w="4500" w:type="dxa"/>
            <w:shd w:val="clear" w:color="auto" w:fill="auto"/>
            <w:vAlign w:val="bottom"/>
          </w:tcPr>
          <w:p w14:paraId="385A8AD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21"/>
                <w:lang w:val="fr-FR"/>
              </w:rPr>
            </w:pPr>
            <w:r w:rsidRPr="00A66C9F">
              <w:rPr>
                <w:sz w:val="17"/>
                <w:lang w:val="fr-FR"/>
              </w:rPr>
              <w:t>Prestations servies par anticipation et prestations à recouvrer</w:t>
            </w:r>
          </w:p>
        </w:tc>
        <w:tc>
          <w:tcPr>
            <w:tcW w:w="1410" w:type="dxa"/>
            <w:shd w:val="clear" w:color="auto" w:fill="auto"/>
            <w:vAlign w:val="bottom"/>
          </w:tcPr>
          <w:p w14:paraId="048D033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21"/>
                <w:lang w:val="fr-FR"/>
              </w:rPr>
            </w:pPr>
            <w:r w:rsidRPr="00A66C9F">
              <w:rPr>
                <w:sz w:val="17"/>
                <w:lang w:val="fr-FR"/>
              </w:rPr>
              <w:t xml:space="preserve"> 14 976 </w:t>
            </w:r>
          </w:p>
        </w:tc>
        <w:tc>
          <w:tcPr>
            <w:tcW w:w="1410" w:type="dxa"/>
            <w:shd w:val="clear" w:color="auto" w:fill="auto"/>
            <w:vAlign w:val="bottom"/>
          </w:tcPr>
          <w:p w14:paraId="30C230A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21"/>
                <w:lang w:val="fr-FR"/>
              </w:rPr>
            </w:pPr>
            <w:r w:rsidRPr="00A66C9F">
              <w:rPr>
                <w:sz w:val="17"/>
                <w:lang w:val="fr-FR"/>
              </w:rPr>
              <w:t>15 184</w:t>
            </w:r>
          </w:p>
        </w:tc>
      </w:tr>
      <w:tr w:rsidR="00744544" w:rsidRPr="00A66C9F" w14:paraId="29DBD67C" w14:textId="77777777" w:rsidTr="00107D5D">
        <w:tc>
          <w:tcPr>
            <w:tcW w:w="4500" w:type="dxa"/>
            <w:shd w:val="clear" w:color="auto" w:fill="auto"/>
            <w:vAlign w:val="bottom"/>
          </w:tcPr>
          <w:p w14:paraId="0636AB8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21"/>
                <w:lang w:val="fr-FR"/>
              </w:rPr>
            </w:pPr>
            <w:r w:rsidRPr="00A66C9F">
              <w:rPr>
                <w:sz w:val="17"/>
                <w:lang w:val="fr-FR"/>
              </w:rPr>
              <w:t>Immobilisations corporelles</w:t>
            </w:r>
          </w:p>
        </w:tc>
        <w:tc>
          <w:tcPr>
            <w:tcW w:w="1410" w:type="dxa"/>
            <w:shd w:val="clear" w:color="auto" w:fill="auto"/>
            <w:vAlign w:val="bottom"/>
          </w:tcPr>
          <w:p w14:paraId="7A5F3F6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21"/>
                <w:lang w:val="fr-FR"/>
              </w:rPr>
            </w:pPr>
            <w:r w:rsidRPr="00A66C9F">
              <w:rPr>
                <w:sz w:val="17"/>
                <w:lang w:val="fr-FR"/>
              </w:rPr>
              <w:t xml:space="preserve"> 3 724 </w:t>
            </w:r>
          </w:p>
        </w:tc>
        <w:tc>
          <w:tcPr>
            <w:tcW w:w="1410" w:type="dxa"/>
            <w:shd w:val="clear" w:color="auto" w:fill="auto"/>
            <w:vAlign w:val="bottom"/>
          </w:tcPr>
          <w:p w14:paraId="3310E2D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21"/>
                <w:lang w:val="fr-FR"/>
              </w:rPr>
            </w:pPr>
            <w:r w:rsidRPr="00A66C9F">
              <w:rPr>
                <w:sz w:val="17"/>
                <w:lang w:val="fr-FR"/>
              </w:rPr>
              <w:t>3 941</w:t>
            </w:r>
          </w:p>
        </w:tc>
      </w:tr>
      <w:tr w:rsidR="00744544" w:rsidRPr="00A66C9F" w14:paraId="102F310D" w14:textId="77777777" w:rsidTr="00107D5D">
        <w:tc>
          <w:tcPr>
            <w:tcW w:w="4500" w:type="dxa"/>
            <w:shd w:val="clear" w:color="auto" w:fill="auto"/>
            <w:vAlign w:val="bottom"/>
          </w:tcPr>
          <w:p w14:paraId="71C00E3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21"/>
                <w:lang w:val="fr-FR"/>
              </w:rPr>
            </w:pPr>
            <w:r w:rsidRPr="00A66C9F">
              <w:rPr>
                <w:sz w:val="17"/>
                <w:lang w:val="fr-FR"/>
              </w:rPr>
              <w:t>Immobilisations incorporelles en service</w:t>
            </w:r>
          </w:p>
        </w:tc>
        <w:tc>
          <w:tcPr>
            <w:tcW w:w="1410" w:type="dxa"/>
            <w:shd w:val="clear" w:color="auto" w:fill="auto"/>
            <w:vAlign w:val="bottom"/>
          </w:tcPr>
          <w:p w14:paraId="6FEF270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21"/>
                <w:lang w:val="fr-FR"/>
              </w:rPr>
            </w:pPr>
            <w:r w:rsidRPr="00A66C9F">
              <w:rPr>
                <w:sz w:val="17"/>
                <w:szCs w:val="21"/>
                <w:lang w:val="fr-FR"/>
              </w:rPr>
              <w:t xml:space="preserve"> – </w:t>
            </w:r>
          </w:p>
        </w:tc>
        <w:tc>
          <w:tcPr>
            <w:tcW w:w="1410" w:type="dxa"/>
            <w:shd w:val="clear" w:color="auto" w:fill="auto"/>
            <w:vAlign w:val="bottom"/>
          </w:tcPr>
          <w:p w14:paraId="44B934E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21"/>
                <w:lang w:val="fr-FR"/>
              </w:rPr>
            </w:pPr>
            <w:r w:rsidRPr="00A66C9F">
              <w:rPr>
                <w:sz w:val="17"/>
                <w:lang w:val="fr-FR"/>
              </w:rPr>
              <w:t>25</w:t>
            </w:r>
          </w:p>
        </w:tc>
      </w:tr>
      <w:tr w:rsidR="00744544" w:rsidRPr="00A66C9F" w14:paraId="2C0C9DA0" w14:textId="77777777" w:rsidTr="00107D5D">
        <w:tc>
          <w:tcPr>
            <w:tcW w:w="4500" w:type="dxa"/>
            <w:shd w:val="clear" w:color="auto" w:fill="auto"/>
            <w:vAlign w:val="bottom"/>
          </w:tcPr>
          <w:p w14:paraId="7D797CD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21"/>
                <w:lang w:val="fr-FR"/>
              </w:rPr>
            </w:pPr>
            <w:r w:rsidRPr="00A66C9F">
              <w:rPr>
                <w:sz w:val="17"/>
                <w:lang w:val="fr-FR"/>
              </w:rPr>
              <w:t>Créances sur l’ONU</w:t>
            </w:r>
          </w:p>
        </w:tc>
        <w:tc>
          <w:tcPr>
            <w:tcW w:w="1410" w:type="dxa"/>
            <w:shd w:val="clear" w:color="auto" w:fill="auto"/>
            <w:vAlign w:val="bottom"/>
          </w:tcPr>
          <w:p w14:paraId="38B80C8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21"/>
                <w:lang w:val="fr-FR"/>
              </w:rPr>
            </w:pPr>
            <w:r w:rsidRPr="00A66C9F">
              <w:rPr>
                <w:sz w:val="17"/>
                <w:lang w:val="fr-FR"/>
              </w:rPr>
              <w:t xml:space="preserve"> 6 039 </w:t>
            </w:r>
          </w:p>
        </w:tc>
        <w:tc>
          <w:tcPr>
            <w:tcW w:w="1410" w:type="dxa"/>
            <w:shd w:val="clear" w:color="auto" w:fill="auto"/>
            <w:vAlign w:val="bottom"/>
          </w:tcPr>
          <w:p w14:paraId="07C502E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21"/>
                <w:lang w:val="fr-FR"/>
              </w:rPr>
            </w:pPr>
            <w:r w:rsidRPr="00A66C9F">
              <w:rPr>
                <w:sz w:val="17"/>
                <w:lang w:val="fr-FR"/>
              </w:rPr>
              <w:t>2 339</w:t>
            </w:r>
          </w:p>
        </w:tc>
      </w:tr>
      <w:tr w:rsidR="00744544" w:rsidRPr="00A66C9F" w14:paraId="7F3FC3A6" w14:textId="77777777" w:rsidTr="00107D5D">
        <w:tc>
          <w:tcPr>
            <w:tcW w:w="4500" w:type="dxa"/>
            <w:tcBorders>
              <w:bottom w:val="single" w:sz="4" w:space="0" w:color="auto"/>
            </w:tcBorders>
            <w:shd w:val="clear" w:color="auto" w:fill="auto"/>
            <w:vAlign w:val="bottom"/>
          </w:tcPr>
          <w:p w14:paraId="7B07D0D3" w14:textId="77777777" w:rsidR="00744544" w:rsidRPr="00A66C9F" w:rsidRDefault="00744544" w:rsidP="00107D5D">
            <w:pPr>
              <w:tabs>
                <w:tab w:val="left" w:pos="288"/>
                <w:tab w:val="left" w:pos="576"/>
                <w:tab w:val="left" w:pos="864"/>
                <w:tab w:val="left" w:pos="1152"/>
              </w:tabs>
              <w:suppressAutoHyphens/>
              <w:spacing w:before="40" w:after="81" w:line="210" w:lineRule="exact"/>
              <w:ind w:right="40"/>
              <w:rPr>
                <w:sz w:val="17"/>
                <w:szCs w:val="21"/>
                <w:lang w:val="fr-FR"/>
              </w:rPr>
            </w:pPr>
            <w:r w:rsidRPr="00A66C9F">
              <w:rPr>
                <w:sz w:val="17"/>
                <w:lang w:val="fr-FR"/>
              </w:rPr>
              <w:t xml:space="preserve">Créances diverses </w:t>
            </w:r>
          </w:p>
        </w:tc>
        <w:tc>
          <w:tcPr>
            <w:tcW w:w="1410" w:type="dxa"/>
            <w:tcBorders>
              <w:bottom w:val="single" w:sz="4" w:space="0" w:color="auto"/>
            </w:tcBorders>
            <w:shd w:val="clear" w:color="auto" w:fill="auto"/>
            <w:vAlign w:val="bottom"/>
          </w:tcPr>
          <w:p w14:paraId="75E3165A"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21"/>
                <w:lang w:val="fr-FR"/>
              </w:rPr>
            </w:pPr>
            <w:r w:rsidRPr="00A66C9F">
              <w:rPr>
                <w:sz w:val="17"/>
                <w:lang w:val="fr-FR"/>
              </w:rPr>
              <w:t xml:space="preserve"> 659 </w:t>
            </w:r>
          </w:p>
        </w:tc>
        <w:tc>
          <w:tcPr>
            <w:tcW w:w="1410" w:type="dxa"/>
            <w:tcBorders>
              <w:bottom w:val="single" w:sz="4" w:space="0" w:color="auto"/>
            </w:tcBorders>
            <w:shd w:val="clear" w:color="auto" w:fill="auto"/>
            <w:vAlign w:val="bottom"/>
          </w:tcPr>
          <w:p w14:paraId="23DD6386"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21"/>
                <w:lang w:val="fr-FR"/>
              </w:rPr>
            </w:pPr>
            <w:r w:rsidRPr="00A66C9F">
              <w:rPr>
                <w:sz w:val="17"/>
                <w:lang w:val="fr-FR"/>
              </w:rPr>
              <w:t>579</w:t>
            </w:r>
          </w:p>
        </w:tc>
      </w:tr>
      <w:tr w:rsidR="00744544" w:rsidRPr="00A66C9F" w14:paraId="4C87C446" w14:textId="77777777" w:rsidTr="00107D5D">
        <w:tc>
          <w:tcPr>
            <w:tcW w:w="4500" w:type="dxa"/>
            <w:tcBorders>
              <w:top w:val="single" w:sz="4" w:space="0" w:color="auto"/>
              <w:bottom w:val="single" w:sz="12" w:space="0" w:color="auto"/>
            </w:tcBorders>
            <w:shd w:val="clear" w:color="auto" w:fill="auto"/>
            <w:vAlign w:val="bottom"/>
          </w:tcPr>
          <w:p w14:paraId="4C41AB71" w14:textId="77777777" w:rsidR="00744544" w:rsidRPr="00A66C9F" w:rsidRDefault="00744544" w:rsidP="00107D5D">
            <w:pPr>
              <w:tabs>
                <w:tab w:val="left" w:pos="288"/>
                <w:tab w:val="left" w:pos="576"/>
                <w:tab w:val="left" w:pos="864"/>
                <w:tab w:val="left" w:pos="1152"/>
              </w:tabs>
              <w:suppressAutoHyphens/>
              <w:spacing w:before="81" w:after="81" w:line="210" w:lineRule="exact"/>
              <w:ind w:right="40"/>
              <w:rPr>
                <w:rFonts w:eastAsia="Times New Roman"/>
                <w:b/>
                <w:color w:val="000000"/>
                <w:sz w:val="17"/>
                <w:szCs w:val="21"/>
                <w:lang w:val="fr-FR"/>
              </w:rPr>
            </w:pPr>
            <w:r w:rsidRPr="00A66C9F">
              <w:rPr>
                <w:rFonts w:eastAsia="Times New Roman"/>
                <w:b/>
                <w:color w:val="000000"/>
                <w:sz w:val="17"/>
                <w:szCs w:val="21"/>
                <w:lang w:val="fr-FR"/>
              </w:rPr>
              <w:tab/>
              <w:t>Total</w:t>
            </w:r>
          </w:p>
        </w:tc>
        <w:tc>
          <w:tcPr>
            <w:tcW w:w="1410" w:type="dxa"/>
            <w:tcBorders>
              <w:top w:val="single" w:sz="4" w:space="0" w:color="auto"/>
              <w:bottom w:val="single" w:sz="12" w:space="0" w:color="auto"/>
            </w:tcBorders>
            <w:shd w:val="clear" w:color="auto" w:fill="auto"/>
            <w:vAlign w:val="bottom"/>
          </w:tcPr>
          <w:p w14:paraId="0E5AFCE0"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szCs w:val="21"/>
                <w:lang w:val="fr-FR"/>
              </w:rPr>
            </w:pPr>
            <w:r w:rsidRPr="00A66C9F">
              <w:rPr>
                <w:b/>
                <w:sz w:val="17"/>
                <w:lang w:val="fr-FR"/>
              </w:rPr>
              <w:t xml:space="preserve"> 25 398 </w:t>
            </w:r>
          </w:p>
        </w:tc>
        <w:tc>
          <w:tcPr>
            <w:tcW w:w="1410" w:type="dxa"/>
            <w:tcBorders>
              <w:top w:val="single" w:sz="4" w:space="0" w:color="auto"/>
              <w:bottom w:val="single" w:sz="12" w:space="0" w:color="auto"/>
            </w:tcBorders>
            <w:shd w:val="clear" w:color="auto" w:fill="auto"/>
            <w:vAlign w:val="bottom"/>
          </w:tcPr>
          <w:p w14:paraId="53A3C34A"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szCs w:val="21"/>
                <w:lang w:val="fr-FR"/>
              </w:rPr>
            </w:pPr>
            <w:r w:rsidRPr="00A66C9F">
              <w:rPr>
                <w:b/>
                <w:sz w:val="17"/>
                <w:lang w:val="fr-FR"/>
              </w:rPr>
              <w:t>22 068</w:t>
            </w:r>
          </w:p>
        </w:tc>
      </w:tr>
    </w:tbl>
    <w:p w14:paraId="0F819BD5" w14:textId="77777777" w:rsidR="00744544" w:rsidRPr="00A66C9F" w:rsidRDefault="00744544" w:rsidP="00744544">
      <w:pPr>
        <w:pStyle w:val="SingleTxt"/>
        <w:spacing w:after="0" w:line="120" w:lineRule="exact"/>
        <w:rPr>
          <w:sz w:val="10"/>
          <w:lang w:val="fr-FR"/>
        </w:rPr>
      </w:pPr>
      <w:bookmarkStart w:id="202" w:name="_MON_1427900620"/>
      <w:bookmarkEnd w:id="202"/>
    </w:p>
    <w:p w14:paraId="7A43EB27" w14:textId="77777777" w:rsidR="00744544" w:rsidRPr="00A66C9F" w:rsidRDefault="00744544" w:rsidP="00744544">
      <w:pPr>
        <w:pStyle w:val="SingleTxt"/>
        <w:spacing w:after="0" w:line="120" w:lineRule="exact"/>
        <w:rPr>
          <w:sz w:val="10"/>
          <w:lang w:val="fr-FR"/>
        </w:rPr>
      </w:pPr>
    </w:p>
    <w:p w14:paraId="1AA140E4" w14:textId="77777777" w:rsidR="00744544" w:rsidRPr="00A66C9F" w:rsidRDefault="00744544" w:rsidP="00744544">
      <w:pPr>
        <w:pStyle w:val="SingleTxt"/>
        <w:spacing w:after="0" w:line="120" w:lineRule="exact"/>
        <w:rPr>
          <w:sz w:val="10"/>
          <w:lang w:val="fr-FR"/>
        </w:rPr>
      </w:pPr>
    </w:p>
    <w:p w14:paraId="374318E9"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szCs w:val="20"/>
          <w:lang w:val="fr-FR"/>
        </w:rPr>
        <w:tab/>
        <w:t>9.1</w:t>
      </w:r>
      <w:r w:rsidRPr="00A66C9F">
        <w:rPr>
          <w:szCs w:val="20"/>
          <w:lang w:val="fr-FR"/>
        </w:rPr>
        <w:tab/>
        <w:t>Prestations</w:t>
      </w:r>
      <w:r w:rsidRPr="00A66C9F">
        <w:rPr>
          <w:lang w:val="fr-FR"/>
        </w:rPr>
        <w:t xml:space="preserve"> servies par anticipation et prestations à recouvrer</w:t>
      </w:r>
    </w:p>
    <w:p w14:paraId="241F7152" w14:textId="77777777" w:rsidR="00744544" w:rsidRPr="00A66C9F" w:rsidRDefault="00744544" w:rsidP="00744544">
      <w:pPr>
        <w:pStyle w:val="SingleTxt"/>
        <w:spacing w:after="0" w:line="120" w:lineRule="exact"/>
        <w:rPr>
          <w:sz w:val="10"/>
          <w:lang w:val="fr-FR"/>
        </w:rPr>
      </w:pPr>
    </w:p>
    <w:p w14:paraId="654B25FC" w14:textId="77777777" w:rsidR="00744544" w:rsidRPr="00A66C9F" w:rsidRDefault="00744544" w:rsidP="00753AB8">
      <w:pPr>
        <w:pStyle w:val="SingleTxt"/>
        <w:numPr>
          <w:ilvl w:val="0"/>
          <w:numId w:val="15"/>
        </w:numPr>
        <w:spacing w:line="240" w:lineRule="exact"/>
        <w:rPr>
          <w:szCs w:val="20"/>
          <w:lang w:val="fr-FR"/>
        </w:rPr>
      </w:pPr>
      <w:r w:rsidRPr="00A66C9F">
        <w:rPr>
          <w:lang w:val="fr-FR"/>
        </w:rPr>
        <w:t>Le tableau ci-dessous donne un aperçu des paiements par anticipation et autres créances de la Caisse.</w:t>
      </w:r>
    </w:p>
    <w:p w14:paraId="0EFD3487" w14:textId="77777777" w:rsidR="00744544" w:rsidRPr="00A66C9F" w:rsidRDefault="00744544" w:rsidP="00744544">
      <w:pPr>
        <w:pStyle w:val="SingleTxt"/>
        <w:spacing w:after="0" w:line="120" w:lineRule="exact"/>
        <w:rPr>
          <w:sz w:val="10"/>
          <w:lang w:val="fr-FR"/>
        </w:rPr>
      </w:pPr>
    </w:p>
    <w:p w14:paraId="22D4DBD0" w14:textId="77777777" w:rsidR="00744544" w:rsidRPr="00A66C9F" w:rsidRDefault="00744544" w:rsidP="0074454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lang w:val="fr-FR"/>
        </w:rPr>
        <w:tab/>
      </w:r>
      <w:r w:rsidRPr="00A66C9F">
        <w:rPr>
          <w:lang w:val="fr-FR"/>
        </w:rPr>
        <w:tab/>
      </w:r>
      <w:r w:rsidRPr="00A66C9F">
        <w:rPr>
          <w:sz w:val="14"/>
          <w:szCs w:val="14"/>
          <w:lang w:val="fr-FR"/>
        </w:rPr>
        <w:t>(En milliers de dollars des États-Unis)</w:t>
      </w:r>
    </w:p>
    <w:p w14:paraId="5B0179F3" w14:textId="77777777" w:rsidR="00744544" w:rsidRPr="00A66C9F" w:rsidRDefault="00744544" w:rsidP="00744544">
      <w:pPr>
        <w:pStyle w:val="SingleTxt"/>
        <w:spacing w:after="0" w:line="120" w:lineRule="exact"/>
        <w:rPr>
          <w:sz w:val="10"/>
          <w:szCs w:val="14"/>
          <w:lang w:val="fr-FR"/>
        </w:rPr>
      </w:pPr>
    </w:p>
    <w:p w14:paraId="62B052BD" w14:textId="77777777" w:rsidR="00744544" w:rsidRPr="00A66C9F" w:rsidRDefault="00744544" w:rsidP="00744544">
      <w:pPr>
        <w:pStyle w:val="SingleTxt"/>
        <w:spacing w:after="0" w:line="120" w:lineRule="exact"/>
        <w:rPr>
          <w:sz w:val="10"/>
          <w:szCs w:val="14"/>
          <w:lang w:val="fr-FR"/>
        </w:rPr>
      </w:pPr>
    </w:p>
    <w:tbl>
      <w:tblPr>
        <w:tblW w:w="7320" w:type="dxa"/>
        <w:tblInd w:w="1260" w:type="dxa"/>
        <w:tblLayout w:type="fixed"/>
        <w:tblCellMar>
          <w:left w:w="0" w:type="dxa"/>
          <w:right w:w="0" w:type="dxa"/>
        </w:tblCellMar>
        <w:tblLook w:val="00A0" w:firstRow="1" w:lastRow="0" w:firstColumn="1" w:lastColumn="0" w:noHBand="0" w:noVBand="0"/>
      </w:tblPr>
      <w:tblGrid>
        <w:gridCol w:w="4491"/>
        <w:gridCol w:w="1414"/>
        <w:gridCol w:w="1415"/>
      </w:tblGrid>
      <w:tr w:rsidR="00744544" w:rsidRPr="00A66C9F" w14:paraId="76CDBA89" w14:textId="77777777" w:rsidTr="00107D5D">
        <w:trPr>
          <w:trHeight w:val="288"/>
          <w:tblHeader/>
        </w:trPr>
        <w:tc>
          <w:tcPr>
            <w:tcW w:w="4491" w:type="dxa"/>
            <w:tcBorders>
              <w:top w:val="single" w:sz="4" w:space="0" w:color="auto"/>
              <w:bottom w:val="single" w:sz="12" w:space="0" w:color="auto"/>
            </w:tcBorders>
            <w:shd w:val="clear" w:color="auto" w:fill="auto"/>
            <w:vAlign w:val="bottom"/>
          </w:tcPr>
          <w:p w14:paraId="21631958" w14:textId="77777777" w:rsidR="00744544" w:rsidRPr="00A66C9F" w:rsidRDefault="00744544" w:rsidP="00107D5D">
            <w:pPr>
              <w:pStyle w:val="BodyText"/>
              <w:keepNext/>
              <w:keepLines/>
              <w:suppressAutoHyphens/>
              <w:spacing w:before="81" w:beforeAutospacing="1" w:after="81" w:afterAutospacing="1" w:line="160" w:lineRule="exact"/>
              <w:ind w:right="40"/>
              <w:jc w:val="left"/>
              <w:rPr>
                <w:bCs/>
                <w:i/>
                <w:iCs/>
                <w:color w:val="000000"/>
                <w:spacing w:val="4"/>
                <w:w w:val="103"/>
                <w:kern w:val="14"/>
                <w:sz w:val="14"/>
                <w:szCs w:val="24"/>
                <w:lang w:val="fr-FR"/>
              </w:rPr>
            </w:pPr>
          </w:p>
        </w:tc>
        <w:tc>
          <w:tcPr>
            <w:tcW w:w="1414" w:type="dxa"/>
            <w:tcBorders>
              <w:top w:val="single" w:sz="4" w:space="0" w:color="auto"/>
              <w:bottom w:val="single" w:sz="12" w:space="0" w:color="auto"/>
            </w:tcBorders>
            <w:shd w:val="clear" w:color="auto" w:fill="auto"/>
            <w:vAlign w:val="bottom"/>
          </w:tcPr>
          <w:p w14:paraId="71D00208" w14:textId="77777777" w:rsidR="00744544" w:rsidRPr="00A66C9F" w:rsidDel="005F43B7" w:rsidRDefault="00744544" w:rsidP="00107D5D">
            <w:pPr>
              <w:pStyle w:val="BodyText"/>
              <w:keepNext/>
              <w:keepLines/>
              <w:suppressAutoHyphens/>
              <w:spacing w:before="81" w:after="81" w:line="160" w:lineRule="exact"/>
              <w:ind w:right="43"/>
              <w:jc w:val="right"/>
              <w:rPr>
                <w:bCs/>
                <w:i/>
                <w:iCs/>
                <w:spacing w:val="4"/>
                <w:w w:val="103"/>
                <w:kern w:val="14"/>
                <w:sz w:val="14"/>
                <w:lang w:val="fr-FR"/>
              </w:rPr>
            </w:pPr>
            <w:r w:rsidRPr="00A66C9F">
              <w:rPr>
                <w:i/>
                <w:iCs/>
                <w:spacing w:val="4"/>
                <w:w w:val="103"/>
                <w:kern w:val="14"/>
                <w:sz w:val="14"/>
                <w:lang w:val="fr-FR"/>
              </w:rPr>
              <w:t>31 décembre 2019</w:t>
            </w:r>
          </w:p>
        </w:tc>
        <w:tc>
          <w:tcPr>
            <w:tcW w:w="1415" w:type="dxa"/>
            <w:tcBorders>
              <w:top w:val="single" w:sz="4" w:space="0" w:color="auto"/>
              <w:bottom w:val="single" w:sz="12" w:space="0" w:color="auto"/>
            </w:tcBorders>
            <w:shd w:val="clear" w:color="auto" w:fill="auto"/>
            <w:vAlign w:val="bottom"/>
          </w:tcPr>
          <w:p w14:paraId="53EAEE88" w14:textId="77777777" w:rsidR="00744544" w:rsidRPr="00A66C9F" w:rsidRDefault="00744544" w:rsidP="00107D5D">
            <w:pPr>
              <w:pStyle w:val="BodyText"/>
              <w:keepNext/>
              <w:keepLines/>
              <w:suppressAutoHyphens/>
              <w:spacing w:before="81" w:after="81" w:line="160" w:lineRule="exact"/>
              <w:ind w:right="43"/>
              <w:jc w:val="right"/>
              <w:rPr>
                <w:bCs/>
                <w:i/>
                <w:iCs/>
                <w:spacing w:val="4"/>
                <w:w w:val="103"/>
                <w:kern w:val="14"/>
                <w:sz w:val="14"/>
                <w:szCs w:val="24"/>
                <w:lang w:val="fr-FR"/>
              </w:rPr>
            </w:pPr>
            <w:r w:rsidRPr="00A66C9F">
              <w:rPr>
                <w:i/>
                <w:iCs/>
                <w:spacing w:val="4"/>
                <w:w w:val="103"/>
                <w:kern w:val="14"/>
                <w:sz w:val="14"/>
                <w:lang w:val="fr-FR"/>
              </w:rPr>
              <w:t>31 décembre 2018</w:t>
            </w:r>
          </w:p>
        </w:tc>
      </w:tr>
      <w:tr w:rsidR="00744544" w:rsidRPr="00A66C9F" w14:paraId="226781AC" w14:textId="77777777" w:rsidTr="00107D5D">
        <w:trPr>
          <w:trHeight w:hRule="exact" w:val="115"/>
          <w:tblHeader/>
        </w:trPr>
        <w:tc>
          <w:tcPr>
            <w:tcW w:w="4491" w:type="dxa"/>
            <w:tcBorders>
              <w:top w:val="single" w:sz="12" w:space="0" w:color="auto"/>
            </w:tcBorders>
            <w:shd w:val="clear" w:color="auto" w:fill="auto"/>
            <w:vAlign w:val="bottom"/>
          </w:tcPr>
          <w:p w14:paraId="4D79FF86" w14:textId="77777777" w:rsidR="00744544" w:rsidRPr="00A66C9F" w:rsidRDefault="00744544" w:rsidP="00107D5D">
            <w:pPr>
              <w:keepNext/>
              <w:keepLines/>
              <w:suppressAutoHyphens/>
              <w:spacing w:before="40" w:beforeAutospacing="1" w:after="40" w:afterAutospacing="1" w:line="210" w:lineRule="exact"/>
              <w:ind w:right="40"/>
              <w:rPr>
                <w:sz w:val="17"/>
                <w:lang w:val="fr-FR"/>
              </w:rPr>
            </w:pPr>
          </w:p>
        </w:tc>
        <w:tc>
          <w:tcPr>
            <w:tcW w:w="1414" w:type="dxa"/>
            <w:tcBorders>
              <w:top w:val="single" w:sz="12" w:space="0" w:color="auto"/>
            </w:tcBorders>
            <w:shd w:val="clear" w:color="auto" w:fill="auto"/>
            <w:vAlign w:val="bottom"/>
          </w:tcPr>
          <w:p w14:paraId="5C4C84EE" w14:textId="77777777" w:rsidR="00744544" w:rsidRPr="00A66C9F" w:rsidRDefault="00744544" w:rsidP="00107D5D">
            <w:pPr>
              <w:pStyle w:val="BodyText"/>
              <w:keepNext/>
              <w:keepLines/>
              <w:suppressAutoHyphens/>
              <w:autoSpaceDE w:val="0"/>
              <w:autoSpaceDN w:val="0"/>
              <w:adjustRightInd w:val="0"/>
              <w:spacing w:before="40" w:beforeAutospacing="1" w:after="40" w:afterAutospacing="1" w:line="210" w:lineRule="exact"/>
              <w:ind w:right="43"/>
              <w:jc w:val="right"/>
              <w:rPr>
                <w:spacing w:val="4"/>
                <w:w w:val="103"/>
                <w:kern w:val="14"/>
                <w:sz w:val="17"/>
                <w:lang w:val="fr-FR"/>
              </w:rPr>
            </w:pPr>
          </w:p>
        </w:tc>
        <w:tc>
          <w:tcPr>
            <w:tcW w:w="1415" w:type="dxa"/>
            <w:tcBorders>
              <w:top w:val="single" w:sz="12" w:space="0" w:color="auto"/>
            </w:tcBorders>
            <w:shd w:val="clear" w:color="auto" w:fill="auto"/>
            <w:vAlign w:val="bottom"/>
          </w:tcPr>
          <w:p w14:paraId="7E9482B6" w14:textId="77777777" w:rsidR="00744544" w:rsidRPr="00A66C9F" w:rsidRDefault="00744544" w:rsidP="00107D5D">
            <w:pPr>
              <w:pStyle w:val="BodyText"/>
              <w:keepNext/>
              <w:keepLines/>
              <w:suppressAutoHyphens/>
              <w:autoSpaceDE w:val="0"/>
              <w:autoSpaceDN w:val="0"/>
              <w:adjustRightInd w:val="0"/>
              <w:spacing w:before="40" w:beforeAutospacing="1" w:after="40" w:afterAutospacing="1" w:line="210" w:lineRule="exact"/>
              <w:ind w:right="43"/>
              <w:jc w:val="right"/>
              <w:rPr>
                <w:spacing w:val="4"/>
                <w:w w:val="103"/>
                <w:kern w:val="14"/>
                <w:sz w:val="17"/>
                <w:lang w:val="fr-FR"/>
              </w:rPr>
            </w:pPr>
          </w:p>
        </w:tc>
      </w:tr>
      <w:tr w:rsidR="00744544" w:rsidRPr="00A66C9F" w14:paraId="3950847D" w14:textId="77777777" w:rsidTr="00107D5D">
        <w:trPr>
          <w:trHeight w:val="288"/>
        </w:trPr>
        <w:tc>
          <w:tcPr>
            <w:tcW w:w="4491" w:type="dxa"/>
            <w:shd w:val="clear" w:color="auto" w:fill="auto"/>
            <w:vAlign w:val="bottom"/>
          </w:tcPr>
          <w:p w14:paraId="77E65934"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rPr>
                <w:b/>
                <w:sz w:val="17"/>
                <w:szCs w:val="17"/>
                <w:lang w:val="fr-FR"/>
              </w:rPr>
            </w:pPr>
            <w:r w:rsidRPr="00A66C9F">
              <w:rPr>
                <w:sz w:val="17"/>
                <w:lang w:val="fr-FR"/>
              </w:rPr>
              <w:t>Charges payées d’avance</w:t>
            </w:r>
          </w:p>
        </w:tc>
        <w:tc>
          <w:tcPr>
            <w:tcW w:w="1414" w:type="dxa"/>
            <w:shd w:val="clear" w:color="auto" w:fill="auto"/>
            <w:vAlign w:val="bottom"/>
          </w:tcPr>
          <w:p w14:paraId="5AF92928" w14:textId="77777777" w:rsidR="00744544" w:rsidRPr="00A66C9F" w:rsidRDefault="00744544" w:rsidP="00107D5D">
            <w:pPr>
              <w:pStyle w:val="BodyText"/>
              <w:keepNext/>
              <w:keepLines/>
              <w:tabs>
                <w:tab w:val="left" w:pos="288"/>
                <w:tab w:val="left" w:pos="576"/>
                <w:tab w:val="left" w:pos="864"/>
                <w:tab w:val="left" w:pos="1152"/>
              </w:tabs>
              <w:suppressAutoHyphens/>
              <w:autoSpaceDE w:val="0"/>
              <w:autoSpaceDN w:val="0"/>
              <w:adjustRightInd w:val="0"/>
              <w:spacing w:before="40" w:after="40" w:line="210" w:lineRule="exact"/>
              <w:ind w:right="43"/>
              <w:jc w:val="right"/>
              <w:rPr>
                <w:spacing w:val="4"/>
                <w:w w:val="103"/>
                <w:kern w:val="14"/>
                <w:sz w:val="17"/>
                <w:szCs w:val="17"/>
                <w:lang w:val="fr-FR"/>
              </w:rPr>
            </w:pPr>
            <w:r w:rsidRPr="00A66C9F">
              <w:rPr>
                <w:spacing w:val="4"/>
                <w:w w:val="103"/>
                <w:kern w:val="14"/>
                <w:sz w:val="17"/>
                <w:lang w:val="fr-FR"/>
              </w:rPr>
              <w:t xml:space="preserve"> 4 206</w:t>
            </w:r>
          </w:p>
        </w:tc>
        <w:tc>
          <w:tcPr>
            <w:tcW w:w="1415" w:type="dxa"/>
            <w:shd w:val="clear" w:color="auto" w:fill="auto"/>
            <w:vAlign w:val="bottom"/>
          </w:tcPr>
          <w:p w14:paraId="23ACDABF" w14:textId="77777777" w:rsidR="00744544" w:rsidRPr="00A66C9F" w:rsidRDefault="00744544" w:rsidP="00107D5D">
            <w:pPr>
              <w:pStyle w:val="BodyText"/>
              <w:keepNext/>
              <w:keepLines/>
              <w:tabs>
                <w:tab w:val="left" w:pos="288"/>
                <w:tab w:val="left" w:pos="576"/>
                <w:tab w:val="left" w:pos="864"/>
                <w:tab w:val="left" w:pos="1152"/>
              </w:tabs>
              <w:suppressAutoHyphens/>
              <w:autoSpaceDE w:val="0"/>
              <w:autoSpaceDN w:val="0"/>
              <w:adjustRightInd w:val="0"/>
              <w:spacing w:before="40" w:after="40" w:line="210" w:lineRule="exact"/>
              <w:ind w:right="43"/>
              <w:jc w:val="right"/>
              <w:rPr>
                <w:spacing w:val="4"/>
                <w:w w:val="103"/>
                <w:kern w:val="14"/>
                <w:sz w:val="17"/>
                <w:szCs w:val="17"/>
                <w:lang w:val="fr-FR"/>
              </w:rPr>
            </w:pPr>
            <w:r w:rsidRPr="00A66C9F">
              <w:rPr>
                <w:spacing w:val="4"/>
                <w:w w:val="103"/>
                <w:kern w:val="14"/>
                <w:sz w:val="17"/>
                <w:lang w:val="fr-FR"/>
              </w:rPr>
              <w:t>3 267</w:t>
            </w:r>
          </w:p>
        </w:tc>
      </w:tr>
      <w:tr w:rsidR="00744544" w:rsidRPr="00A66C9F" w14:paraId="71817D47" w14:textId="77777777" w:rsidTr="00107D5D">
        <w:trPr>
          <w:trHeight w:val="288"/>
        </w:trPr>
        <w:tc>
          <w:tcPr>
            <w:tcW w:w="4491" w:type="dxa"/>
            <w:shd w:val="clear" w:color="auto" w:fill="auto"/>
            <w:vAlign w:val="bottom"/>
          </w:tcPr>
          <w:p w14:paraId="60F7849A"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Avances au titre des prestations du fait de la conversion des données relatives aux états de paiement</w:t>
            </w:r>
          </w:p>
        </w:tc>
        <w:tc>
          <w:tcPr>
            <w:tcW w:w="1414" w:type="dxa"/>
            <w:shd w:val="clear" w:color="auto" w:fill="auto"/>
            <w:vAlign w:val="bottom"/>
          </w:tcPr>
          <w:p w14:paraId="12A6F5F1" w14:textId="77777777" w:rsidR="00744544" w:rsidRPr="00A66C9F" w:rsidRDefault="00744544" w:rsidP="00107D5D">
            <w:pPr>
              <w:pStyle w:val="BodyText"/>
              <w:keepNext/>
              <w:keepLines/>
              <w:tabs>
                <w:tab w:val="left" w:pos="288"/>
                <w:tab w:val="left" w:pos="576"/>
                <w:tab w:val="left" w:pos="864"/>
                <w:tab w:val="left" w:pos="1152"/>
              </w:tabs>
              <w:suppressAutoHyphens/>
              <w:autoSpaceDE w:val="0"/>
              <w:autoSpaceDN w:val="0"/>
              <w:adjustRightInd w:val="0"/>
              <w:spacing w:before="40" w:after="40" w:line="210" w:lineRule="exact"/>
              <w:ind w:right="43"/>
              <w:jc w:val="right"/>
              <w:rPr>
                <w:spacing w:val="4"/>
                <w:w w:val="103"/>
                <w:kern w:val="14"/>
                <w:sz w:val="17"/>
                <w:szCs w:val="17"/>
                <w:lang w:val="fr-FR"/>
              </w:rPr>
            </w:pPr>
            <w:r w:rsidRPr="00A66C9F">
              <w:rPr>
                <w:spacing w:val="4"/>
                <w:w w:val="103"/>
                <w:kern w:val="14"/>
                <w:sz w:val="17"/>
                <w:lang w:val="fr-FR"/>
              </w:rPr>
              <w:t>6 345</w:t>
            </w:r>
          </w:p>
        </w:tc>
        <w:tc>
          <w:tcPr>
            <w:tcW w:w="1415" w:type="dxa"/>
            <w:shd w:val="clear" w:color="auto" w:fill="auto"/>
            <w:vAlign w:val="bottom"/>
          </w:tcPr>
          <w:p w14:paraId="2A35EAE8" w14:textId="77777777" w:rsidR="00744544" w:rsidRPr="00A66C9F" w:rsidRDefault="00744544" w:rsidP="00107D5D">
            <w:pPr>
              <w:pStyle w:val="BodyText"/>
              <w:keepNext/>
              <w:keepLines/>
              <w:tabs>
                <w:tab w:val="left" w:pos="288"/>
                <w:tab w:val="left" w:pos="576"/>
                <w:tab w:val="left" w:pos="864"/>
                <w:tab w:val="left" w:pos="1152"/>
              </w:tabs>
              <w:suppressAutoHyphens/>
              <w:autoSpaceDE w:val="0"/>
              <w:autoSpaceDN w:val="0"/>
              <w:adjustRightInd w:val="0"/>
              <w:spacing w:before="40" w:after="40" w:line="210" w:lineRule="exact"/>
              <w:ind w:right="43"/>
              <w:jc w:val="right"/>
              <w:rPr>
                <w:spacing w:val="4"/>
                <w:w w:val="103"/>
                <w:kern w:val="14"/>
                <w:sz w:val="17"/>
                <w:szCs w:val="17"/>
                <w:lang w:val="fr-FR"/>
              </w:rPr>
            </w:pPr>
            <w:r w:rsidRPr="00A66C9F">
              <w:rPr>
                <w:spacing w:val="4"/>
                <w:w w:val="103"/>
                <w:kern w:val="14"/>
                <w:sz w:val="17"/>
                <w:lang w:val="fr-FR"/>
              </w:rPr>
              <w:t>7 484</w:t>
            </w:r>
          </w:p>
        </w:tc>
      </w:tr>
      <w:tr w:rsidR="00744544" w:rsidRPr="00A66C9F" w14:paraId="5213B850" w14:textId="77777777" w:rsidTr="00107D5D">
        <w:trPr>
          <w:trHeight w:val="288"/>
        </w:trPr>
        <w:tc>
          <w:tcPr>
            <w:tcW w:w="4491" w:type="dxa"/>
            <w:shd w:val="clear" w:color="auto" w:fill="auto"/>
            <w:vAlign w:val="bottom"/>
          </w:tcPr>
          <w:p w14:paraId="0FAFF313"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Prestations à recouvrer</w:t>
            </w:r>
          </w:p>
        </w:tc>
        <w:tc>
          <w:tcPr>
            <w:tcW w:w="1414" w:type="dxa"/>
            <w:shd w:val="clear" w:color="auto" w:fill="auto"/>
            <w:vAlign w:val="bottom"/>
          </w:tcPr>
          <w:p w14:paraId="6C0CD121" w14:textId="77777777" w:rsidR="00744544" w:rsidRPr="00A66C9F" w:rsidRDefault="00744544" w:rsidP="00107D5D">
            <w:pPr>
              <w:pStyle w:val="BodyText"/>
              <w:keepNext/>
              <w:keepLines/>
              <w:tabs>
                <w:tab w:val="left" w:pos="288"/>
                <w:tab w:val="left" w:pos="576"/>
                <w:tab w:val="left" w:pos="864"/>
                <w:tab w:val="left" w:pos="1152"/>
              </w:tabs>
              <w:suppressAutoHyphens/>
              <w:autoSpaceDE w:val="0"/>
              <w:autoSpaceDN w:val="0"/>
              <w:adjustRightInd w:val="0"/>
              <w:spacing w:before="40" w:after="40" w:line="210" w:lineRule="exact"/>
              <w:ind w:right="43"/>
              <w:jc w:val="right"/>
              <w:rPr>
                <w:spacing w:val="4"/>
                <w:w w:val="103"/>
                <w:kern w:val="14"/>
                <w:sz w:val="17"/>
                <w:szCs w:val="17"/>
                <w:lang w:val="fr-FR"/>
              </w:rPr>
            </w:pPr>
            <w:r w:rsidRPr="00A66C9F">
              <w:rPr>
                <w:spacing w:val="4"/>
                <w:w w:val="103"/>
                <w:kern w:val="14"/>
                <w:sz w:val="17"/>
                <w:lang w:val="fr-FR"/>
              </w:rPr>
              <w:t xml:space="preserve"> 9 075</w:t>
            </w:r>
          </w:p>
        </w:tc>
        <w:tc>
          <w:tcPr>
            <w:tcW w:w="1415" w:type="dxa"/>
            <w:shd w:val="clear" w:color="auto" w:fill="auto"/>
            <w:vAlign w:val="bottom"/>
          </w:tcPr>
          <w:p w14:paraId="42BFC5CA" w14:textId="77777777" w:rsidR="00744544" w:rsidRPr="00A66C9F" w:rsidRDefault="00744544" w:rsidP="00107D5D">
            <w:pPr>
              <w:pStyle w:val="BodyText"/>
              <w:keepNext/>
              <w:keepLines/>
              <w:tabs>
                <w:tab w:val="left" w:pos="288"/>
                <w:tab w:val="left" w:pos="576"/>
                <w:tab w:val="left" w:pos="864"/>
                <w:tab w:val="left" w:pos="1152"/>
              </w:tabs>
              <w:suppressAutoHyphens/>
              <w:autoSpaceDE w:val="0"/>
              <w:autoSpaceDN w:val="0"/>
              <w:adjustRightInd w:val="0"/>
              <w:spacing w:before="40" w:after="40" w:line="210" w:lineRule="exact"/>
              <w:ind w:right="43"/>
              <w:jc w:val="right"/>
              <w:rPr>
                <w:spacing w:val="4"/>
                <w:w w:val="103"/>
                <w:kern w:val="14"/>
                <w:sz w:val="17"/>
                <w:szCs w:val="17"/>
                <w:lang w:val="fr-FR"/>
              </w:rPr>
            </w:pPr>
            <w:r w:rsidRPr="00A66C9F">
              <w:rPr>
                <w:spacing w:val="4"/>
                <w:w w:val="103"/>
                <w:kern w:val="14"/>
                <w:sz w:val="17"/>
                <w:lang w:val="fr-FR"/>
              </w:rPr>
              <w:t>8 764</w:t>
            </w:r>
          </w:p>
        </w:tc>
      </w:tr>
      <w:tr w:rsidR="00744544" w:rsidRPr="00A66C9F" w14:paraId="55C8F815" w14:textId="77777777" w:rsidTr="00107D5D">
        <w:trPr>
          <w:trHeight w:val="288"/>
        </w:trPr>
        <w:tc>
          <w:tcPr>
            <w:tcW w:w="4491" w:type="dxa"/>
            <w:tcBorders>
              <w:bottom w:val="single" w:sz="4" w:space="0" w:color="auto"/>
            </w:tcBorders>
            <w:shd w:val="clear" w:color="auto" w:fill="auto"/>
            <w:vAlign w:val="bottom"/>
          </w:tcPr>
          <w:p w14:paraId="5992BE69" w14:textId="77777777" w:rsidR="00744544" w:rsidRPr="00A66C9F" w:rsidRDefault="00744544" w:rsidP="00107D5D">
            <w:pPr>
              <w:keepNext/>
              <w:keepLines/>
              <w:tabs>
                <w:tab w:val="left" w:pos="288"/>
                <w:tab w:val="left" w:pos="576"/>
                <w:tab w:val="left" w:pos="864"/>
                <w:tab w:val="left" w:pos="1152"/>
              </w:tabs>
              <w:suppressAutoHyphens/>
              <w:spacing w:before="40" w:after="81" w:line="210" w:lineRule="exact"/>
              <w:ind w:right="40"/>
              <w:rPr>
                <w:sz w:val="17"/>
                <w:szCs w:val="17"/>
                <w:lang w:val="fr-FR"/>
              </w:rPr>
            </w:pPr>
            <w:r w:rsidRPr="00A66C9F">
              <w:rPr>
                <w:sz w:val="17"/>
                <w:lang w:val="fr-FR"/>
              </w:rPr>
              <w:t>Prestations à recouvrer – provision</w:t>
            </w:r>
          </w:p>
        </w:tc>
        <w:tc>
          <w:tcPr>
            <w:tcW w:w="1414" w:type="dxa"/>
            <w:tcBorders>
              <w:bottom w:val="single" w:sz="4" w:space="0" w:color="auto"/>
            </w:tcBorders>
            <w:shd w:val="clear" w:color="auto" w:fill="auto"/>
            <w:vAlign w:val="bottom"/>
          </w:tcPr>
          <w:p w14:paraId="6D9FAAD1" w14:textId="77777777" w:rsidR="00744544" w:rsidRPr="00A66C9F" w:rsidRDefault="00744544" w:rsidP="00107D5D">
            <w:pPr>
              <w:pStyle w:val="BodyText"/>
              <w:keepNext/>
              <w:keepLines/>
              <w:tabs>
                <w:tab w:val="left" w:pos="288"/>
                <w:tab w:val="left" w:pos="576"/>
                <w:tab w:val="left" w:pos="864"/>
                <w:tab w:val="left" w:pos="1152"/>
              </w:tabs>
              <w:suppressAutoHyphens/>
              <w:autoSpaceDE w:val="0"/>
              <w:autoSpaceDN w:val="0"/>
              <w:adjustRightInd w:val="0"/>
              <w:spacing w:before="40" w:after="81" w:line="210" w:lineRule="exact"/>
              <w:ind w:right="43"/>
              <w:jc w:val="right"/>
              <w:rPr>
                <w:spacing w:val="4"/>
                <w:w w:val="103"/>
                <w:kern w:val="14"/>
                <w:sz w:val="17"/>
                <w:szCs w:val="17"/>
                <w:lang w:val="fr-FR"/>
              </w:rPr>
            </w:pPr>
            <w:r w:rsidRPr="00A66C9F">
              <w:rPr>
                <w:spacing w:val="4"/>
                <w:w w:val="103"/>
                <w:kern w:val="14"/>
                <w:sz w:val="17"/>
                <w:lang w:val="fr-FR"/>
              </w:rPr>
              <w:t>(4 651)</w:t>
            </w:r>
          </w:p>
        </w:tc>
        <w:tc>
          <w:tcPr>
            <w:tcW w:w="1415" w:type="dxa"/>
            <w:tcBorders>
              <w:bottom w:val="single" w:sz="4" w:space="0" w:color="auto"/>
            </w:tcBorders>
            <w:shd w:val="clear" w:color="auto" w:fill="auto"/>
            <w:vAlign w:val="bottom"/>
          </w:tcPr>
          <w:p w14:paraId="21690A9D" w14:textId="77777777" w:rsidR="00744544" w:rsidRPr="00A66C9F" w:rsidRDefault="00744544" w:rsidP="00107D5D">
            <w:pPr>
              <w:pStyle w:val="BodyText"/>
              <w:keepNext/>
              <w:keepLines/>
              <w:tabs>
                <w:tab w:val="left" w:pos="288"/>
                <w:tab w:val="left" w:pos="576"/>
                <w:tab w:val="left" w:pos="864"/>
                <w:tab w:val="left" w:pos="1152"/>
              </w:tabs>
              <w:suppressAutoHyphens/>
              <w:autoSpaceDE w:val="0"/>
              <w:autoSpaceDN w:val="0"/>
              <w:adjustRightInd w:val="0"/>
              <w:spacing w:before="40" w:after="81" w:line="210" w:lineRule="exact"/>
              <w:ind w:right="43"/>
              <w:jc w:val="right"/>
              <w:rPr>
                <w:spacing w:val="4"/>
                <w:w w:val="103"/>
                <w:kern w:val="14"/>
                <w:sz w:val="17"/>
                <w:szCs w:val="17"/>
                <w:lang w:val="fr-FR"/>
              </w:rPr>
            </w:pPr>
            <w:r w:rsidRPr="00A66C9F">
              <w:rPr>
                <w:spacing w:val="4"/>
                <w:w w:val="103"/>
                <w:kern w:val="14"/>
                <w:sz w:val="17"/>
                <w:lang w:val="fr-FR"/>
              </w:rPr>
              <w:t>(4 331)</w:t>
            </w:r>
          </w:p>
        </w:tc>
      </w:tr>
      <w:tr w:rsidR="00744544" w:rsidRPr="00A66C9F" w14:paraId="1B1EA271" w14:textId="77777777" w:rsidTr="00107D5D">
        <w:trPr>
          <w:trHeight w:val="288"/>
        </w:trPr>
        <w:tc>
          <w:tcPr>
            <w:tcW w:w="4491" w:type="dxa"/>
            <w:tcBorders>
              <w:top w:val="single" w:sz="4" w:space="0" w:color="auto"/>
              <w:bottom w:val="single" w:sz="12" w:space="0" w:color="auto"/>
            </w:tcBorders>
            <w:shd w:val="clear" w:color="auto" w:fill="auto"/>
            <w:vAlign w:val="bottom"/>
          </w:tcPr>
          <w:p w14:paraId="19E22FAC" w14:textId="77777777" w:rsidR="00744544" w:rsidRPr="00A66C9F" w:rsidRDefault="00744544" w:rsidP="00107D5D">
            <w:pPr>
              <w:tabs>
                <w:tab w:val="left" w:pos="288"/>
                <w:tab w:val="left" w:pos="576"/>
                <w:tab w:val="left" w:pos="864"/>
                <w:tab w:val="left" w:pos="1152"/>
              </w:tabs>
              <w:suppressAutoHyphens/>
              <w:spacing w:before="81" w:after="81" w:line="210" w:lineRule="exact"/>
              <w:ind w:right="40"/>
              <w:rPr>
                <w:rFonts w:eastAsia="Times New Roman"/>
                <w:b/>
                <w:color w:val="000000"/>
                <w:sz w:val="17"/>
                <w:szCs w:val="21"/>
                <w:lang w:val="fr-FR"/>
              </w:rPr>
            </w:pPr>
            <w:r w:rsidRPr="00A66C9F">
              <w:rPr>
                <w:rFonts w:eastAsia="Times New Roman"/>
                <w:b/>
                <w:color w:val="000000"/>
                <w:sz w:val="17"/>
                <w:szCs w:val="21"/>
                <w:lang w:val="fr-FR"/>
              </w:rPr>
              <w:tab/>
              <w:t>Total</w:t>
            </w:r>
          </w:p>
        </w:tc>
        <w:tc>
          <w:tcPr>
            <w:tcW w:w="1414" w:type="dxa"/>
            <w:tcBorders>
              <w:top w:val="single" w:sz="4" w:space="0" w:color="auto"/>
              <w:bottom w:val="single" w:sz="12" w:space="0" w:color="auto"/>
            </w:tcBorders>
            <w:shd w:val="clear" w:color="auto" w:fill="auto"/>
            <w:vAlign w:val="bottom"/>
          </w:tcPr>
          <w:p w14:paraId="154B9E7F" w14:textId="77777777" w:rsidR="00744544" w:rsidRPr="00A66C9F" w:rsidRDefault="00744544" w:rsidP="00107D5D">
            <w:pPr>
              <w:tabs>
                <w:tab w:val="left" w:pos="288"/>
                <w:tab w:val="left" w:pos="576"/>
                <w:tab w:val="left" w:pos="864"/>
                <w:tab w:val="left" w:pos="1152"/>
              </w:tabs>
              <w:suppressAutoHyphens/>
              <w:spacing w:before="81" w:after="81" w:line="210" w:lineRule="exact"/>
              <w:ind w:right="40"/>
              <w:jc w:val="right"/>
              <w:rPr>
                <w:rFonts w:eastAsia="Times New Roman"/>
                <w:b/>
                <w:color w:val="000000"/>
                <w:sz w:val="17"/>
                <w:szCs w:val="21"/>
                <w:lang w:val="fr-FR"/>
              </w:rPr>
            </w:pPr>
            <w:r w:rsidRPr="00A66C9F">
              <w:rPr>
                <w:rFonts w:eastAsia="Times New Roman"/>
                <w:b/>
                <w:color w:val="000000"/>
                <w:sz w:val="17"/>
                <w:szCs w:val="21"/>
                <w:lang w:val="fr-FR"/>
              </w:rPr>
              <w:t xml:space="preserve"> </w:t>
            </w:r>
            <w:r w:rsidRPr="00A66C9F">
              <w:rPr>
                <w:rFonts w:eastAsia="Times New Roman"/>
                <w:b/>
                <w:sz w:val="17"/>
                <w:szCs w:val="21"/>
                <w:lang w:val="fr-FR"/>
              </w:rPr>
              <w:t>14</w:t>
            </w:r>
            <w:r w:rsidRPr="00A66C9F">
              <w:rPr>
                <w:rFonts w:eastAsia="Times New Roman"/>
                <w:b/>
                <w:color w:val="000000"/>
                <w:sz w:val="17"/>
                <w:szCs w:val="21"/>
                <w:lang w:val="fr-FR"/>
              </w:rPr>
              <w:t xml:space="preserve"> </w:t>
            </w:r>
            <w:r w:rsidRPr="00A66C9F">
              <w:rPr>
                <w:rFonts w:eastAsia="Times New Roman"/>
                <w:b/>
                <w:sz w:val="17"/>
                <w:szCs w:val="21"/>
                <w:lang w:val="fr-FR"/>
              </w:rPr>
              <w:t>975</w:t>
            </w:r>
          </w:p>
        </w:tc>
        <w:tc>
          <w:tcPr>
            <w:tcW w:w="1415" w:type="dxa"/>
            <w:tcBorders>
              <w:top w:val="single" w:sz="4" w:space="0" w:color="auto"/>
              <w:bottom w:val="single" w:sz="12" w:space="0" w:color="auto"/>
            </w:tcBorders>
            <w:shd w:val="clear" w:color="auto" w:fill="auto"/>
            <w:vAlign w:val="bottom"/>
          </w:tcPr>
          <w:p w14:paraId="110C2CC8" w14:textId="77777777" w:rsidR="00744544" w:rsidRPr="00A66C9F" w:rsidRDefault="00744544" w:rsidP="00107D5D">
            <w:pPr>
              <w:tabs>
                <w:tab w:val="left" w:pos="288"/>
                <w:tab w:val="left" w:pos="576"/>
                <w:tab w:val="left" w:pos="864"/>
                <w:tab w:val="left" w:pos="1152"/>
              </w:tabs>
              <w:suppressAutoHyphens/>
              <w:spacing w:before="81" w:after="81" w:line="210" w:lineRule="exact"/>
              <w:ind w:right="40"/>
              <w:jc w:val="right"/>
              <w:rPr>
                <w:rFonts w:eastAsia="Times New Roman"/>
                <w:b/>
                <w:color w:val="000000"/>
                <w:sz w:val="17"/>
                <w:szCs w:val="21"/>
                <w:lang w:val="fr-FR"/>
              </w:rPr>
            </w:pPr>
            <w:r w:rsidRPr="00A66C9F">
              <w:rPr>
                <w:rFonts w:eastAsia="Times New Roman"/>
                <w:b/>
                <w:sz w:val="17"/>
                <w:szCs w:val="21"/>
                <w:lang w:val="fr-FR"/>
              </w:rPr>
              <w:t>15</w:t>
            </w:r>
            <w:r w:rsidRPr="00A66C9F">
              <w:rPr>
                <w:rFonts w:eastAsia="Times New Roman"/>
                <w:b/>
                <w:color w:val="000000"/>
                <w:sz w:val="17"/>
                <w:szCs w:val="21"/>
                <w:lang w:val="fr-FR"/>
              </w:rPr>
              <w:t xml:space="preserve"> </w:t>
            </w:r>
            <w:r w:rsidRPr="00A66C9F">
              <w:rPr>
                <w:rFonts w:eastAsia="Times New Roman"/>
                <w:b/>
                <w:sz w:val="17"/>
                <w:szCs w:val="21"/>
                <w:lang w:val="fr-FR"/>
              </w:rPr>
              <w:t>184</w:t>
            </w:r>
          </w:p>
        </w:tc>
      </w:tr>
    </w:tbl>
    <w:p w14:paraId="014A7BDB" w14:textId="77777777" w:rsidR="00744544" w:rsidRPr="00A66C9F" w:rsidRDefault="00744544" w:rsidP="00744544">
      <w:pPr>
        <w:pStyle w:val="SingleTxt"/>
        <w:spacing w:after="0" w:line="120" w:lineRule="exact"/>
        <w:rPr>
          <w:sz w:val="10"/>
          <w:lang w:val="fr-FR"/>
        </w:rPr>
      </w:pPr>
      <w:bookmarkStart w:id="203" w:name="_Toc328576331"/>
      <w:bookmarkStart w:id="204" w:name="_Toc335646551"/>
      <w:bookmarkStart w:id="205" w:name="_Toc335646811"/>
      <w:bookmarkStart w:id="206" w:name="_Toc335647069"/>
      <w:bookmarkStart w:id="207" w:name="_Toc328576332"/>
      <w:bookmarkStart w:id="208" w:name="_Toc335646552"/>
      <w:bookmarkStart w:id="209" w:name="_Toc335646812"/>
      <w:bookmarkStart w:id="210" w:name="_Toc335647070"/>
      <w:bookmarkStart w:id="211" w:name="_Toc328576354"/>
      <w:bookmarkStart w:id="212" w:name="_Toc335646574"/>
      <w:bookmarkStart w:id="213" w:name="_Toc335646834"/>
      <w:bookmarkStart w:id="214" w:name="_Toc335647092"/>
      <w:bookmarkStart w:id="215" w:name="_Toc328576363"/>
      <w:bookmarkStart w:id="216" w:name="_Toc335646583"/>
      <w:bookmarkStart w:id="217" w:name="_Toc335646843"/>
      <w:bookmarkStart w:id="218" w:name="_Toc335647101"/>
      <w:bookmarkStart w:id="219" w:name="_Toc294084699"/>
      <w:bookmarkStart w:id="220" w:name="_Toc294084700"/>
      <w:bookmarkStart w:id="221" w:name="_Toc328576364"/>
      <w:bookmarkStart w:id="222" w:name="_Toc335646584"/>
      <w:bookmarkStart w:id="223" w:name="_Toc335646844"/>
      <w:bookmarkStart w:id="224" w:name="_Toc335647102"/>
      <w:bookmarkStart w:id="225" w:name="_Toc328576365"/>
      <w:bookmarkStart w:id="226" w:name="_Toc335646585"/>
      <w:bookmarkStart w:id="227" w:name="_Toc335646845"/>
      <w:bookmarkStart w:id="228" w:name="_Toc335647103"/>
      <w:bookmarkStart w:id="229" w:name="_Toc339633687"/>
      <w:bookmarkStart w:id="230" w:name="_Toc33963402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217E39E2" w14:textId="77777777" w:rsidR="00744544" w:rsidRPr="00A66C9F" w:rsidRDefault="00744544" w:rsidP="00744544">
      <w:pPr>
        <w:pStyle w:val="SingleTxt"/>
        <w:spacing w:after="0" w:line="120" w:lineRule="exact"/>
        <w:rPr>
          <w:sz w:val="10"/>
          <w:lang w:val="fr-FR"/>
        </w:rPr>
      </w:pPr>
    </w:p>
    <w:p w14:paraId="027F44DC" w14:textId="77777777" w:rsidR="00744544" w:rsidRPr="00A66C9F" w:rsidRDefault="00744544" w:rsidP="00744544">
      <w:pPr>
        <w:pStyle w:val="SingleTxt"/>
        <w:spacing w:after="0" w:line="120" w:lineRule="exact"/>
        <w:rPr>
          <w:sz w:val="10"/>
          <w:lang w:val="fr-FR"/>
        </w:rPr>
      </w:pPr>
    </w:p>
    <w:p w14:paraId="67815BE9"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t>9.2</w:t>
      </w:r>
      <w:r w:rsidRPr="00A66C9F">
        <w:rPr>
          <w:lang w:val="fr-FR"/>
        </w:rPr>
        <w:tab/>
        <w:t>Immobilisations corporelles</w:t>
      </w:r>
    </w:p>
    <w:p w14:paraId="68AFF3BE" w14:textId="77777777" w:rsidR="00744544" w:rsidRPr="00A66C9F" w:rsidRDefault="00744544" w:rsidP="00744544">
      <w:pPr>
        <w:pStyle w:val="SingleTxt"/>
        <w:spacing w:after="0" w:line="120" w:lineRule="exact"/>
        <w:rPr>
          <w:sz w:val="10"/>
          <w:lang w:val="fr-FR"/>
        </w:rPr>
      </w:pPr>
    </w:p>
    <w:p w14:paraId="41269D02" w14:textId="77777777" w:rsidR="00744544" w:rsidRPr="00A66C9F" w:rsidRDefault="00744544" w:rsidP="00753AB8">
      <w:pPr>
        <w:pStyle w:val="SingleTxt"/>
        <w:numPr>
          <w:ilvl w:val="0"/>
          <w:numId w:val="15"/>
        </w:numPr>
        <w:spacing w:line="240" w:lineRule="exact"/>
        <w:rPr>
          <w:szCs w:val="20"/>
          <w:lang w:val="fr-FR"/>
        </w:rPr>
      </w:pPr>
      <w:r w:rsidRPr="00A66C9F">
        <w:rPr>
          <w:lang w:val="fr-FR"/>
        </w:rPr>
        <w:t>Le tableau ci-dessous donne un aperçu des immobilisations corporelles de la Caisse.</w:t>
      </w:r>
    </w:p>
    <w:p w14:paraId="01623F88" w14:textId="77777777" w:rsidR="00744544" w:rsidRPr="00A66C9F" w:rsidRDefault="00744544" w:rsidP="00744544">
      <w:pPr>
        <w:pStyle w:val="SingleTxt"/>
        <w:tabs>
          <w:tab w:val="clear" w:pos="1742"/>
        </w:tabs>
        <w:spacing w:after="0" w:line="120" w:lineRule="exact"/>
        <w:rPr>
          <w:sz w:val="10"/>
          <w:lang w:val="fr-FR"/>
        </w:rPr>
      </w:pPr>
    </w:p>
    <w:p w14:paraId="312BE3CD" w14:textId="77777777" w:rsidR="00744544" w:rsidRPr="00A66C9F" w:rsidRDefault="00744544" w:rsidP="0074454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lang w:val="fr-FR"/>
        </w:rPr>
        <w:tab/>
      </w:r>
      <w:r w:rsidRPr="00A66C9F">
        <w:rPr>
          <w:lang w:val="fr-FR"/>
        </w:rPr>
        <w:tab/>
      </w:r>
      <w:r w:rsidRPr="00A66C9F">
        <w:rPr>
          <w:sz w:val="14"/>
          <w:szCs w:val="14"/>
          <w:lang w:val="fr-FR"/>
        </w:rPr>
        <w:t>(En milliers de dollars des États-Unis)</w:t>
      </w:r>
    </w:p>
    <w:p w14:paraId="7BCF0D6E" w14:textId="77777777" w:rsidR="00744544" w:rsidRPr="00A66C9F" w:rsidRDefault="00744544" w:rsidP="00744544">
      <w:pPr>
        <w:pStyle w:val="SingleTxt"/>
        <w:spacing w:after="0" w:line="120" w:lineRule="exact"/>
        <w:rPr>
          <w:sz w:val="10"/>
          <w:szCs w:val="14"/>
          <w:lang w:val="fr-FR"/>
        </w:rPr>
      </w:pPr>
    </w:p>
    <w:p w14:paraId="5143381F" w14:textId="77777777" w:rsidR="00744544" w:rsidRPr="00A66C9F" w:rsidRDefault="00744544" w:rsidP="00744544">
      <w:pPr>
        <w:pStyle w:val="SingleTxt"/>
        <w:spacing w:after="0" w:line="120" w:lineRule="exact"/>
        <w:rPr>
          <w:sz w:val="10"/>
          <w:szCs w:val="14"/>
          <w:lang w:val="fr-FR"/>
        </w:rPr>
      </w:pPr>
    </w:p>
    <w:tbl>
      <w:tblPr>
        <w:tblW w:w="7248" w:type="dxa"/>
        <w:tblInd w:w="1260" w:type="dxa"/>
        <w:tblLayout w:type="fixed"/>
        <w:tblCellMar>
          <w:left w:w="0" w:type="dxa"/>
          <w:right w:w="0" w:type="dxa"/>
        </w:tblCellMar>
        <w:tblLook w:val="04A0" w:firstRow="1" w:lastRow="0" w:firstColumn="1" w:lastColumn="0" w:noHBand="0" w:noVBand="1"/>
      </w:tblPr>
      <w:tblGrid>
        <w:gridCol w:w="2583"/>
        <w:gridCol w:w="1176"/>
        <w:gridCol w:w="81"/>
        <w:gridCol w:w="1170"/>
        <w:gridCol w:w="1266"/>
        <w:gridCol w:w="972"/>
      </w:tblGrid>
      <w:tr w:rsidR="00744544" w:rsidRPr="00A66C9F" w14:paraId="37B463E2" w14:textId="77777777" w:rsidTr="00107D5D">
        <w:trPr>
          <w:tblHeader/>
        </w:trPr>
        <w:tc>
          <w:tcPr>
            <w:tcW w:w="2583" w:type="dxa"/>
            <w:tcBorders>
              <w:top w:val="single" w:sz="4" w:space="0" w:color="auto"/>
            </w:tcBorders>
            <w:shd w:val="clear" w:color="auto" w:fill="auto"/>
            <w:noWrap/>
            <w:vAlign w:val="bottom"/>
          </w:tcPr>
          <w:p w14:paraId="1ACCE8F0" w14:textId="77777777" w:rsidR="00744544" w:rsidRPr="00A66C9F" w:rsidRDefault="00744544" w:rsidP="00107D5D">
            <w:pPr>
              <w:suppressAutoHyphens/>
              <w:spacing w:before="81" w:after="81" w:line="160" w:lineRule="exact"/>
              <w:ind w:right="40"/>
              <w:rPr>
                <w:i/>
                <w:sz w:val="14"/>
                <w:lang w:val="fr-FR"/>
              </w:rPr>
            </w:pPr>
          </w:p>
        </w:tc>
        <w:tc>
          <w:tcPr>
            <w:tcW w:w="1176" w:type="dxa"/>
            <w:tcBorders>
              <w:top w:val="single" w:sz="4" w:space="0" w:color="auto"/>
              <w:bottom w:val="single" w:sz="4" w:space="0" w:color="auto"/>
            </w:tcBorders>
            <w:shd w:val="clear" w:color="auto" w:fill="auto"/>
            <w:noWrap/>
            <w:vAlign w:val="bottom"/>
          </w:tcPr>
          <w:p w14:paraId="4210F356"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Matériel informatique</w:t>
            </w:r>
          </w:p>
        </w:tc>
        <w:tc>
          <w:tcPr>
            <w:tcW w:w="81" w:type="dxa"/>
            <w:tcBorders>
              <w:top w:val="single" w:sz="4" w:space="0" w:color="auto"/>
            </w:tcBorders>
            <w:shd w:val="clear" w:color="auto" w:fill="auto"/>
            <w:noWrap/>
            <w:vAlign w:val="bottom"/>
          </w:tcPr>
          <w:p w14:paraId="1F541445" w14:textId="77777777" w:rsidR="00744544" w:rsidRPr="00A66C9F" w:rsidRDefault="00744544" w:rsidP="00107D5D">
            <w:pPr>
              <w:suppressAutoHyphens/>
              <w:spacing w:before="81" w:after="81" w:line="160" w:lineRule="exact"/>
              <w:ind w:right="43"/>
              <w:jc w:val="right"/>
              <w:rPr>
                <w:i/>
                <w:sz w:val="14"/>
                <w:lang w:val="fr-FR"/>
              </w:rPr>
            </w:pPr>
          </w:p>
        </w:tc>
        <w:tc>
          <w:tcPr>
            <w:tcW w:w="2436" w:type="dxa"/>
            <w:gridSpan w:val="2"/>
            <w:tcBorders>
              <w:top w:val="single" w:sz="4" w:space="0" w:color="auto"/>
              <w:bottom w:val="single" w:sz="4" w:space="0" w:color="auto"/>
            </w:tcBorders>
            <w:shd w:val="clear" w:color="auto" w:fill="auto"/>
            <w:vAlign w:val="bottom"/>
          </w:tcPr>
          <w:p w14:paraId="779A4F5D" w14:textId="77777777" w:rsidR="00744544" w:rsidRPr="00A66C9F" w:rsidRDefault="00744544" w:rsidP="00107D5D">
            <w:pPr>
              <w:suppressAutoHyphens/>
              <w:spacing w:before="81" w:after="81" w:line="160" w:lineRule="exact"/>
              <w:ind w:right="43"/>
              <w:jc w:val="center"/>
              <w:rPr>
                <w:i/>
                <w:sz w:val="14"/>
                <w:lang w:val="fr-FR"/>
              </w:rPr>
            </w:pPr>
            <w:r w:rsidRPr="00A66C9F">
              <w:rPr>
                <w:i/>
                <w:sz w:val="14"/>
                <w:lang w:val="fr-FR"/>
              </w:rPr>
              <w:t>Améliorations locatives</w:t>
            </w:r>
          </w:p>
        </w:tc>
        <w:tc>
          <w:tcPr>
            <w:tcW w:w="972" w:type="dxa"/>
            <w:tcBorders>
              <w:top w:val="single" w:sz="4" w:space="0" w:color="auto"/>
            </w:tcBorders>
            <w:shd w:val="clear" w:color="auto" w:fill="auto"/>
            <w:noWrap/>
            <w:vAlign w:val="bottom"/>
          </w:tcPr>
          <w:p w14:paraId="75E39ABE" w14:textId="77777777" w:rsidR="00744544" w:rsidRPr="00A66C9F" w:rsidRDefault="00744544" w:rsidP="00107D5D">
            <w:pPr>
              <w:suppressAutoHyphens/>
              <w:spacing w:before="81" w:after="81" w:line="160" w:lineRule="exact"/>
              <w:ind w:right="43"/>
              <w:jc w:val="right"/>
              <w:rPr>
                <w:i/>
                <w:sz w:val="14"/>
                <w:lang w:val="fr-FR"/>
              </w:rPr>
            </w:pPr>
          </w:p>
        </w:tc>
      </w:tr>
      <w:tr w:rsidR="00744544" w:rsidRPr="00A66C9F" w14:paraId="4B2754AE" w14:textId="77777777" w:rsidTr="00107D5D">
        <w:trPr>
          <w:tblHeader/>
        </w:trPr>
        <w:tc>
          <w:tcPr>
            <w:tcW w:w="2583" w:type="dxa"/>
            <w:tcBorders>
              <w:bottom w:val="single" w:sz="12" w:space="0" w:color="auto"/>
            </w:tcBorders>
            <w:shd w:val="clear" w:color="auto" w:fill="auto"/>
            <w:noWrap/>
            <w:vAlign w:val="bottom"/>
          </w:tcPr>
          <w:p w14:paraId="1E68AE7E" w14:textId="77777777" w:rsidR="00744544" w:rsidRPr="00A66C9F" w:rsidRDefault="00744544" w:rsidP="00107D5D">
            <w:pPr>
              <w:suppressAutoHyphens/>
              <w:spacing w:before="81" w:after="81" w:line="160" w:lineRule="exact"/>
              <w:ind w:right="40"/>
              <w:rPr>
                <w:i/>
                <w:sz w:val="14"/>
                <w:lang w:val="fr-FR"/>
              </w:rPr>
            </w:pPr>
          </w:p>
        </w:tc>
        <w:tc>
          <w:tcPr>
            <w:tcW w:w="1176" w:type="dxa"/>
            <w:tcBorders>
              <w:bottom w:val="single" w:sz="12" w:space="0" w:color="auto"/>
            </w:tcBorders>
            <w:shd w:val="clear" w:color="auto" w:fill="auto"/>
            <w:noWrap/>
            <w:vAlign w:val="bottom"/>
          </w:tcPr>
          <w:p w14:paraId="30FAE600" w14:textId="77777777" w:rsidR="00744544" w:rsidRPr="00A66C9F" w:rsidRDefault="00744544" w:rsidP="00107D5D">
            <w:pPr>
              <w:suppressAutoHyphens/>
              <w:spacing w:before="81" w:after="81" w:line="160" w:lineRule="exact"/>
              <w:ind w:right="43"/>
              <w:jc w:val="right"/>
              <w:rPr>
                <w:i/>
                <w:sz w:val="14"/>
                <w:lang w:val="fr-FR"/>
              </w:rPr>
            </w:pPr>
            <w:r w:rsidRPr="00A66C9F">
              <w:rPr>
                <w:i/>
                <w:iCs/>
                <w:sz w:val="14"/>
                <w:lang w:val="fr-FR"/>
              </w:rPr>
              <w:t>En service</w:t>
            </w:r>
          </w:p>
        </w:tc>
        <w:tc>
          <w:tcPr>
            <w:tcW w:w="1251" w:type="dxa"/>
            <w:gridSpan w:val="2"/>
            <w:tcBorders>
              <w:bottom w:val="single" w:sz="12" w:space="0" w:color="auto"/>
            </w:tcBorders>
            <w:shd w:val="clear" w:color="auto" w:fill="auto"/>
            <w:noWrap/>
            <w:vAlign w:val="bottom"/>
          </w:tcPr>
          <w:p w14:paraId="245659C1" w14:textId="77777777" w:rsidR="00744544" w:rsidRPr="00A66C9F" w:rsidRDefault="00744544" w:rsidP="00107D5D">
            <w:pPr>
              <w:suppressAutoHyphens/>
              <w:spacing w:before="81" w:after="81" w:line="160" w:lineRule="exact"/>
              <w:ind w:right="43"/>
              <w:jc w:val="right"/>
              <w:rPr>
                <w:i/>
                <w:sz w:val="14"/>
                <w:lang w:val="fr-FR"/>
              </w:rPr>
            </w:pPr>
            <w:r w:rsidRPr="00A66C9F">
              <w:rPr>
                <w:i/>
                <w:iCs/>
                <w:sz w:val="14"/>
                <w:lang w:val="fr-FR"/>
              </w:rPr>
              <w:t>En service</w:t>
            </w:r>
          </w:p>
        </w:tc>
        <w:tc>
          <w:tcPr>
            <w:tcW w:w="1266" w:type="dxa"/>
            <w:tcBorders>
              <w:bottom w:val="single" w:sz="12" w:space="0" w:color="auto"/>
            </w:tcBorders>
            <w:shd w:val="clear" w:color="auto" w:fill="auto"/>
            <w:vAlign w:val="bottom"/>
          </w:tcPr>
          <w:p w14:paraId="1FBE0D18" w14:textId="77777777" w:rsidR="00744544" w:rsidRPr="00A66C9F" w:rsidRDefault="00744544" w:rsidP="00107D5D">
            <w:pPr>
              <w:suppressAutoHyphens/>
              <w:spacing w:before="81" w:after="81" w:line="160" w:lineRule="exact"/>
              <w:ind w:right="43"/>
              <w:jc w:val="right"/>
              <w:rPr>
                <w:i/>
                <w:sz w:val="14"/>
                <w:lang w:val="fr-FR"/>
              </w:rPr>
            </w:pPr>
            <w:r w:rsidRPr="00A66C9F">
              <w:rPr>
                <w:i/>
                <w:iCs/>
                <w:sz w:val="14"/>
                <w:lang w:val="fr-FR"/>
              </w:rPr>
              <w:t>En construction</w:t>
            </w:r>
          </w:p>
        </w:tc>
        <w:tc>
          <w:tcPr>
            <w:tcW w:w="972" w:type="dxa"/>
            <w:tcBorders>
              <w:bottom w:val="single" w:sz="12" w:space="0" w:color="auto"/>
            </w:tcBorders>
            <w:shd w:val="clear" w:color="auto" w:fill="auto"/>
            <w:noWrap/>
            <w:vAlign w:val="bottom"/>
          </w:tcPr>
          <w:p w14:paraId="59090C3D" w14:textId="77777777" w:rsidR="00744544" w:rsidRPr="00A66C9F" w:rsidRDefault="00744544" w:rsidP="00107D5D">
            <w:pPr>
              <w:suppressAutoHyphens/>
              <w:spacing w:before="81" w:after="81" w:line="160" w:lineRule="exact"/>
              <w:ind w:right="43"/>
              <w:jc w:val="right"/>
              <w:rPr>
                <w:i/>
                <w:sz w:val="14"/>
                <w:lang w:val="fr-FR"/>
              </w:rPr>
            </w:pPr>
            <w:r w:rsidRPr="00A66C9F">
              <w:rPr>
                <w:i/>
                <w:iCs/>
                <w:sz w:val="14"/>
                <w:lang w:val="fr-FR"/>
              </w:rPr>
              <w:t>Total</w:t>
            </w:r>
          </w:p>
        </w:tc>
      </w:tr>
      <w:tr w:rsidR="00744544" w:rsidRPr="00A66C9F" w14:paraId="094FF12C" w14:textId="77777777" w:rsidTr="00107D5D">
        <w:trPr>
          <w:trHeight w:hRule="exact" w:val="115"/>
          <w:tblHeader/>
        </w:trPr>
        <w:tc>
          <w:tcPr>
            <w:tcW w:w="2583" w:type="dxa"/>
            <w:tcBorders>
              <w:top w:val="single" w:sz="12" w:space="0" w:color="auto"/>
            </w:tcBorders>
            <w:shd w:val="clear" w:color="auto" w:fill="auto"/>
            <w:noWrap/>
            <w:vAlign w:val="bottom"/>
          </w:tcPr>
          <w:p w14:paraId="3EE86CDB" w14:textId="77777777" w:rsidR="00744544" w:rsidRPr="00A66C9F" w:rsidRDefault="00744544" w:rsidP="00107D5D">
            <w:pPr>
              <w:suppressAutoHyphens/>
              <w:spacing w:before="40" w:after="40" w:line="210" w:lineRule="exact"/>
              <w:ind w:right="40"/>
              <w:rPr>
                <w:sz w:val="17"/>
                <w:lang w:val="fr-FR"/>
              </w:rPr>
            </w:pPr>
          </w:p>
        </w:tc>
        <w:tc>
          <w:tcPr>
            <w:tcW w:w="1176" w:type="dxa"/>
            <w:tcBorders>
              <w:top w:val="single" w:sz="12" w:space="0" w:color="auto"/>
            </w:tcBorders>
            <w:shd w:val="clear" w:color="auto" w:fill="auto"/>
            <w:noWrap/>
            <w:vAlign w:val="bottom"/>
          </w:tcPr>
          <w:p w14:paraId="75A4D8A2" w14:textId="77777777" w:rsidR="00744544" w:rsidRPr="00A66C9F" w:rsidRDefault="00744544" w:rsidP="00107D5D">
            <w:pPr>
              <w:suppressAutoHyphens/>
              <w:spacing w:before="40" w:after="40" w:line="210" w:lineRule="exact"/>
              <w:ind w:right="43"/>
              <w:jc w:val="right"/>
              <w:rPr>
                <w:sz w:val="17"/>
                <w:lang w:val="fr-FR"/>
              </w:rPr>
            </w:pPr>
          </w:p>
        </w:tc>
        <w:tc>
          <w:tcPr>
            <w:tcW w:w="1251" w:type="dxa"/>
            <w:gridSpan w:val="2"/>
            <w:tcBorders>
              <w:top w:val="single" w:sz="12" w:space="0" w:color="auto"/>
            </w:tcBorders>
            <w:shd w:val="clear" w:color="auto" w:fill="auto"/>
            <w:noWrap/>
            <w:vAlign w:val="bottom"/>
          </w:tcPr>
          <w:p w14:paraId="5017BF34" w14:textId="77777777" w:rsidR="00744544" w:rsidRPr="00A66C9F" w:rsidRDefault="00744544" w:rsidP="00107D5D">
            <w:pPr>
              <w:suppressAutoHyphens/>
              <w:spacing w:before="40" w:after="40" w:line="210" w:lineRule="exact"/>
              <w:ind w:right="43"/>
              <w:jc w:val="right"/>
              <w:rPr>
                <w:sz w:val="17"/>
                <w:lang w:val="fr-FR"/>
              </w:rPr>
            </w:pPr>
          </w:p>
        </w:tc>
        <w:tc>
          <w:tcPr>
            <w:tcW w:w="1266" w:type="dxa"/>
            <w:tcBorders>
              <w:top w:val="single" w:sz="12" w:space="0" w:color="auto"/>
            </w:tcBorders>
            <w:shd w:val="clear" w:color="auto" w:fill="auto"/>
            <w:vAlign w:val="bottom"/>
          </w:tcPr>
          <w:p w14:paraId="3A0F0D93" w14:textId="77777777" w:rsidR="00744544" w:rsidRPr="00A66C9F" w:rsidRDefault="00744544" w:rsidP="00107D5D">
            <w:pPr>
              <w:suppressAutoHyphens/>
              <w:spacing w:before="40" w:after="40" w:line="210" w:lineRule="exact"/>
              <w:ind w:right="43"/>
              <w:jc w:val="right"/>
              <w:rPr>
                <w:sz w:val="17"/>
                <w:lang w:val="fr-FR"/>
              </w:rPr>
            </w:pPr>
          </w:p>
        </w:tc>
        <w:tc>
          <w:tcPr>
            <w:tcW w:w="972" w:type="dxa"/>
            <w:tcBorders>
              <w:top w:val="single" w:sz="12" w:space="0" w:color="auto"/>
            </w:tcBorders>
            <w:shd w:val="clear" w:color="auto" w:fill="auto"/>
            <w:noWrap/>
            <w:vAlign w:val="bottom"/>
          </w:tcPr>
          <w:p w14:paraId="6E889884" w14:textId="77777777" w:rsidR="00744544" w:rsidRPr="00A66C9F" w:rsidRDefault="00744544" w:rsidP="00107D5D">
            <w:pPr>
              <w:suppressAutoHyphens/>
              <w:spacing w:before="40" w:after="40" w:line="210" w:lineRule="exact"/>
              <w:ind w:right="43"/>
              <w:jc w:val="right"/>
              <w:rPr>
                <w:sz w:val="17"/>
                <w:lang w:val="fr-FR"/>
              </w:rPr>
            </w:pPr>
          </w:p>
        </w:tc>
      </w:tr>
      <w:tr w:rsidR="00744544" w:rsidRPr="00A66C9F" w14:paraId="18021A0F" w14:textId="77777777" w:rsidTr="00107D5D">
        <w:tc>
          <w:tcPr>
            <w:tcW w:w="2583" w:type="dxa"/>
            <w:shd w:val="clear" w:color="auto" w:fill="auto"/>
            <w:noWrap/>
            <w:vAlign w:val="bottom"/>
          </w:tcPr>
          <w:p w14:paraId="5AE3EA2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b/>
                <w:bCs/>
                <w:sz w:val="17"/>
                <w:szCs w:val="21"/>
                <w:lang w:val="fr-FR"/>
              </w:rPr>
            </w:pPr>
            <w:r w:rsidRPr="00A66C9F">
              <w:rPr>
                <w:b/>
                <w:bCs/>
                <w:sz w:val="17"/>
                <w:lang w:val="fr-FR"/>
              </w:rPr>
              <w:t>Coût</w:t>
            </w:r>
            <w:r w:rsidRPr="00A66C9F" w:rsidDel="00874EAA">
              <w:rPr>
                <w:b/>
                <w:bCs/>
                <w:sz w:val="17"/>
                <w:lang w:val="fr-FR"/>
              </w:rPr>
              <w:t xml:space="preserve"> </w:t>
            </w:r>
          </w:p>
        </w:tc>
        <w:tc>
          <w:tcPr>
            <w:tcW w:w="1176" w:type="dxa"/>
            <w:shd w:val="clear" w:color="auto" w:fill="auto"/>
            <w:noWrap/>
            <w:vAlign w:val="bottom"/>
          </w:tcPr>
          <w:p w14:paraId="749A5A0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b/>
                <w:bCs/>
                <w:sz w:val="17"/>
                <w:szCs w:val="21"/>
                <w:lang w:val="fr-FR"/>
              </w:rPr>
            </w:pPr>
          </w:p>
        </w:tc>
        <w:tc>
          <w:tcPr>
            <w:tcW w:w="1251" w:type="dxa"/>
            <w:gridSpan w:val="2"/>
            <w:shd w:val="clear" w:color="auto" w:fill="auto"/>
            <w:noWrap/>
            <w:vAlign w:val="bottom"/>
          </w:tcPr>
          <w:p w14:paraId="607C3DB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b/>
                <w:bCs/>
                <w:sz w:val="17"/>
                <w:szCs w:val="21"/>
                <w:lang w:val="fr-FR"/>
              </w:rPr>
            </w:pPr>
          </w:p>
        </w:tc>
        <w:tc>
          <w:tcPr>
            <w:tcW w:w="1266" w:type="dxa"/>
            <w:shd w:val="clear" w:color="auto" w:fill="auto"/>
            <w:vAlign w:val="bottom"/>
          </w:tcPr>
          <w:p w14:paraId="195895D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b/>
                <w:bCs/>
                <w:sz w:val="17"/>
                <w:szCs w:val="21"/>
                <w:lang w:val="fr-FR"/>
              </w:rPr>
            </w:pPr>
          </w:p>
        </w:tc>
        <w:tc>
          <w:tcPr>
            <w:tcW w:w="972" w:type="dxa"/>
            <w:shd w:val="clear" w:color="auto" w:fill="auto"/>
            <w:noWrap/>
            <w:vAlign w:val="bottom"/>
          </w:tcPr>
          <w:p w14:paraId="7678EBF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b/>
                <w:bCs/>
                <w:sz w:val="17"/>
                <w:szCs w:val="21"/>
                <w:lang w:val="fr-FR"/>
              </w:rPr>
            </w:pPr>
          </w:p>
        </w:tc>
      </w:tr>
      <w:tr w:rsidR="00744544" w:rsidRPr="00A66C9F" w14:paraId="3F4A07E0" w14:textId="77777777" w:rsidTr="00107D5D">
        <w:tc>
          <w:tcPr>
            <w:tcW w:w="2583" w:type="dxa"/>
            <w:shd w:val="clear" w:color="auto" w:fill="auto"/>
            <w:noWrap/>
            <w:vAlign w:val="bottom"/>
          </w:tcPr>
          <w:p w14:paraId="23AE808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21"/>
                <w:lang w:val="fr-FR"/>
              </w:rPr>
            </w:pPr>
            <w:r w:rsidRPr="00A66C9F">
              <w:rPr>
                <w:sz w:val="17"/>
                <w:lang w:val="fr-FR"/>
              </w:rPr>
              <w:t>1</w:t>
            </w:r>
            <w:r w:rsidRPr="00A66C9F">
              <w:rPr>
                <w:sz w:val="17"/>
                <w:vertAlign w:val="superscript"/>
                <w:lang w:val="fr-FR"/>
              </w:rPr>
              <w:t>er</w:t>
            </w:r>
            <w:r w:rsidRPr="00A66C9F">
              <w:rPr>
                <w:sz w:val="17"/>
                <w:lang w:val="fr-FR"/>
              </w:rPr>
              <w:t> janvier 2019</w:t>
            </w:r>
          </w:p>
        </w:tc>
        <w:tc>
          <w:tcPr>
            <w:tcW w:w="1176" w:type="dxa"/>
            <w:shd w:val="clear" w:color="auto" w:fill="auto"/>
            <w:noWrap/>
            <w:vAlign w:val="bottom"/>
          </w:tcPr>
          <w:p w14:paraId="78847A2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21"/>
                <w:lang w:val="fr-FR"/>
              </w:rPr>
            </w:pPr>
            <w:r w:rsidRPr="00A66C9F">
              <w:rPr>
                <w:sz w:val="17"/>
                <w:lang w:val="fr-FR"/>
              </w:rPr>
              <w:t xml:space="preserve"> 1 320 </w:t>
            </w:r>
          </w:p>
        </w:tc>
        <w:tc>
          <w:tcPr>
            <w:tcW w:w="1251" w:type="dxa"/>
            <w:gridSpan w:val="2"/>
            <w:shd w:val="clear" w:color="auto" w:fill="auto"/>
            <w:noWrap/>
            <w:vAlign w:val="bottom"/>
          </w:tcPr>
          <w:p w14:paraId="0D4FFBB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21"/>
                <w:lang w:val="fr-FR"/>
              </w:rPr>
            </w:pPr>
            <w:r w:rsidRPr="00A66C9F">
              <w:rPr>
                <w:sz w:val="17"/>
                <w:lang w:val="fr-FR"/>
              </w:rPr>
              <w:t xml:space="preserve"> 13 963 </w:t>
            </w:r>
          </w:p>
        </w:tc>
        <w:tc>
          <w:tcPr>
            <w:tcW w:w="1266" w:type="dxa"/>
            <w:shd w:val="clear" w:color="auto" w:fill="auto"/>
            <w:vAlign w:val="bottom"/>
          </w:tcPr>
          <w:p w14:paraId="5078A6E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21"/>
                <w:lang w:val="fr-FR"/>
              </w:rPr>
            </w:pPr>
            <w:r w:rsidRPr="00A66C9F">
              <w:rPr>
                <w:sz w:val="17"/>
                <w:lang w:val="fr-FR"/>
              </w:rPr>
              <w:t xml:space="preserve"> 2 439 </w:t>
            </w:r>
          </w:p>
        </w:tc>
        <w:tc>
          <w:tcPr>
            <w:tcW w:w="972" w:type="dxa"/>
            <w:shd w:val="clear" w:color="auto" w:fill="auto"/>
            <w:noWrap/>
            <w:vAlign w:val="bottom"/>
          </w:tcPr>
          <w:p w14:paraId="3FA886D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21"/>
                <w:lang w:val="fr-FR"/>
              </w:rPr>
            </w:pPr>
            <w:r w:rsidRPr="00A66C9F">
              <w:rPr>
                <w:sz w:val="17"/>
                <w:lang w:val="fr-FR"/>
              </w:rPr>
              <w:t xml:space="preserve"> 17 722 </w:t>
            </w:r>
          </w:p>
        </w:tc>
      </w:tr>
      <w:tr w:rsidR="00744544" w:rsidRPr="00A66C9F" w14:paraId="6485FB4E" w14:textId="77777777" w:rsidTr="00107D5D">
        <w:tc>
          <w:tcPr>
            <w:tcW w:w="2583" w:type="dxa"/>
            <w:shd w:val="clear" w:color="auto" w:fill="auto"/>
            <w:noWrap/>
            <w:vAlign w:val="bottom"/>
          </w:tcPr>
          <w:p w14:paraId="161CFC7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Entrées</w:t>
            </w:r>
          </w:p>
        </w:tc>
        <w:tc>
          <w:tcPr>
            <w:tcW w:w="1176" w:type="dxa"/>
            <w:shd w:val="clear" w:color="auto" w:fill="auto"/>
            <w:noWrap/>
            <w:vAlign w:val="bottom"/>
          </w:tcPr>
          <w:p w14:paraId="710D02E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 </w:t>
            </w:r>
          </w:p>
        </w:tc>
        <w:tc>
          <w:tcPr>
            <w:tcW w:w="1251" w:type="dxa"/>
            <w:gridSpan w:val="2"/>
            <w:shd w:val="clear" w:color="auto" w:fill="auto"/>
            <w:noWrap/>
            <w:vAlign w:val="bottom"/>
          </w:tcPr>
          <w:p w14:paraId="1B35CDF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4 661 </w:t>
            </w:r>
          </w:p>
        </w:tc>
        <w:tc>
          <w:tcPr>
            <w:tcW w:w="1266" w:type="dxa"/>
            <w:shd w:val="clear" w:color="auto" w:fill="auto"/>
            <w:vAlign w:val="bottom"/>
          </w:tcPr>
          <w:p w14:paraId="7A2C038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(2 439)</w:t>
            </w:r>
          </w:p>
        </w:tc>
        <w:tc>
          <w:tcPr>
            <w:tcW w:w="972" w:type="dxa"/>
            <w:shd w:val="clear" w:color="auto" w:fill="auto"/>
            <w:noWrap/>
            <w:vAlign w:val="bottom"/>
          </w:tcPr>
          <w:p w14:paraId="058F463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2 222 </w:t>
            </w:r>
          </w:p>
        </w:tc>
      </w:tr>
      <w:tr w:rsidR="00744544" w:rsidRPr="00A66C9F" w14:paraId="7541681D" w14:textId="77777777" w:rsidTr="00107D5D">
        <w:tc>
          <w:tcPr>
            <w:tcW w:w="2583" w:type="dxa"/>
            <w:shd w:val="clear" w:color="auto" w:fill="auto"/>
            <w:noWrap/>
            <w:vAlign w:val="bottom"/>
            <w:hideMark/>
          </w:tcPr>
          <w:p w14:paraId="0306D02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21"/>
                <w:lang w:val="fr-FR"/>
              </w:rPr>
            </w:pPr>
            <w:r w:rsidRPr="00A66C9F">
              <w:rPr>
                <w:sz w:val="17"/>
                <w:szCs w:val="21"/>
                <w:lang w:val="fr-FR"/>
              </w:rPr>
              <w:t>Cessions/transferts</w:t>
            </w:r>
          </w:p>
        </w:tc>
        <w:tc>
          <w:tcPr>
            <w:tcW w:w="1176" w:type="dxa"/>
            <w:shd w:val="clear" w:color="auto" w:fill="auto"/>
            <w:noWrap/>
            <w:vAlign w:val="bottom"/>
          </w:tcPr>
          <w:p w14:paraId="376D3D5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21"/>
                <w:lang w:val="fr-FR"/>
              </w:rPr>
            </w:pPr>
            <w:r w:rsidRPr="00A66C9F">
              <w:rPr>
                <w:sz w:val="17"/>
                <w:szCs w:val="21"/>
                <w:lang w:val="fr-FR"/>
              </w:rPr>
              <w:t xml:space="preserve"> (86)</w:t>
            </w:r>
          </w:p>
        </w:tc>
        <w:tc>
          <w:tcPr>
            <w:tcW w:w="1251" w:type="dxa"/>
            <w:gridSpan w:val="2"/>
            <w:shd w:val="clear" w:color="auto" w:fill="auto"/>
            <w:noWrap/>
            <w:vAlign w:val="bottom"/>
          </w:tcPr>
          <w:p w14:paraId="74D626A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21"/>
                <w:lang w:val="fr-FR"/>
              </w:rPr>
            </w:pPr>
            <w:r w:rsidRPr="00A66C9F">
              <w:rPr>
                <w:sz w:val="17"/>
                <w:szCs w:val="21"/>
                <w:lang w:val="fr-FR"/>
              </w:rPr>
              <w:t xml:space="preserve"> – </w:t>
            </w:r>
          </w:p>
        </w:tc>
        <w:tc>
          <w:tcPr>
            <w:tcW w:w="1266" w:type="dxa"/>
            <w:shd w:val="clear" w:color="auto" w:fill="auto"/>
            <w:vAlign w:val="bottom"/>
          </w:tcPr>
          <w:p w14:paraId="569546B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21"/>
                <w:lang w:val="fr-FR"/>
              </w:rPr>
            </w:pPr>
            <w:r w:rsidRPr="00A66C9F">
              <w:rPr>
                <w:sz w:val="17"/>
                <w:szCs w:val="21"/>
                <w:lang w:val="fr-FR"/>
              </w:rPr>
              <w:t xml:space="preserve"> – </w:t>
            </w:r>
          </w:p>
        </w:tc>
        <w:tc>
          <w:tcPr>
            <w:tcW w:w="972" w:type="dxa"/>
            <w:shd w:val="clear" w:color="auto" w:fill="auto"/>
            <w:noWrap/>
            <w:vAlign w:val="bottom"/>
          </w:tcPr>
          <w:p w14:paraId="37C7562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21"/>
                <w:lang w:val="fr-FR"/>
              </w:rPr>
            </w:pPr>
            <w:r w:rsidRPr="00A66C9F">
              <w:rPr>
                <w:sz w:val="17"/>
                <w:szCs w:val="21"/>
                <w:lang w:val="fr-FR"/>
              </w:rPr>
              <w:t xml:space="preserve"> (86)</w:t>
            </w:r>
          </w:p>
        </w:tc>
      </w:tr>
      <w:tr w:rsidR="00744544" w:rsidRPr="00A66C9F" w14:paraId="64C90746" w14:textId="77777777" w:rsidTr="00107D5D">
        <w:tc>
          <w:tcPr>
            <w:tcW w:w="2583" w:type="dxa"/>
            <w:shd w:val="clear" w:color="auto" w:fill="auto"/>
            <w:noWrap/>
            <w:vAlign w:val="bottom"/>
            <w:hideMark/>
          </w:tcPr>
          <w:p w14:paraId="69441F1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21"/>
                <w:lang w:val="fr-FR"/>
              </w:rPr>
            </w:pPr>
            <w:r w:rsidRPr="00A66C9F">
              <w:rPr>
                <w:sz w:val="17"/>
                <w:szCs w:val="21"/>
                <w:lang w:val="fr-FR"/>
              </w:rPr>
              <w:t>31 décembre 2019</w:t>
            </w:r>
          </w:p>
        </w:tc>
        <w:tc>
          <w:tcPr>
            <w:tcW w:w="1176" w:type="dxa"/>
            <w:shd w:val="clear" w:color="auto" w:fill="auto"/>
            <w:noWrap/>
            <w:vAlign w:val="bottom"/>
          </w:tcPr>
          <w:p w14:paraId="7569874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21"/>
                <w:lang w:val="fr-FR"/>
              </w:rPr>
            </w:pPr>
            <w:r w:rsidRPr="00A66C9F">
              <w:rPr>
                <w:sz w:val="17"/>
                <w:szCs w:val="21"/>
                <w:lang w:val="fr-FR"/>
              </w:rPr>
              <w:t xml:space="preserve"> 1 234 </w:t>
            </w:r>
          </w:p>
        </w:tc>
        <w:tc>
          <w:tcPr>
            <w:tcW w:w="1251" w:type="dxa"/>
            <w:gridSpan w:val="2"/>
            <w:shd w:val="clear" w:color="auto" w:fill="auto"/>
            <w:noWrap/>
            <w:vAlign w:val="bottom"/>
          </w:tcPr>
          <w:p w14:paraId="6C76908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21"/>
                <w:lang w:val="fr-FR"/>
              </w:rPr>
            </w:pPr>
            <w:r w:rsidRPr="00A66C9F">
              <w:rPr>
                <w:sz w:val="17"/>
                <w:szCs w:val="21"/>
                <w:lang w:val="fr-FR"/>
              </w:rPr>
              <w:t xml:space="preserve"> 18 624 </w:t>
            </w:r>
          </w:p>
        </w:tc>
        <w:tc>
          <w:tcPr>
            <w:tcW w:w="1266" w:type="dxa"/>
            <w:shd w:val="clear" w:color="auto" w:fill="auto"/>
            <w:vAlign w:val="bottom"/>
          </w:tcPr>
          <w:p w14:paraId="1B940CB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21"/>
                <w:lang w:val="fr-FR"/>
              </w:rPr>
            </w:pPr>
            <w:r w:rsidRPr="00A66C9F">
              <w:rPr>
                <w:sz w:val="17"/>
                <w:szCs w:val="21"/>
                <w:lang w:val="fr-FR"/>
              </w:rPr>
              <w:t xml:space="preserve"> – </w:t>
            </w:r>
          </w:p>
        </w:tc>
        <w:tc>
          <w:tcPr>
            <w:tcW w:w="972" w:type="dxa"/>
            <w:shd w:val="clear" w:color="auto" w:fill="auto"/>
            <w:noWrap/>
            <w:vAlign w:val="bottom"/>
          </w:tcPr>
          <w:p w14:paraId="19B8E22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21"/>
                <w:lang w:val="fr-FR"/>
              </w:rPr>
            </w:pPr>
            <w:r w:rsidRPr="00A66C9F">
              <w:rPr>
                <w:sz w:val="17"/>
                <w:szCs w:val="21"/>
                <w:lang w:val="fr-FR"/>
              </w:rPr>
              <w:t xml:space="preserve"> 19 858 </w:t>
            </w:r>
          </w:p>
        </w:tc>
      </w:tr>
      <w:tr w:rsidR="00744544" w:rsidRPr="00A66C9F" w14:paraId="0B584E9F" w14:textId="77777777" w:rsidTr="00107D5D">
        <w:tc>
          <w:tcPr>
            <w:tcW w:w="2583" w:type="dxa"/>
            <w:shd w:val="clear" w:color="auto" w:fill="auto"/>
            <w:noWrap/>
            <w:vAlign w:val="bottom"/>
            <w:hideMark/>
          </w:tcPr>
          <w:p w14:paraId="0F28F41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b/>
                <w:bCs/>
                <w:sz w:val="17"/>
                <w:szCs w:val="21"/>
                <w:lang w:val="fr-FR"/>
              </w:rPr>
            </w:pPr>
            <w:r w:rsidRPr="00A66C9F">
              <w:rPr>
                <w:b/>
                <w:bCs/>
                <w:sz w:val="17"/>
                <w:szCs w:val="21"/>
                <w:lang w:val="fr-FR"/>
              </w:rPr>
              <w:t>Cumul des amortissements</w:t>
            </w:r>
          </w:p>
        </w:tc>
        <w:tc>
          <w:tcPr>
            <w:tcW w:w="1176" w:type="dxa"/>
            <w:shd w:val="clear" w:color="auto" w:fill="auto"/>
            <w:noWrap/>
            <w:vAlign w:val="bottom"/>
          </w:tcPr>
          <w:p w14:paraId="312963F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b/>
                <w:bCs/>
                <w:sz w:val="17"/>
                <w:szCs w:val="21"/>
                <w:lang w:val="fr-FR"/>
              </w:rPr>
            </w:pPr>
          </w:p>
        </w:tc>
        <w:tc>
          <w:tcPr>
            <w:tcW w:w="1251" w:type="dxa"/>
            <w:gridSpan w:val="2"/>
            <w:shd w:val="clear" w:color="auto" w:fill="auto"/>
            <w:noWrap/>
            <w:vAlign w:val="bottom"/>
          </w:tcPr>
          <w:p w14:paraId="1BEC980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b/>
                <w:bCs/>
                <w:sz w:val="17"/>
                <w:szCs w:val="21"/>
                <w:lang w:val="fr-FR"/>
              </w:rPr>
            </w:pPr>
          </w:p>
        </w:tc>
        <w:tc>
          <w:tcPr>
            <w:tcW w:w="1266" w:type="dxa"/>
            <w:shd w:val="clear" w:color="auto" w:fill="auto"/>
            <w:vAlign w:val="bottom"/>
          </w:tcPr>
          <w:p w14:paraId="5E911F3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b/>
                <w:bCs/>
                <w:sz w:val="17"/>
                <w:szCs w:val="21"/>
                <w:lang w:val="fr-FR"/>
              </w:rPr>
            </w:pPr>
          </w:p>
        </w:tc>
        <w:tc>
          <w:tcPr>
            <w:tcW w:w="972" w:type="dxa"/>
            <w:shd w:val="clear" w:color="auto" w:fill="auto"/>
            <w:noWrap/>
            <w:vAlign w:val="bottom"/>
          </w:tcPr>
          <w:p w14:paraId="006705D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b/>
                <w:bCs/>
                <w:sz w:val="17"/>
                <w:szCs w:val="21"/>
                <w:lang w:val="fr-FR"/>
              </w:rPr>
            </w:pPr>
          </w:p>
        </w:tc>
      </w:tr>
      <w:tr w:rsidR="00744544" w:rsidRPr="00A66C9F" w14:paraId="79923DAE" w14:textId="77777777" w:rsidTr="00107D5D">
        <w:tc>
          <w:tcPr>
            <w:tcW w:w="2583" w:type="dxa"/>
            <w:shd w:val="clear" w:color="auto" w:fill="auto"/>
            <w:noWrap/>
            <w:vAlign w:val="bottom"/>
            <w:hideMark/>
          </w:tcPr>
          <w:p w14:paraId="55CCD5B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21"/>
                <w:lang w:val="fr-FR"/>
              </w:rPr>
            </w:pPr>
            <w:r w:rsidRPr="00A66C9F">
              <w:rPr>
                <w:sz w:val="17"/>
                <w:szCs w:val="21"/>
                <w:lang w:val="fr-FR"/>
              </w:rPr>
              <w:t>1</w:t>
            </w:r>
            <w:r w:rsidRPr="00A66C9F">
              <w:rPr>
                <w:sz w:val="17"/>
                <w:szCs w:val="21"/>
                <w:vertAlign w:val="superscript"/>
                <w:lang w:val="fr-FR"/>
              </w:rPr>
              <w:t>er</w:t>
            </w:r>
            <w:r w:rsidRPr="00A66C9F">
              <w:rPr>
                <w:sz w:val="17"/>
                <w:lang w:val="fr-FR"/>
              </w:rPr>
              <w:t> </w:t>
            </w:r>
            <w:r w:rsidRPr="00A66C9F">
              <w:rPr>
                <w:sz w:val="17"/>
                <w:szCs w:val="21"/>
                <w:lang w:val="fr-FR"/>
              </w:rPr>
              <w:t>janvier 2019</w:t>
            </w:r>
          </w:p>
        </w:tc>
        <w:tc>
          <w:tcPr>
            <w:tcW w:w="1176" w:type="dxa"/>
            <w:shd w:val="clear" w:color="auto" w:fill="auto"/>
            <w:noWrap/>
            <w:vAlign w:val="bottom"/>
          </w:tcPr>
          <w:p w14:paraId="2E30DA2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21"/>
                <w:lang w:val="fr-FR"/>
              </w:rPr>
            </w:pPr>
            <w:r w:rsidRPr="00A66C9F">
              <w:rPr>
                <w:sz w:val="17"/>
                <w:szCs w:val="21"/>
                <w:lang w:val="fr-FR"/>
              </w:rPr>
              <w:t xml:space="preserve"> 1 249 </w:t>
            </w:r>
          </w:p>
        </w:tc>
        <w:tc>
          <w:tcPr>
            <w:tcW w:w="1251" w:type="dxa"/>
            <w:gridSpan w:val="2"/>
            <w:shd w:val="clear" w:color="auto" w:fill="auto"/>
            <w:noWrap/>
            <w:vAlign w:val="bottom"/>
          </w:tcPr>
          <w:p w14:paraId="232D78D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21"/>
                <w:lang w:val="fr-FR"/>
              </w:rPr>
            </w:pPr>
            <w:r w:rsidRPr="00A66C9F">
              <w:rPr>
                <w:sz w:val="17"/>
                <w:szCs w:val="21"/>
                <w:lang w:val="fr-FR"/>
              </w:rPr>
              <w:t xml:space="preserve"> 12 532 </w:t>
            </w:r>
          </w:p>
        </w:tc>
        <w:tc>
          <w:tcPr>
            <w:tcW w:w="1266" w:type="dxa"/>
            <w:shd w:val="clear" w:color="auto" w:fill="auto"/>
            <w:vAlign w:val="bottom"/>
          </w:tcPr>
          <w:p w14:paraId="22826B5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21"/>
                <w:lang w:val="fr-FR"/>
              </w:rPr>
            </w:pPr>
            <w:r w:rsidRPr="00A66C9F">
              <w:rPr>
                <w:sz w:val="17"/>
                <w:szCs w:val="21"/>
                <w:lang w:val="fr-FR"/>
              </w:rPr>
              <w:t xml:space="preserve"> – </w:t>
            </w:r>
          </w:p>
        </w:tc>
        <w:tc>
          <w:tcPr>
            <w:tcW w:w="972" w:type="dxa"/>
            <w:shd w:val="clear" w:color="auto" w:fill="auto"/>
            <w:noWrap/>
            <w:vAlign w:val="bottom"/>
          </w:tcPr>
          <w:p w14:paraId="005C8CC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21"/>
                <w:lang w:val="fr-FR"/>
              </w:rPr>
            </w:pPr>
            <w:r w:rsidRPr="00A66C9F">
              <w:rPr>
                <w:sz w:val="17"/>
                <w:szCs w:val="21"/>
                <w:lang w:val="fr-FR"/>
              </w:rPr>
              <w:t xml:space="preserve"> 13 781 </w:t>
            </w:r>
          </w:p>
        </w:tc>
      </w:tr>
      <w:tr w:rsidR="00744544" w:rsidRPr="00A66C9F" w14:paraId="0F44583D" w14:textId="77777777" w:rsidTr="00107D5D">
        <w:tc>
          <w:tcPr>
            <w:tcW w:w="2583" w:type="dxa"/>
            <w:shd w:val="clear" w:color="auto" w:fill="auto"/>
            <w:noWrap/>
            <w:vAlign w:val="bottom"/>
            <w:hideMark/>
          </w:tcPr>
          <w:p w14:paraId="7A5538A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21"/>
                <w:lang w:val="fr-FR"/>
              </w:rPr>
            </w:pPr>
            <w:r w:rsidRPr="00A66C9F">
              <w:rPr>
                <w:sz w:val="17"/>
                <w:szCs w:val="21"/>
                <w:lang w:val="fr-FR"/>
              </w:rPr>
              <w:t>Amortissements</w:t>
            </w:r>
          </w:p>
        </w:tc>
        <w:tc>
          <w:tcPr>
            <w:tcW w:w="1176" w:type="dxa"/>
            <w:shd w:val="clear" w:color="auto" w:fill="auto"/>
            <w:noWrap/>
            <w:vAlign w:val="bottom"/>
          </w:tcPr>
          <w:p w14:paraId="326BD51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21"/>
                <w:lang w:val="fr-FR"/>
              </w:rPr>
            </w:pPr>
            <w:r w:rsidRPr="00A66C9F">
              <w:rPr>
                <w:sz w:val="17"/>
                <w:szCs w:val="21"/>
                <w:lang w:val="fr-FR"/>
              </w:rPr>
              <w:t xml:space="preserve"> 71 </w:t>
            </w:r>
          </w:p>
        </w:tc>
        <w:tc>
          <w:tcPr>
            <w:tcW w:w="1251" w:type="dxa"/>
            <w:gridSpan w:val="2"/>
            <w:shd w:val="clear" w:color="auto" w:fill="auto"/>
            <w:noWrap/>
            <w:vAlign w:val="bottom"/>
          </w:tcPr>
          <w:p w14:paraId="6DDB56A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21"/>
                <w:lang w:val="fr-FR"/>
              </w:rPr>
            </w:pPr>
            <w:r w:rsidRPr="00A66C9F">
              <w:rPr>
                <w:sz w:val="17"/>
                <w:szCs w:val="21"/>
                <w:lang w:val="fr-FR"/>
              </w:rPr>
              <w:t xml:space="preserve"> 2 368 </w:t>
            </w:r>
          </w:p>
        </w:tc>
        <w:tc>
          <w:tcPr>
            <w:tcW w:w="1266" w:type="dxa"/>
            <w:shd w:val="clear" w:color="auto" w:fill="auto"/>
            <w:vAlign w:val="bottom"/>
          </w:tcPr>
          <w:p w14:paraId="1299444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21"/>
                <w:lang w:val="fr-FR"/>
              </w:rPr>
            </w:pPr>
            <w:r w:rsidRPr="00A66C9F">
              <w:rPr>
                <w:sz w:val="17"/>
                <w:szCs w:val="21"/>
                <w:lang w:val="fr-FR"/>
              </w:rPr>
              <w:t xml:space="preserve"> – </w:t>
            </w:r>
          </w:p>
        </w:tc>
        <w:tc>
          <w:tcPr>
            <w:tcW w:w="972" w:type="dxa"/>
            <w:shd w:val="clear" w:color="auto" w:fill="auto"/>
            <w:noWrap/>
            <w:vAlign w:val="bottom"/>
          </w:tcPr>
          <w:p w14:paraId="1CDE17D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21"/>
                <w:lang w:val="fr-FR"/>
              </w:rPr>
            </w:pPr>
            <w:r w:rsidRPr="00A66C9F">
              <w:rPr>
                <w:sz w:val="17"/>
                <w:szCs w:val="21"/>
                <w:lang w:val="fr-FR"/>
              </w:rPr>
              <w:t xml:space="preserve"> 2 439 </w:t>
            </w:r>
          </w:p>
        </w:tc>
      </w:tr>
      <w:tr w:rsidR="00744544" w:rsidRPr="00A66C9F" w14:paraId="79871135" w14:textId="77777777" w:rsidTr="00107D5D">
        <w:tc>
          <w:tcPr>
            <w:tcW w:w="2583" w:type="dxa"/>
            <w:shd w:val="clear" w:color="auto" w:fill="auto"/>
            <w:noWrap/>
            <w:vAlign w:val="bottom"/>
            <w:hideMark/>
          </w:tcPr>
          <w:p w14:paraId="4BF9CF3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21"/>
                <w:lang w:val="fr-FR"/>
              </w:rPr>
            </w:pPr>
            <w:r w:rsidRPr="00A66C9F">
              <w:rPr>
                <w:sz w:val="17"/>
                <w:szCs w:val="21"/>
                <w:lang w:val="fr-FR"/>
              </w:rPr>
              <w:t>Cessions/transferts</w:t>
            </w:r>
          </w:p>
        </w:tc>
        <w:tc>
          <w:tcPr>
            <w:tcW w:w="1176" w:type="dxa"/>
            <w:shd w:val="clear" w:color="auto" w:fill="auto"/>
            <w:noWrap/>
            <w:vAlign w:val="bottom"/>
          </w:tcPr>
          <w:p w14:paraId="498E32A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21"/>
                <w:lang w:val="fr-FR"/>
              </w:rPr>
            </w:pPr>
            <w:r w:rsidRPr="00A66C9F">
              <w:rPr>
                <w:sz w:val="17"/>
                <w:szCs w:val="21"/>
                <w:lang w:val="fr-FR"/>
              </w:rPr>
              <w:t xml:space="preserve"> (86)</w:t>
            </w:r>
          </w:p>
        </w:tc>
        <w:tc>
          <w:tcPr>
            <w:tcW w:w="1251" w:type="dxa"/>
            <w:gridSpan w:val="2"/>
            <w:shd w:val="clear" w:color="auto" w:fill="auto"/>
            <w:noWrap/>
            <w:vAlign w:val="bottom"/>
          </w:tcPr>
          <w:p w14:paraId="6F3A6F8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21"/>
                <w:lang w:val="fr-FR"/>
              </w:rPr>
            </w:pPr>
            <w:r w:rsidRPr="00A66C9F">
              <w:rPr>
                <w:sz w:val="17"/>
                <w:szCs w:val="21"/>
                <w:lang w:val="fr-FR"/>
              </w:rPr>
              <w:t xml:space="preserve"> – </w:t>
            </w:r>
          </w:p>
        </w:tc>
        <w:tc>
          <w:tcPr>
            <w:tcW w:w="1266" w:type="dxa"/>
            <w:shd w:val="clear" w:color="auto" w:fill="auto"/>
            <w:vAlign w:val="bottom"/>
          </w:tcPr>
          <w:p w14:paraId="2FD4C09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21"/>
                <w:lang w:val="fr-FR"/>
              </w:rPr>
            </w:pPr>
            <w:r w:rsidRPr="00A66C9F">
              <w:rPr>
                <w:sz w:val="17"/>
                <w:szCs w:val="21"/>
                <w:lang w:val="fr-FR"/>
              </w:rPr>
              <w:t xml:space="preserve"> – </w:t>
            </w:r>
          </w:p>
        </w:tc>
        <w:tc>
          <w:tcPr>
            <w:tcW w:w="972" w:type="dxa"/>
            <w:shd w:val="clear" w:color="auto" w:fill="auto"/>
            <w:noWrap/>
            <w:vAlign w:val="bottom"/>
          </w:tcPr>
          <w:p w14:paraId="0FEC5BB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21"/>
                <w:lang w:val="fr-FR"/>
              </w:rPr>
            </w:pPr>
            <w:r w:rsidRPr="00A66C9F">
              <w:rPr>
                <w:sz w:val="17"/>
                <w:szCs w:val="21"/>
                <w:lang w:val="fr-FR"/>
              </w:rPr>
              <w:t xml:space="preserve"> (86)</w:t>
            </w:r>
          </w:p>
        </w:tc>
      </w:tr>
      <w:tr w:rsidR="00744544" w:rsidRPr="00A66C9F" w14:paraId="28E98839" w14:textId="77777777" w:rsidTr="00107D5D">
        <w:tc>
          <w:tcPr>
            <w:tcW w:w="2583" w:type="dxa"/>
            <w:tcBorders>
              <w:bottom w:val="single" w:sz="4" w:space="0" w:color="auto"/>
            </w:tcBorders>
            <w:shd w:val="clear" w:color="auto" w:fill="auto"/>
            <w:noWrap/>
            <w:vAlign w:val="bottom"/>
            <w:hideMark/>
          </w:tcPr>
          <w:p w14:paraId="4DAC1205" w14:textId="77777777" w:rsidR="00744544" w:rsidRPr="00A66C9F" w:rsidRDefault="00744544" w:rsidP="00107D5D">
            <w:pPr>
              <w:keepNext/>
              <w:tabs>
                <w:tab w:val="left" w:pos="288"/>
                <w:tab w:val="left" w:pos="576"/>
                <w:tab w:val="left" w:pos="864"/>
                <w:tab w:val="left" w:pos="1152"/>
              </w:tabs>
              <w:suppressAutoHyphens/>
              <w:spacing w:before="40" w:after="81" w:line="210" w:lineRule="exact"/>
              <w:ind w:right="40"/>
              <w:rPr>
                <w:sz w:val="17"/>
                <w:szCs w:val="21"/>
                <w:lang w:val="fr-FR"/>
              </w:rPr>
            </w:pPr>
            <w:r w:rsidRPr="00A66C9F">
              <w:rPr>
                <w:sz w:val="17"/>
                <w:szCs w:val="21"/>
                <w:lang w:val="fr-FR"/>
              </w:rPr>
              <w:lastRenderedPageBreak/>
              <w:t>31 décembre 2019</w:t>
            </w:r>
          </w:p>
        </w:tc>
        <w:tc>
          <w:tcPr>
            <w:tcW w:w="1176" w:type="dxa"/>
            <w:tcBorders>
              <w:bottom w:val="single" w:sz="4" w:space="0" w:color="auto"/>
            </w:tcBorders>
            <w:shd w:val="clear" w:color="auto" w:fill="auto"/>
            <w:noWrap/>
            <w:vAlign w:val="bottom"/>
          </w:tcPr>
          <w:p w14:paraId="5D3C15B8" w14:textId="77777777" w:rsidR="00744544" w:rsidRPr="00A66C9F" w:rsidRDefault="00744544" w:rsidP="00107D5D">
            <w:pPr>
              <w:keepNext/>
              <w:tabs>
                <w:tab w:val="left" w:pos="288"/>
                <w:tab w:val="left" w:pos="576"/>
                <w:tab w:val="left" w:pos="864"/>
                <w:tab w:val="left" w:pos="1152"/>
              </w:tabs>
              <w:suppressAutoHyphens/>
              <w:spacing w:before="40" w:after="81" w:line="210" w:lineRule="exact"/>
              <w:ind w:right="43"/>
              <w:jc w:val="right"/>
              <w:rPr>
                <w:sz w:val="17"/>
                <w:szCs w:val="21"/>
                <w:lang w:val="fr-FR"/>
              </w:rPr>
            </w:pPr>
            <w:r w:rsidRPr="00A66C9F">
              <w:rPr>
                <w:sz w:val="17"/>
                <w:szCs w:val="21"/>
                <w:lang w:val="fr-FR"/>
              </w:rPr>
              <w:t xml:space="preserve"> 1 234 </w:t>
            </w:r>
          </w:p>
        </w:tc>
        <w:tc>
          <w:tcPr>
            <w:tcW w:w="1251" w:type="dxa"/>
            <w:gridSpan w:val="2"/>
            <w:tcBorders>
              <w:bottom w:val="single" w:sz="4" w:space="0" w:color="auto"/>
            </w:tcBorders>
            <w:shd w:val="clear" w:color="auto" w:fill="auto"/>
            <w:noWrap/>
            <w:vAlign w:val="bottom"/>
          </w:tcPr>
          <w:p w14:paraId="651A0DC1" w14:textId="77777777" w:rsidR="00744544" w:rsidRPr="00A66C9F" w:rsidRDefault="00744544" w:rsidP="00107D5D">
            <w:pPr>
              <w:keepNext/>
              <w:tabs>
                <w:tab w:val="left" w:pos="288"/>
                <w:tab w:val="left" w:pos="576"/>
                <w:tab w:val="left" w:pos="864"/>
                <w:tab w:val="left" w:pos="1152"/>
              </w:tabs>
              <w:suppressAutoHyphens/>
              <w:spacing w:before="40" w:after="81" w:line="210" w:lineRule="exact"/>
              <w:ind w:right="43"/>
              <w:jc w:val="right"/>
              <w:rPr>
                <w:sz w:val="17"/>
                <w:szCs w:val="21"/>
                <w:lang w:val="fr-FR"/>
              </w:rPr>
            </w:pPr>
            <w:r w:rsidRPr="00A66C9F">
              <w:rPr>
                <w:sz w:val="17"/>
                <w:szCs w:val="21"/>
                <w:lang w:val="fr-FR"/>
              </w:rPr>
              <w:t xml:space="preserve"> 14 900 </w:t>
            </w:r>
          </w:p>
        </w:tc>
        <w:tc>
          <w:tcPr>
            <w:tcW w:w="1266" w:type="dxa"/>
            <w:tcBorders>
              <w:bottom w:val="single" w:sz="4" w:space="0" w:color="auto"/>
            </w:tcBorders>
            <w:shd w:val="clear" w:color="auto" w:fill="auto"/>
            <w:vAlign w:val="bottom"/>
          </w:tcPr>
          <w:p w14:paraId="338EA41E" w14:textId="77777777" w:rsidR="00744544" w:rsidRPr="00A66C9F" w:rsidRDefault="00744544" w:rsidP="00107D5D">
            <w:pPr>
              <w:keepNext/>
              <w:tabs>
                <w:tab w:val="left" w:pos="288"/>
                <w:tab w:val="left" w:pos="576"/>
                <w:tab w:val="left" w:pos="864"/>
                <w:tab w:val="left" w:pos="1152"/>
              </w:tabs>
              <w:suppressAutoHyphens/>
              <w:spacing w:before="40" w:after="81" w:line="210" w:lineRule="exact"/>
              <w:ind w:right="43"/>
              <w:jc w:val="right"/>
              <w:rPr>
                <w:sz w:val="17"/>
                <w:szCs w:val="21"/>
                <w:lang w:val="fr-FR"/>
              </w:rPr>
            </w:pPr>
            <w:r w:rsidRPr="00A66C9F">
              <w:rPr>
                <w:sz w:val="17"/>
                <w:szCs w:val="21"/>
                <w:lang w:val="fr-FR"/>
              </w:rPr>
              <w:t xml:space="preserve"> – </w:t>
            </w:r>
          </w:p>
        </w:tc>
        <w:tc>
          <w:tcPr>
            <w:tcW w:w="972" w:type="dxa"/>
            <w:tcBorders>
              <w:bottom w:val="single" w:sz="4" w:space="0" w:color="auto"/>
            </w:tcBorders>
            <w:shd w:val="clear" w:color="auto" w:fill="auto"/>
            <w:noWrap/>
            <w:vAlign w:val="bottom"/>
          </w:tcPr>
          <w:p w14:paraId="023AE82C" w14:textId="77777777" w:rsidR="00744544" w:rsidRPr="00A66C9F" w:rsidRDefault="00744544" w:rsidP="00107D5D">
            <w:pPr>
              <w:keepNext/>
              <w:tabs>
                <w:tab w:val="left" w:pos="288"/>
                <w:tab w:val="left" w:pos="576"/>
                <w:tab w:val="left" w:pos="864"/>
                <w:tab w:val="left" w:pos="1152"/>
              </w:tabs>
              <w:suppressAutoHyphens/>
              <w:spacing w:before="40" w:after="81" w:line="210" w:lineRule="exact"/>
              <w:ind w:right="43"/>
              <w:jc w:val="right"/>
              <w:rPr>
                <w:sz w:val="17"/>
                <w:szCs w:val="21"/>
                <w:lang w:val="fr-FR"/>
              </w:rPr>
            </w:pPr>
            <w:r w:rsidRPr="00A66C9F">
              <w:rPr>
                <w:sz w:val="17"/>
                <w:szCs w:val="21"/>
                <w:lang w:val="fr-FR"/>
              </w:rPr>
              <w:t xml:space="preserve"> 16 134 </w:t>
            </w:r>
          </w:p>
        </w:tc>
      </w:tr>
      <w:tr w:rsidR="00744544" w:rsidRPr="00A66C9F" w14:paraId="6B79FDE1" w14:textId="77777777" w:rsidTr="00107D5D">
        <w:tc>
          <w:tcPr>
            <w:tcW w:w="2583" w:type="dxa"/>
            <w:tcBorders>
              <w:top w:val="single" w:sz="4" w:space="0" w:color="auto"/>
              <w:bottom w:val="single" w:sz="12" w:space="0" w:color="auto"/>
            </w:tcBorders>
            <w:shd w:val="clear" w:color="auto" w:fill="auto"/>
            <w:noWrap/>
            <w:vAlign w:val="bottom"/>
            <w:hideMark/>
          </w:tcPr>
          <w:p w14:paraId="221BBAF1" w14:textId="77777777" w:rsidR="00744544" w:rsidRPr="00A66C9F" w:rsidRDefault="00744544" w:rsidP="00107D5D">
            <w:pPr>
              <w:tabs>
                <w:tab w:val="left" w:pos="288"/>
                <w:tab w:val="left" w:pos="576"/>
                <w:tab w:val="left" w:pos="864"/>
                <w:tab w:val="left" w:pos="1152"/>
              </w:tabs>
              <w:suppressAutoHyphens/>
              <w:spacing w:before="81" w:after="81" w:line="210" w:lineRule="exact"/>
              <w:ind w:left="288" w:right="40" w:hanging="288"/>
              <w:rPr>
                <w:b/>
                <w:sz w:val="17"/>
                <w:szCs w:val="21"/>
                <w:lang w:val="fr-FR"/>
              </w:rPr>
            </w:pPr>
            <w:r w:rsidRPr="00A66C9F">
              <w:rPr>
                <w:b/>
                <w:sz w:val="17"/>
                <w:szCs w:val="21"/>
                <w:lang w:val="fr-FR"/>
              </w:rPr>
              <w:tab/>
              <w:t>Valeur nette comptable, 31</w:t>
            </w:r>
            <w:r w:rsidRPr="00A66C9F">
              <w:rPr>
                <w:b/>
                <w:sz w:val="17"/>
                <w:lang w:val="fr-FR"/>
              </w:rPr>
              <w:t> </w:t>
            </w:r>
            <w:r w:rsidRPr="00A66C9F">
              <w:rPr>
                <w:b/>
                <w:sz w:val="17"/>
                <w:szCs w:val="21"/>
                <w:lang w:val="fr-FR"/>
              </w:rPr>
              <w:t>décembre</w:t>
            </w:r>
            <w:r w:rsidRPr="00A66C9F">
              <w:rPr>
                <w:b/>
                <w:sz w:val="17"/>
                <w:lang w:val="fr-FR"/>
              </w:rPr>
              <w:t> </w:t>
            </w:r>
            <w:r w:rsidRPr="00A66C9F">
              <w:rPr>
                <w:b/>
                <w:sz w:val="17"/>
                <w:szCs w:val="21"/>
                <w:lang w:val="fr-FR"/>
              </w:rPr>
              <w:t>2019</w:t>
            </w:r>
          </w:p>
        </w:tc>
        <w:tc>
          <w:tcPr>
            <w:tcW w:w="1176" w:type="dxa"/>
            <w:tcBorders>
              <w:top w:val="single" w:sz="4" w:space="0" w:color="auto"/>
              <w:bottom w:val="single" w:sz="12" w:space="0" w:color="auto"/>
            </w:tcBorders>
            <w:shd w:val="clear" w:color="auto" w:fill="auto"/>
            <w:noWrap/>
            <w:vAlign w:val="bottom"/>
          </w:tcPr>
          <w:p w14:paraId="1CDF7DEE"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szCs w:val="21"/>
                <w:lang w:val="fr-FR"/>
              </w:rPr>
            </w:pPr>
            <w:r w:rsidRPr="00A66C9F">
              <w:rPr>
                <w:b/>
                <w:sz w:val="17"/>
                <w:szCs w:val="21"/>
                <w:lang w:val="fr-FR"/>
              </w:rPr>
              <w:t xml:space="preserve"> – </w:t>
            </w:r>
          </w:p>
        </w:tc>
        <w:tc>
          <w:tcPr>
            <w:tcW w:w="1251" w:type="dxa"/>
            <w:gridSpan w:val="2"/>
            <w:tcBorders>
              <w:top w:val="single" w:sz="4" w:space="0" w:color="auto"/>
              <w:bottom w:val="single" w:sz="12" w:space="0" w:color="auto"/>
            </w:tcBorders>
            <w:shd w:val="clear" w:color="auto" w:fill="auto"/>
            <w:noWrap/>
            <w:vAlign w:val="bottom"/>
          </w:tcPr>
          <w:p w14:paraId="44EEC6C9"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szCs w:val="21"/>
                <w:lang w:val="fr-FR"/>
              </w:rPr>
            </w:pPr>
            <w:r w:rsidRPr="00A66C9F">
              <w:rPr>
                <w:b/>
                <w:sz w:val="17"/>
                <w:szCs w:val="21"/>
                <w:lang w:val="fr-FR"/>
              </w:rPr>
              <w:t xml:space="preserve"> 3 724 </w:t>
            </w:r>
          </w:p>
        </w:tc>
        <w:tc>
          <w:tcPr>
            <w:tcW w:w="1266" w:type="dxa"/>
            <w:tcBorders>
              <w:top w:val="single" w:sz="4" w:space="0" w:color="auto"/>
              <w:bottom w:val="single" w:sz="12" w:space="0" w:color="auto"/>
            </w:tcBorders>
            <w:shd w:val="clear" w:color="auto" w:fill="auto"/>
            <w:vAlign w:val="bottom"/>
          </w:tcPr>
          <w:p w14:paraId="174CF71F"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szCs w:val="21"/>
                <w:lang w:val="fr-FR"/>
              </w:rPr>
            </w:pPr>
            <w:r w:rsidRPr="00A66C9F">
              <w:rPr>
                <w:b/>
                <w:sz w:val="17"/>
                <w:szCs w:val="21"/>
                <w:lang w:val="fr-FR"/>
              </w:rPr>
              <w:t xml:space="preserve"> – </w:t>
            </w:r>
          </w:p>
        </w:tc>
        <w:tc>
          <w:tcPr>
            <w:tcW w:w="972" w:type="dxa"/>
            <w:tcBorders>
              <w:top w:val="single" w:sz="4" w:space="0" w:color="auto"/>
              <w:bottom w:val="single" w:sz="12" w:space="0" w:color="auto"/>
            </w:tcBorders>
            <w:shd w:val="clear" w:color="auto" w:fill="auto"/>
            <w:noWrap/>
            <w:vAlign w:val="bottom"/>
          </w:tcPr>
          <w:p w14:paraId="7EB11B87"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szCs w:val="21"/>
                <w:lang w:val="fr-FR"/>
              </w:rPr>
            </w:pPr>
            <w:r w:rsidRPr="00A66C9F">
              <w:rPr>
                <w:b/>
                <w:sz w:val="17"/>
                <w:szCs w:val="21"/>
                <w:lang w:val="fr-FR"/>
              </w:rPr>
              <w:t xml:space="preserve"> 3 724 </w:t>
            </w:r>
          </w:p>
        </w:tc>
      </w:tr>
    </w:tbl>
    <w:p w14:paraId="420D9A0C" w14:textId="77777777" w:rsidR="00744544" w:rsidRPr="00A66C9F" w:rsidRDefault="00744544" w:rsidP="00744544">
      <w:pPr>
        <w:pStyle w:val="SingleTxt"/>
        <w:spacing w:after="0" w:line="120" w:lineRule="exact"/>
        <w:rPr>
          <w:sz w:val="10"/>
          <w:lang w:val="fr-FR"/>
        </w:rPr>
      </w:pPr>
    </w:p>
    <w:p w14:paraId="1EDB9B33" w14:textId="77777777" w:rsidR="00744544" w:rsidRPr="00A66C9F" w:rsidRDefault="00744544" w:rsidP="00744544">
      <w:pPr>
        <w:pStyle w:val="SingleTxt"/>
        <w:spacing w:after="0" w:line="120" w:lineRule="exact"/>
        <w:rPr>
          <w:sz w:val="10"/>
          <w:szCs w:val="20"/>
          <w:lang w:val="fr-FR"/>
        </w:rPr>
      </w:pPr>
    </w:p>
    <w:p w14:paraId="69DDA906" w14:textId="77777777" w:rsidR="00744544" w:rsidRPr="00A66C9F" w:rsidRDefault="00744544" w:rsidP="00744544">
      <w:pPr>
        <w:pStyle w:val="SingleTxt"/>
        <w:spacing w:after="0" w:line="120" w:lineRule="exact"/>
        <w:rPr>
          <w:sz w:val="10"/>
          <w:szCs w:val="20"/>
          <w:lang w:val="fr-FR"/>
        </w:rPr>
      </w:pPr>
    </w:p>
    <w:p w14:paraId="77AA3F8A" w14:textId="77777777" w:rsidR="00744544" w:rsidRPr="00A66C9F" w:rsidRDefault="00744544" w:rsidP="0074454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lang w:val="fr-FR"/>
        </w:rPr>
        <w:tab/>
      </w:r>
      <w:r w:rsidRPr="00A66C9F">
        <w:rPr>
          <w:lang w:val="fr-FR"/>
        </w:rPr>
        <w:tab/>
      </w:r>
      <w:r w:rsidRPr="00A66C9F">
        <w:rPr>
          <w:sz w:val="14"/>
          <w:szCs w:val="14"/>
          <w:lang w:val="fr-FR"/>
        </w:rPr>
        <w:t>(En milliers de dollars des États-Unis)</w:t>
      </w:r>
    </w:p>
    <w:p w14:paraId="595494B5" w14:textId="77777777" w:rsidR="00744544" w:rsidRPr="00A66C9F" w:rsidRDefault="00744544" w:rsidP="00744544">
      <w:pPr>
        <w:pStyle w:val="SingleTxt"/>
        <w:spacing w:after="0" w:line="120" w:lineRule="exact"/>
        <w:rPr>
          <w:sz w:val="10"/>
          <w:szCs w:val="14"/>
          <w:lang w:val="fr-FR"/>
        </w:rPr>
      </w:pPr>
    </w:p>
    <w:p w14:paraId="1CD9BC19" w14:textId="77777777" w:rsidR="00744544" w:rsidRPr="00A66C9F" w:rsidRDefault="00744544" w:rsidP="00744544">
      <w:pPr>
        <w:pStyle w:val="SingleTxt"/>
        <w:spacing w:after="0" w:line="120" w:lineRule="exact"/>
        <w:rPr>
          <w:sz w:val="10"/>
          <w:lang w:val="fr-FR"/>
        </w:rPr>
      </w:pPr>
    </w:p>
    <w:tbl>
      <w:tblPr>
        <w:tblW w:w="7353" w:type="dxa"/>
        <w:tblInd w:w="1260" w:type="dxa"/>
        <w:tblLayout w:type="fixed"/>
        <w:tblCellMar>
          <w:left w:w="0" w:type="dxa"/>
          <w:right w:w="0" w:type="dxa"/>
        </w:tblCellMar>
        <w:tblLook w:val="04A0" w:firstRow="1" w:lastRow="0" w:firstColumn="1" w:lastColumn="0" w:noHBand="0" w:noVBand="1"/>
      </w:tblPr>
      <w:tblGrid>
        <w:gridCol w:w="2547"/>
        <w:gridCol w:w="1206"/>
        <w:gridCol w:w="72"/>
        <w:gridCol w:w="1170"/>
        <w:gridCol w:w="1242"/>
        <w:gridCol w:w="1116"/>
      </w:tblGrid>
      <w:tr w:rsidR="00744544" w:rsidRPr="00A66C9F" w14:paraId="697B08FF" w14:textId="77777777" w:rsidTr="00107D5D">
        <w:trPr>
          <w:trHeight w:val="315"/>
          <w:tblHeader/>
        </w:trPr>
        <w:tc>
          <w:tcPr>
            <w:tcW w:w="2547" w:type="dxa"/>
            <w:tcBorders>
              <w:top w:val="single" w:sz="4" w:space="0" w:color="auto"/>
            </w:tcBorders>
            <w:shd w:val="clear" w:color="auto" w:fill="auto"/>
            <w:noWrap/>
            <w:vAlign w:val="bottom"/>
            <w:hideMark/>
          </w:tcPr>
          <w:p w14:paraId="6811C47A" w14:textId="77777777" w:rsidR="00744544" w:rsidRPr="00A66C9F" w:rsidRDefault="00744544" w:rsidP="00107D5D">
            <w:pPr>
              <w:suppressAutoHyphens/>
              <w:spacing w:before="81" w:after="81" w:line="160" w:lineRule="exact"/>
              <w:ind w:right="43"/>
              <w:jc w:val="center"/>
              <w:rPr>
                <w:i/>
                <w:iCs/>
                <w:sz w:val="14"/>
                <w:szCs w:val="24"/>
                <w:lang w:val="fr-FR"/>
              </w:rPr>
            </w:pPr>
            <w:r w:rsidRPr="00A66C9F">
              <w:rPr>
                <w:i/>
                <w:iCs/>
                <w:sz w:val="14"/>
                <w:szCs w:val="24"/>
                <w:lang w:val="fr-FR"/>
              </w:rPr>
              <w:t> </w:t>
            </w:r>
          </w:p>
        </w:tc>
        <w:tc>
          <w:tcPr>
            <w:tcW w:w="1206" w:type="dxa"/>
            <w:tcBorders>
              <w:top w:val="single" w:sz="4" w:space="0" w:color="auto"/>
              <w:bottom w:val="single" w:sz="4" w:space="0" w:color="auto"/>
            </w:tcBorders>
            <w:shd w:val="clear" w:color="auto" w:fill="auto"/>
            <w:noWrap/>
            <w:vAlign w:val="bottom"/>
            <w:hideMark/>
          </w:tcPr>
          <w:p w14:paraId="0CAB5B68" w14:textId="77777777" w:rsidR="00744544" w:rsidRPr="00A66C9F" w:rsidRDefault="00744544" w:rsidP="00107D5D">
            <w:pPr>
              <w:suppressAutoHyphens/>
              <w:spacing w:before="81" w:after="81" w:line="160" w:lineRule="exact"/>
              <w:ind w:right="43"/>
              <w:jc w:val="right"/>
              <w:rPr>
                <w:i/>
                <w:iCs/>
                <w:sz w:val="14"/>
                <w:szCs w:val="24"/>
                <w:lang w:val="fr-FR"/>
              </w:rPr>
            </w:pPr>
            <w:r w:rsidRPr="00A66C9F">
              <w:rPr>
                <w:i/>
                <w:iCs/>
                <w:sz w:val="14"/>
                <w:lang w:val="fr-FR"/>
              </w:rPr>
              <w:t>Matériel informatique</w:t>
            </w:r>
          </w:p>
        </w:tc>
        <w:tc>
          <w:tcPr>
            <w:tcW w:w="72" w:type="dxa"/>
            <w:tcBorders>
              <w:top w:val="single" w:sz="4" w:space="0" w:color="auto"/>
            </w:tcBorders>
            <w:shd w:val="clear" w:color="auto" w:fill="auto"/>
            <w:noWrap/>
            <w:vAlign w:val="bottom"/>
            <w:hideMark/>
          </w:tcPr>
          <w:p w14:paraId="24DE6B84" w14:textId="77777777" w:rsidR="00744544" w:rsidRPr="00A66C9F" w:rsidRDefault="00744544" w:rsidP="00107D5D">
            <w:pPr>
              <w:suppressAutoHyphens/>
              <w:spacing w:before="81" w:after="81" w:line="160" w:lineRule="exact"/>
              <w:ind w:right="43"/>
              <w:jc w:val="right"/>
              <w:rPr>
                <w:i/>
                <w:iCs/>
                <w:sz w:val="14"/>
                <w:szCs w:val="24"/>
                <w:lang w:val="fr-FR"/>
              </w:rPr>
            </w:pPr>
          </w:p>
        </w:tc>
        <w:tc>
          <w:tcPr>
            <w:tcW w:w="2412" w:type="dxa"/>
            <w:gridSpan w:val="2"/>
            <w:tcBorders>
              <w:top w:val="single" w:sz="4" w:space="0" w:color="auto"/>
              <w:bottom w:val="single" w:sz="4" w:space="0" w:color="auto"/>
            </w:tcBorders>
            <w:shd w:val="clear" w:color="auto" w:fill="auto"/>
            <w:vAlign w:val="bottom"/>
          </w:tcPr>
          <w:p w14:paraId="03CF6C6A" w14:textId="77777777" w:rsidR="00744544" w:rsidRPr="00A66C9F" w:rsidRDefault="00744544" w:rsidP="00107D5D">
            <w:pPr>
              <w:suppressAutoHyphens/>
              <w:spacing w:before="81" w:after="81" w:line="160" w:lineRule="exact"/>
              <w:ind w:right="43"/>
              <w:jc w:val="center"/>
              <w:rPr>
                <w:i/>
                <w:iCs/>
                <w:sz w:val="14"/>
                <w:szCs w:val="24"/>
                <w:lang w:val="fr-FR"/>
              </w:rPr>
            </w:pPr>
            <w:r w:rsidRPr="00A66C9F">
              <w:rPr>
                <w:i/>
                <w:iCs/>
                <w:sz w:val="14"/>
                <w:lang w:val="fr-FR"/>
              </w:rPr>
              <w:t>Améliorations locatives</w:t>
            </w:r>
          </w:p>
        </w:tc>
        <w:tc>
          <w:tcPr>
            <w:tcW w:w="1116" w:type="dxa"/>
            <w:tcBorders>
              <w:top w:val="single" w:sz="4" w:space="0" w:color="auto"/>
            </w:tcBorders>
            <w:shd w:val="clear" w:color="auto" w:fill="auto"/>
            <w:noWrap/>
            <w:vAlign w:val="bottom"/>
            <w:hideMark/>
          </w:tcPr>
          <w:p w14:paraId="477EE098" w14:textId="77777777" w:rsidR="00744544" w:rsidRPr="00A66C9F" w:rsidRDefault="00744544" w:rsidP="00107D5D">
            <w:pPr>
              <w:suppressAutoHyphens/>
              <w:spacing w:before="81" w:after="81" w:line="160" w:lineRule="exact"/>
              <w:ind w:right="43"/>
              <w:jc w:val="right"/>
              <w:rPr>
                <w:i/>
                <w:iCs/>
                <w:sz w:val="14"/>
                <w:szCs w:val="24"/>
                <w:lang w:val="fr-FR"/>
              </w:rPr>
            </w:pPr>
          </w:p>
        </w:tc>
      </w:tr>
      <w:tr w:rsidR="00744544" w:rsidRPr="00A66C9F" w14:paraId="6117C2F4" w14:textId="77777777" w:rsidTr="00107D5D">
        <w:trPr>
          <w:trHeight w:val="315"/>
          <w:tblHeader/>
        </w:trPr>
        <w:tc>
          <w:tcPr>
            <w:tcW w:w="2547" w:type="dxa"/>
            <w:tcBorders>
              <w:bottom w:val="single" w:sz="12" w:space="0" w:color="auto"/>
            </w:tcBorders>
            <w:shd w:val="clear" w:color="auto" w:fill="auto"/>
            <w:noWrap/>
            <w:vAlign w:val="bottom"/>
          </w:tcPr>
          <w:p w14:paraId="3015206A" w14:textId="77777777" w:rsidR="00744544" w:rsidRPr="00A66C9F" w:rsidRDefault="00744544" w:rsidP="00107D5D">
            <w:pPr>
              <w:keepNext/>
              <w:keepLines/>
              <w:suppressAutoHyphens/>
              <w:spacing w:before="81" w:after="81" w:line="160" w:lineRule="exact"/>
              <w:ind w:right="40"/>
              <w:rPr>
                <w:i/>
                <w:iCs/>
                <w:sz w:val="14"/>
                <w:szCs w:val="24"/>
                <w:lang w:val="fr-FR"/>
              </w:rPr>
            </w:pPr>
          </w:p>
        </w:tc>
        <w:tc>
          <w:tcPr>
            <w:tcW w:w="1206" w:type="dxa"/>
            <w:tcBorders>
              <w:bottom w:val="single" w:sz="12" w:space="0" w:color="auto"/>
            </w:tcBorders>
            <w:shd w:val="clear" w:color="auto" w:fill="auto"/>
            <w:noWrap/>
            <w:vAlign w:val="bottom"/>
          </w:tcPr>
          <w:p w14:paraId="35894D10" w14:textId="77777777" w:rsidR="00744544" w:rsidRPr="00A66C9F" w:rsidRDefault="00744544" w:rsidP="00107D5D">
            <w:pPr>
              <w:keepNext/>
              <w:keepLines/>
              <w:suppressAutoHyphens/>
              <w:spacing w:before="81" w:after="81" w:line="160" w:lineRule="exact"/>
              <w:ind w:right="40"/>
              <w:jc w:val="right"/>
              <w:rPr>
                <w:i/>
                <w:iCs/>
                <w:sz w:val="14"/>
                <w:szCs w:val="24"/>
                <w:lang w:val="fr-FR"/>
              </w:rPr>
            </w:pPr>
            <w:r w:rsidRPr="00A66C9F">
              <w:rPr>
                <w:i/>
                <w:iCs/>
                <w:sz w:val="14"/>
                <w:lang w:val="fr-FR"/>
              </w:rPr>
              <w:t>En service</w:t>
            </w:r>
          </w:p>
        </w:tc>
        <w:tc>
          <w:tcPr>
            <w:tcW w:w="1242" w:type="dxa"/>
            <w:gridSpan w:val="2"/>
            <w:tcBorders>
              <w:bottom w:val="single" w:sz="12" w:space="0" w:color="auto"/>
            </w:tcBorders>
            <w:shd w:val="clear" w:color="auto" w:fill="auto"/>
            <w:noWrap/>
            <w:vAlign w:val="bottom"/>
          </w:tcPr>
          <w:p w14:paraId="6F5E2E62" w14:textId="77777777" w:rsidR="00744544" w:rsidRPr="00A66C9F" w:rsidRDefault="00744544" w:rsidP="00107D5D">
            <w:pPr>
              <w:keepNext/>
              <w:keepLines/>
              <w:suppressAutoHyphens/>
              <w:spacing w:before="81" w:after="81" w:line="160" w:lineRule="exact"/>
              <w:ind w:right="40"/>
              <w:jc w:val="right"/>
              <w:rPr>
                <w:i/>
                <w:iCs/>
                <w:sz w:val="14"/>
                <w:szCs w:val="24"/>
                <w:lang w:val="fr-FR"/>
              </w:rPr>
            </w:pPr>
            <w:r w:rsidRPr="00A66C9F">
              <w:rPr>
                <w:i/>
                <w:iCs/>
                <w:sz w:val="14"/>
                <w:lang w:val="fr-FR"/>
              </w:rPr>
              <w:t>En service</w:t>
            </w:r>
          </w:p>
        </w:tc>
        <w:tc>
          <w:tcPr>
            <w:tcW w:w="1242" w:type="dxa"/>
            <w:tcBorders>
              <w:bottom w:val="single" w:sz="12" w:space="0" w:color="auto"/>
            </w:tcBorders>
            <w:shd w:val="clear" w:color="auto" w:fill="auto"/>
            <w:vAlign w:val="bottom"/>
          </w:tcPr>
          <w:p w14:paraId="0B266210" w14:textId="77777777" w:rsidR="00744544" w:rsidRPr="00A66C9F" w:rsidRDefault="00744544" w:rsidP="00107D5D">
            <w:pPr>
              <w:keepNext/>
              <w:keepLines/>
              <w:suppressAutoHyphens/>
              <w:spacing w:before="81" w:after="81" w:line="160" w:lineRule="exact"/>
              <w:ind w:right="40"/>
              <w:jc w:val="right"/>
              <w:rPr>
                <w:i/>
                <w:iCs/>
                <w:sz w:val="14"/>
                <w:szCs w:val="24"/>
                <w:lang w:val="fr-FR"/>
              </w:rPr>
            </w:pPr>
            <w:r w:rsidRPr="00A66C9F">
              <w:rPr>
                <w:i/>
                <w:iCs/>
                <w:sz w:val="14"/>
                <w:lang w:val="fr-FR"/>
              </w:rPr>
              <w:t>En construction</w:t>
            </w:r>
          </w:p>
        </w:tc>
        <w:tc>
          <w:tcPr>
            <w:tcW w:w="1116" w:type="dxa"/>
            <w:tcBorders>
              <w:bottom w:val="single" w:sz="12" w:space="0" w:color="auto"/>
            </w:tcBorders>
            <w:shd w:val="clear" w:color="auto" w:fill="auto"/>
            <w:noWrap/>
            <w:vAlign w:val="bottom"/>
          </w:tcPr>
          <w:p w14:paraId="5A8CA80C" w14:textId="77777777" w:rsidR="00744544" w:rsidRPr="00A66C9F" w:rsidRDefault="00744544" w:rsidP="00107D5D">
            <w:pPr>
              <w:keepNext/>
              <w:keepLines/>
              <w:suppressAutoHyphens/>
              <w:spacing w:before="81" w:after="81" w:line="160" w:lineRule="exact"/>
              <w:ind w:right="40"/>
              <w:jc w:val="right"/>
              <w:rPr>
                <w:i/>
                <w:iCs/>
                <w:sz w:val="14"/>
                <w:szCs w:val="24"/>
                <w:lang w:val="fr-FR"/>
              </w:rPr>
            </w:pPr>
            <w:r w:rsidRPr="00A66C9F">
              <w:rPr>
                <w:i/>
                <w:iCs/>
                <w:sz w:val="14"/>
                <w:lang w:val="fr-FR"/>
              </w:rPr>
              <w:t>Total</w:t>
            </w:r>
          </w:p>
        </w:tc>
      </w:tr>
      <w:tr w:rsidR="00744544" w:rsidRPr="00A66C9F" w14:paraId="369F6603" w14:textId="77777777" w:rsidTr="00107D5D">
        <w:trPr>
          <w:trHeight w:hRule="exact" w:val="115"/>
          <w:tblHeader/>
        </w:trPr>
        <w:tc>
          <w:tcPr>
            <w:tcW w:w="2547" w:type="dxa"/>
            <w:tcBorders>
              <w:top w:val="single" w:sz="12" w:space="0" w:color="auto"/>
            </w:tcBorders>
            <w:shd w:val="clear" w:color="auto" w:fill="auto"/>
            <w:noWrap/>
            <w:vAlign w:val="bottom"/>
          </w:tcPr>
          <w:p w14:paraId="679EE860" w14:textId="77777777" w:rsidR="00744544" w:rsidRPr="00A66C9F" w:rsidRDefault="00744544" w:rsidP="00107D5D">
            <w:pPr>
              <w:keepNext/>
              <w:keepLines/>
              <w:suppressAutoHyphens/>
              <w:spacing w:before="40" w:after="40" w:line="210" w:lineRule="exact"/>
              <w:ind w:right="40"/>
              <w:rPr>
                <w:b/>
                <w:bCs/>
                <w:sz w:val="17"/>
                <w:lang w:val="fr-FR"/>
              </w:rPr>
            </w:pPr>
          </w:p>
        </w:tc>
        <w:tc>
          <w:tcPr>
            <w:tcW w:w="1206" w:type="dxa"/>
            <w:tcBorders>
              <w:top w:val="single" w:sz="12" w:space="0" w:color="auto"/>
            </w:tcBorders>
            <w:shd w:val="clear" w:color="auto" w:fill="auto"/>
            <w:noWrap/>
            <w:vAlign w:val="bottom"/>
          </w:tcPr>
          <w:p w14:paraId="56458DA1" w14:textId="77777777" w:rsidR="00744544" w:rsidRPr="00A66C9F" w:rsidRDefault="00744544" w:rsidP="00107D5D">
            <w:pPr>
              <w:keepNext/>
              <w:keepLines/>
              <w:suppressAutoHyphens/>
              <w:spacing w:before="40" w:after="40" w:line="210" w:lineRule="exact"/>
              <w:ind w:right="40"/>
              <w:rPr>
                <w:sz w:val="17"/>
                <w:szCs w:val="17"/>
                <w:lang w:val="fr-FR"/>
              </w:rPr>
            </w:pPr>
          </w:p>
        </w:tc>
        <w:tc>
          <w:tcPr>
            <w:tcW w:w="1242" w:type="dxa"/>
            <w:gridSpan w:val="2"/>
            <w:tcBorders>
              <w:top w:val="single" w:sz="12" w:space="0" w:color="auto"/>
            </w:tcBorders>
            <w:shd w:val="clear" w:color="auto" w:fill="auto"/>
            <w:noWrap/>
            <w:vAlign w:val="bottom"/>
          </w:tcPr>
          <w:p w14:paraId="455742C3" w14:textId="77777777" w:rsidR="00744544" w:rsidRPr="00A66C9F" w:rsidRDefault="00744544" w:rsidP="00107D5D">
            <w:pPr>
              <w:keepNext/>
              <w:keepLines/>
              <w:suppressAutoHyphens/>
              <w:spacing w:before="40" w:after="40" w:line="210" w:lineRule="exact"/>
              <w:ind w:right="40"/>
              <w:rPr>
                <w:sz w:val="17"/>
                <w:szCs w:val="17"/>
                <w:lang w:val="fr-FR"/>
              </w:rPr>
            </w:pPr>
          </w:p>
        </w:tc>
        <w:tc>
          <w:tcPr>
            <w:tcW w:w="1242" w:type="dxa"/>
            <w:tcBorders>
              <w:top w:val="single" w:sz="12" w:space="0" w:color="auto"/>
            </w:tcBorders>
            <w:shd w:val="clear" w:color="auto" w:fill="auto"/>
            <w:vAlign w:val="bottom"/>
          </w:tcPr>
          <w:p w14:paraId="3FA9148C" w14:textId="77777777" w:rsidR="00744544" w:rsidRPr="00A66C9F" w:rsidRDefault="00744544" w:rsidP="00107D5D">
            <w:pPr>
              <w:keepNext/>
              <w:keepLines/>
              <w:suppressAutoHyphens/>
              <w:spacing w:before="40" w:after="40" w:line="210" w:lineRule="exact"/>
              <w:ind w:right="40"/>
              <w:rPr>
                <w:sz w:val="17"/>
                <w:szCs w:val="17"/>
                <w:lang w:val="fr-FR"/>
              </w:rPr>
            </w:pPr>
          </w:p>
        </w:tc>
        <w:tc>
          <w:tcPr>
            <w:tcW w:w="1116" w:type="dxa"/>
            <w:tcBorders>
              <w:top w:val="single" w:sz="12" w:space="0" w:color="auto"/>
            </w:tcBorders>
            <w:shd w:val="clear" w:color="auto" w:fill="auto"/>
            <w:noWrap/>
            <w:vAlign w:val="bottom"/>
          </w:tcPr>
          <w:p w14:paraId="5486134D" w14:textId="77777777" w:rsidR="00744544" w:rsidRPr="00A66C9F" w:rsidRDefault="00744544" w:rsidP="00107D5D">
            <w:pPr>
              <w:keepNext/>
              <w:keepLines/>
              <w:suppressAutoHyphens/>
              <w:spacing w:before="40" w:after="40" w:line="210" w:lineRule="exact"/>
              <w:ind w:right="40"/>
              <w:rPr>
                <w:sz w:val="17"/>
                <w:szCs w:val="17"/>
                <w:lang w:val="fr-FR"/>
              </w:rPr>
            </w:pPr>
          </w:p>
        </w:tc>
      </w:tr>
      <w:tr w:rsidR="00744544" w:rsidRPr="00A66C9F" w14:paraId="12AC8E72" w14:textId="77777777" w:rsidTr="00107D5D">
        <w:trPr>
          <w:tblHeader/>
        </w:trPr>
        <w:tc>
          <w:tcPr>
            <w:tcW w:w="2547" w:type="dxa"/>
            <w:shd w:val="clear" w:color="auto" w:fill="auto"/>
            <w:noWrap/>
            <w:vAlign w:val="bottom"/>
            <w:hideMark/>
          </w:tcPr>
          <w:p w14:paraId="1C19504B" w14:textId="77777777" w:rsidR="00744544" w:rsidRPr="00A66C9F" w:rsidRDefault="00744544" w:rsidP="00107D5D">
            <w:pPr>
              <w:keepNext/>
              <w:keepLines/>
              <w:suppressAutoHyphens/>
              <w:spacing w:before="40" w:after="40" w:line="210" w:lineRule="exact"/>
              <w:ind w:right="40"/>
              <w:rPr>
                <w:b/>
                <w:bCs/>
                <w:sz w:val="17"/>
                <w:szCs w:val="17"/>
                <w:lang w:val="fr-FR"/>
              </w:rPr>
            </w:pPr>
            <w:r w:rsidRPr="00A66C9F">
              <w:rPr>
                <w:b/>
                <w:bCs/>
                <w:sz w:val="17"/>
                <w:szCs w:val="17"/>
                <w:lang w:val="fr-FR"/>
              </w:rPr>
              <w:t>Coût</w:t>
            </w:r>
          </w:p>
        </w:tc>
        <w:tc>
          <w:tcPr>
            <w:tcW w:w="1206" w:type="dxa"/>
            <w:shd w:val="clear" w:color="auto" w:fill="auto"/>
            <w:noWrap/>
            <w:vAlign w:val="bottom"/>
            <w:hideMark/>
          </w:tcPr>
          <w:p w14:paraId="122A0080" w14:textId="77777777" w:rsidR="00744544" w:rsidRPr="00A66C9F" w:rsidRDefault="00744544" w:rsidP="00107D5D">
            <w:pPr>
              <w:keepNext/>
              <w:keepLines/>
              <w:suppressAutoHyphens/>
              <w:spacing w:before="40" w:after="40" w:line="210" w:lineRule="exact"/>
              <w:ind w:right="40"/>
              <w:jc w:val="right"/>
              <w:rPr>
                <w:sz w:val="17"/>
                <w:szCs w:val="17"/>
                <w:lang w:val="fr-FR"/>
              </w:rPr>
            </w:pPr>
            <w:r w:rsidRPr="00A66C9F">
              <w:rPr>
                <w:sz w:val="17"/>
                <w:szCs w:val="17"/>
                <w:lang w:val="fr-FR"/>
              </w:rPr>
              <w:t> </w:t>
            </w:r>
          </w:p>
        </w:tc>
        <w:tc>
          <w:tcPr>
            <w:tcW w:w="1242" w:type="dxa"/>
            <w:gridSpan w:val="2"/>
            <w:shd w:val="clear" w:color="auto" w:fill="auto"/>
            <w:noWrap/>
            <w:vAlign w:val="bottom"/>
            <w:hideMark/>
          </w:tcPr>
          <w:p w14:paraId="7061EB44" w14:textId="77777777" w:rsidR="00744544" w:rsidRPr="00A66C9F" w:rsidRDefault="00744544" w:rsidP="00107D5D">
            <w:pPr>
              <w:keepNext/>
              <w:keepLines/>
              <w:suppressAutoHyphens/>
              <w:spacing w:before="40" w:after="40" w:line="210" w:lineRule="exact"/>
              <w:ind w:right="40"/>
              <w:jc w:val="right"/>
              <w:rPr>
                <w:sz w:val="17"/>
                <w:szCs w:val="17"/>
                <w:lang w:val="fr-FR"/>
              </w:rPr>
            </w:pPr>
            <w:r w:rsidRPr="00A66C9F">
              <w:rPr>
                <w:sz w:val="17"/>
                <w:szCs w:val="17"/>
                <w:lang w:val="fr-FR"/>
              </w:rPr>
              <w:t> </w:t>
            </w:r>
          </w:p>
        </w:tc>
        <w:tc>
          <w:tcPr>
            <w:tcW w:w="1242" w:type="dxa"/>
            <w:shd w:val="clear" w:color="auto" w:fill="auto"/>
            <w:vAlign w:val="bottom"/>
          </w:tcPr>
          <w:p w14:paraId="778B7574" w14:textId="77777777" w:rsidR="00744544" w:rsidRPr="00A66C9F" w:rsidRDefault="00744544" w:rsidP="00107D5D">
            <w:pPr>
              <w:keepNext/>
              <w:keepLines/>
              <w:suppressAutoHyphens/>
              <w:spacing w:before="40" w:after="40" w:line="210" w:lineRule="exact"/>
              <w:ind w:right="40"/>
              <w:jc w:val="right"/>
              <w:rPr>
                <w:sz w:val="17"/>
                <w:szCs w:val="17"/>
                <w:lang w:val="fr-FR"/>
              </w:rPr>
            </w:pPr>
          </w:p>
        </w:tc>
        <w:tc>
          <w:tcPr>
            <w:tcW w:w="1116" w:type="dxa"/>
            <w:shd w:val="clear" w:color="auto" w:fill="auto"/>
            <w:noWrap/>
            <w:vAlign w:val="bottom"/>
            <w:hideMark/>
          </w:tcPr>
          <w:p w14:paraId="3C25D6C1" w14:textId="77777777" w:rsidR="00744544" w:rsidRPr="00A66C9F" w:rsidRDefault="00744544" w:rsidP="00107D5D">
            <w:pPr>
              <w:keepNext/>
              <w:keepLines/>
              <w:suppressAutoHyphens/>
              <w:spacing w:before="40" w:after="40" w:line="210" w:lineRule="exact"/>
              <w:ind w:right="40"/>
              <w:jc w:val="right"/>
              <w:rPr>
                <w:sz w:val="17"/>
                <w:szCs w:val="17"/>
                <w:lang w:val="fr-FR"/>
              </w:rPr>
            </w:pPr>
            <w:r w:rsidRPr="00A66C9F">
              <w:rPr>
                <w:sz w:val="17"/>
                <w:szCs w:val="17"/>
                <w:lang w:val="fr-FR"/>
              </w:rPr>
              <w:t> </w:t>
            </w:r>
          </w:p>
        </w:tc>
      </w:tr>
      <w:tr w:rsidR="00744544" w:rsidRPr="00A66C9F" w14:paraId="5F1489F8" w14:textId="77777777" w:rsidTr="00107D5D">
        <w:tc>
          <w:tcPr>
            <w:tcW w:w="2547" w:type="dxa"/>
            <w:shd w:val="clear" w:color="auto" w:fill="auto"/>
            <w:noWrap/>
            <w:vAlign w:val="bottom"/>
            <w:hideMark/>
          </w:tcPr>
          <w:p w14:paraId="00E16736" w14:textId="77777777" w:rsidR="00744544" w:rsidRPr="00A66C9F" w:rsidRDefault="00744544" w:rsidP="00107D5D">
            <w:pPr>
              <w:keepNext/>
              <w:keepLines/>
              <w:suppressAutoHyphens/>
              <w:spacing w:before="40" w:after="40" w:line="210" w:lineRule="exact"/>
              <w:ind w:right="40"/>
              <w:rPr>
                <w:sz w:val="17"/>
                <w:szCs w:val="17"/>
                <w:lang w:val="fr-FR"/>
              </w:rPr>
            </w:pPr>
            <w:r w:rsidRPr="00A66C9F">
              <w:rPr>
                <w:sz w:val="17"/>
                <w:szCs w:val="17"/>
                <w:lang w:val="fr-FR"/>
              </w:rPr>
              <w:t>1</w:t>
            </w:r>
            <w:r w:rsidRPr="00A66C9F">
              <w:rPr>
                <w:sz w:val="17"/>
                <w:szCs w:val="17"/>
                <w:vertAlign w:val="superscript"/>
                <w:lang w:val="fr-FR"/>
              </w:rPr>
              <w:t>er</w:t>
            </w:r>
            <w:r w:rsidRPr="00A66C9F">
              <w:rPr>
                <w:sz w:val="17"/>
                <w:szCs w:val="17"/>
                <w:lang w:val="fr-FR"/>
              </w:rPr>
              <w:t> janvier 2018</w:t>
            </w:r>
          </w:p>
        </w:tc>
        <w:tc>
          <w:tcPr>
            <w:tcW w:w="1206" w:type="dxa"/>
            <w:shd w:val="clear" w:color="auto" w:fill="auto"/>
            <w:noWrap/>
            <w:vAlign w:val="bottom"/>
          </w:tcPr>
          <w:p w14:paraId="62413425" w14:textId="77777777" w:rsidR="00744544" w:rsidRPr="00A66C9F" w:rsidRDefault="00744544" w:rsidP="00107D5D">
            <w:pPr>
              <w:keepNext/>
              <w:keepLines/>
              <w:suppressAutoHyphens/>
              <w:spacing w:before="40" w:after="40" w:line="210" w:lineRule="exact"/>
              <w:ind w:right="40"/>
              <w:jc w:val="right"/>
              <w:rPr>
                <w:sz w:val="17"/>
                <w:szCs w:val="17"/>
                <w:lang w:val="fr-FR"/>
              </w:rPr>
            </w:pPr>
            <w:r w:rsidRPr="00A66C9F">
              <w:rPr>
                <w:sz w:val="17"/>
                <w:szCs w:val="17"/>
                <w:lang w:val="fr-FR"/>
              </w:rPr>
              <w:t xml:space="preserve"> 1 347 </w:t>
            </w:r>
          </w:p>
        </w:tc>
        <w:tc>
          <w:tcPr>
            <w:tcW w:w="1242" w:type="dxa"/>
            <w:gridSpan w:val="2"/>
            <w:shd w:val="clear" w:color="auto" w:fill="auto"/>
            <w:noWrap/>
            <w:vAlign w:val="bottom"/>
          </w:tcPr>
          <w:p w14:paraId="7A7A4BC0" w14:textId="77777777" w:rsidR="00744544" w:rsidRPr="00A66C9F" w:rsidRDefault="00744544" w:rsidP="00107D5D">
            <w:pPr>
              <w:keepNext/>
              <w:keepLines/>
              <w:suppressAutoHyphens/>
              <w:spacing w:before="40" w:after="40" w:line="210" w:lineRule="exact"/>
              <w:ind w:right="40"/>
              <w:jc w:val="right"/>
              <w:rPr>
                <w:sz w:val="17"/>
                <w:szCs w:val="17"/>
                <w:lang w:val="fr-FR"/>
              </w:rPr>
            </w:pPr>
            <w:r w:rsidRPr="00A66C9F">
              <w:rPr>
                <w:sz w:val="17"/>
                <w:szCs w:val="17"/>
                <w:lang w:val="fr-FR"/>
              </w:rPr>
              <w:t xml:space="preserve"> 13 963 </w:t>
            </w:r>
          </w:p>
        </w:tc>
        <w:tc>
          <w:tcPr>
            <w:tcW w:w="1242" w:type="dxa"/>
            <w:shd w:val="clear" w:color="auto" w:fill="auto"/>
            <w:vAlign w:val="bottom"/>
          </w:tcPr>
          <w:p w14:paraId="40B90806" w14:textId="77777777" w:rsidR="00744544" w:rsidRPr="00A66C9F" w:rsidRDefault="00744544" w:rsidP="00107D5D">
            <w:pPr>
              <w:keepNext/>
              <w:keepLines/>
              <w:suppressAutoHyphens/>
              <w:spacing w:before="40" w:after="40" w:line="210" w:lineRule="exact"/>
              <w:ind w:right="40"/>
              <w:jc w:val="right"/>
              <w:rPr>
                <w:sz w:val="17"/>
                <w:szCs w:val="17"/>
                <w:lang w:val="fr-FR"/>
              </w:rPr>
            </w:pPr>
            <w:r w:rsidRPr="00A66C9F">
              <w:rPr>
                <w:sz w:val="17"/>
                <w:szCs w:val="17"/>
                <w:lang w:val="fr-FR"/>
              </w:rPr>
              <w:t xml:space="preserve"> 190 </w:t>
            </w:r>
          </w:p>
        </w:tc>
        <w:tc>
          <w:tcPr>
            <w:tcW w:w="1116" w:type="dxa"/>
            <w:shd w:val="clear" w:color="auto" w:fill="auto"/>
            <w:noWrap/>
            <w:vAlign w:val="bottom"/>
          </w:tcPr>
          <w:p w14:paraId="1575B103" w14:textId="77777777" w:rsidR="00744544" w:rsidRPr="00A66C9F" w:rsidRDefault="00744544" w:rsidP="00107D5D">
            <w:pPr>
              <w:keepNext/>
              <w:keepLines/>
              <w:suppressAutoHyphens/>
              <w:spacing w:before="40" w:after="40" w:line="210" w:lineRule="exact"/>
              <w:ind w:right="40"/>
              <w:jc w:val="right"/>
              <w:rPr>
                <w:bCs/>
                <w:sz w:val="17"/>
                <w:szCs w:val="17"/>
                <w:lang w:val="fr-FR"/>
              </w:rPr>
            </w:pPr>
            <w:r w:rsidRPr="00A66C9F">
              <w:rPr>
                <w:sz w:val="17"/>
                <w:szCs w:val="17"/>
                <w:lang w:val="fr-FR"/>
              </w:rPr>
              <w:t xml:space="preserve"> 15 500 </w:t>
            </w:r>
          </w:p>
        </w:tc>
      </w:tr>
      <w:tr w:rsidR="00744544" w:rsidRPr="00A66C9F" w14:paraId="588FF97A" w14:textId="77777777" w:rsidTr="00107D5D">
        <w:tc>
          <w:tcPr>
            <w:tcW w:w="2547" w:type="dxa"/>
            <w:shd w:val="clear" w:color="auto" w:fill="auto"/>
            <w:noWrap/>
            <w:vAlign w:val="bottom"/>
            <w:hideMark/>
          </w:tcPr>
          <w:p w14:paraId="31FDCCAE" w14:textId="77777777" w:rsidR="00744544" w:rsidRPr="00A66C9F" w:rsidRDefault="00744544" w:rsidP="00107D5D">
            <w:pPr>
              <w:keepNext/>
              <w:keepLines/>
              <w:suppressAutoHyphens/>
              <w:spacing w:before="40" w:after="40" w:line="210" w:lineRule="exact"/>
              <w:ind w:right="40"/>
              <w:rPr>
                <w:sz w:val="17"/>
                <w:szCs w:val="17"/>
                <w:lang w:val="fr-FR"/>
              </w:rPr>
            </w:pPr>
            <w:r w:rsidRPr="00A66C9F">
              <w:rPr>
                <w:sz w:val="17"/>
                <w:szCs w:val="17"/>
                <w:lang w:val="fr-FR"/>
              </w:rPr>
              <w:t>Entrées</w:t>
            </w:r>
          </w:p>
        </w:tc>
        <w:tc>
          <w:tcPr>
            <w:tcW w:w="1206" w:type="dxa"/>
            <w:shd w:val="clear" w:color="auto" w:fill="auto"/>
            <w:noWrap/>
            <w:vAlign w:val="bottom"/>
          </w:tcPr>
          <w:p w14:paraId="70A20407" w14:textId="77777777" w:rsidR="00744544" w:rsidRPr="00A66C9F" w:rsidRDefault="00744544" w:rsidP="00107D5D">
            <w:pPr>
              <w:keepNext/>
              <w:keepLines/>
              <w:suppressAutoHyphens/>
              <w:spacing w:before="40" w:after="40" w:line="210" w:lineRule="exact"/>
              <w:ind w:right="40"/>
              <w:jc w:val="right"/>
              <w:rPr>
                <w:sz w:val="17"/>
                <w:szCs w:val="17"/>
                <w:lang w:val="fr-FR"/>
              </w:rPr>
            </w:pPr>
            <w:r w:rsidRPr="00A66C9F">
              <w:rPr>
                <w:sz w:val="17"/>
                <w:szCs w:val="17"/>
                <w:lang w:val="fr-FR"/>
              </w:rPr>
              <w:t xml:space="preserve"> – </w:t>
            </w:r>
          </w:p>
        </w:tc>
        <w:tc>
          <w:tcPr>
            <w:tcW w:w="1242" w:type="dxa"/>
            <w:gridSpan w:val="2"/>
            <w:shd w:val="clear" w:color="auto" w:fill="auto"/>
            <w:noWrap/>
            <w:vAlign w:val="bottom"/>
          </w:tcPr>
          <w:p w14:paraId="12817210" w14:textId="77777777" w:rsidR="00744544" w:rsidRPr="00A66C9F" w:rsidRDefault="00744544" w:rsidP="00107D5D">
            <w:pPr>
              <w:keepNext/>
              <w:keepLines/>
              <w:suppressAutoHyphens/>
              <w:spacing w:before="40" w:after="40" w:line="210" w:lineRule="exact"/>
              <w:ind w:right="40"/>
              <w:jc w:val="right"/>
              <w:rPr>
                <w:sz w:val="17"/>
                <w:szCs w:val="17"/>
                <w:lang w:val="fr-FR"/>
              </w:rPr>
            </w:pPr>
            <w:r w:rsidRPr="00A66C9F">
              <w:rPr>
                <w:sz w:val="17"/>
                <w:szCs w:val="17"/>
                <w:lang w:val="fr-FR"/>
              </w:rPr>
              <w:t xml:space="preserve"> – </w:t>
            </w:r>
          </w:p>
        </w:tc>
        <w:tc>
          <w:tcPr>
            <w:tcW w:w="1242" w:type="dxa"/>
            <w:shd w:val="clear" w:color="auto" w:fill="auto"/>
            <w:vAlign w:val="bottom"/>
          </w:tcPr>
          <w:p w14:paraId="0B018A7C" w14:textId="77777777" w:rsidR="00744544" w:rsidRPr="00A66C9F" w:rsidRDefault="00744544" w:rsidP="00107D5D">
            <w:pPr>
              <w:keepNext/>
              <w:keepLines/>
              <w:suppressAutoHyphens/>
              <w:spacing w:before="40" w:after="40" w:line="210" w:lineRule="exact"/>
              <w:ind w:right="40"/>
              <w:jc w:val="right"/>
              <w:rPr>
                <w:sz w:val="17"/>
                <w:szCs w:val="17"/>
                <w:lang w:val="fr-FR"/>
              </w:rPr>
            </w:pPr>
            <w:r w:rsidRPr="00A66C9F">
              <w:rPr>
                <w:sz w:val="17"/>
                <w:szCs w:val="17"/>
                <w:lang w:val="fr-FR"/>
              </w:rPr>
              <w:t xml:space="preserve"> 2 249 </w:t>
            </w:r>
          </w:p>
        </w:tc>
        <w:tc>
          <w:tcPr>
            <w:tcW w:w="1116" w:type="dxa"/>
            <w:shd w:val="clear" w:color="auto" w:fill="auto"/>
            <w:noWrap/>
            <w:vAlign w:val="bottom"/>
          </w:tcPr>
          <w:p w14:paraId="552A7323" w14:textId="77777777" w:rsidR="00744544" w:rsidRPr="00A66C9F" w:rsidRDefault="00744544" w:rsidP="00107D5D">
            <w:pPr>
              <w:keepNext/>
              <w:keepLines/>
              <w:suppressAutoHyphens/>
              <w:spacing w:before="40" w:after="40" w:line="210" w:lineRule="exact"/>
              <w:ind w:right="40"/>
              <w:jc w:val="right"/>
              <w:rPr>
                <w:bCs/>
                <w:sz w:val="17"/>
                <w:szCs w:val="17"/>
                <w:lang w:val="fr-FR"/>
              </w:rPr>
            </w:pPr>
            <w:r w:rsidRPr="00A66C9F">
              <w:rPr>
                <w:sz w:val="17"/>
                <w:szCs w:val="17"/>
                <w:lang w:val="fr-FR"/>
              </w:rPr>
              <w:t xml:space="preserve"> 2 249 </w:t>
            </w:r>
          </w:p>
        </w:tc>
      </w:tr>
      <w:tr w:rsidR="00744544" w:rsidRPr="00A66C9F" w14:paraId="5E54F28E" w14:textId="77777777" w:rsidTr="00107D5D">
        <w:tc>
          <w:tcPr>
            <w:tcW w:w="2547" w:type="dxa"/>
            <w:shd w:val="clear" w:color="auto" w:fill="auto"/>
            <w:noWrap/>
            <w:vAlign w:val="bottom"/>
            <w:hideMark/>
          </w:tcPr>
          <w:p w14:paraId="2662AF83" w14:textId="77777777" w:rsidR="00744544" w:rsidRPr="00A66C9F" w:rsidRDefault="00744544" w:rsidP="00107D5D">
            <w:pPr>
              <w:keepNext/>
              <w:keepLines/>
              <w:suppressAutoHyphens/>
              <w:spacing w:before="40" w:after="40" w:line="210" w:lineRule="exact"/>
              <w:ind w:right="40"/>
              <w:rPr>
                <w:sz w:val="17"/>
                <w:szCs w:val="17"/>
                <w:lang w:val="fr-FR"/>
              </w:rPr>
            </w:pPr>
            <w:r w:rsidRPr="00A66C9F">
              <w:rPr>
                <w:sz w:val="17"/>
                <w:szCs w:val="17"/>
                <w:lang w:val="fr-FR"/>
              </w:rPr>
              <w:t>Cessions/transferts</w:t>
            </w:r>
          </w:p>
        </w:tc>
        <w:tc>
          <w:tcPr>
            <w:tcW w:w="1206" w:type="dxa"/>
            <w:shd w:val="clear" w:color="auto" w:fill="auto"/>
            <w:noWrap/>
            <w:vAlign w:val="bottom"/>
          </w:tcPr>
          <w:p w14:paraId="32F40789" w14:textId="77777777" w:rsidR="00744544" w:rsidRPr="00A66C9F" w:rsidRDefault="00744544" w:rsidP="00107D5D">
            <w:pPr>
              <w:keepNext/>
              <w:keepLines/>
              <w:suppressAutoHyphens/>
              <w:spacing w:before="40" w:after="40" w:line="210" w:lineRule="exact"/>
              <w:ind w:right="40"/>
              <w:jc w:val="right"/>
              <w:rPr>
                <w:sz w:val="17"/>
                <w:szCs w:val="17"/>
                <w:lang w:val="fr-FR"/>
              </w:rPr>
            </w:pPr>
            <w:r w:rsidRPr="00A66C9F">
              <w:rPr>
                <w:sz w:val="17"/>
                <w:szCs w:val="17"/>
                <w:lang w:val="fr-FR"/>
              </w:rPr>
              <w:t xml:space="preserve"> (27)</w:t>
            </w:r>
          </w:p>
        </w:tc>
        <w:tc>
          <w:tcPr>
            <w:tcW w:w="1242" w:type="dxa"/>
            <w:gridSpan w:val="2"/>
            <w:shd w:val="clear" w:color="auto" w:fill="auto"/>
            <w:noWrap/>
            <w:vAlign w:val="bottom"/>
          </w:tcPr>
          <w:p w14:paraId="56D1EF88" w14:textId="77777777" w:rsidR="00744544" w:rsidRPr="00A66C9F" w:rsidRDefault="00744544" w:rsidP="00107D5D">
            <w:pPr>
              <w:keepNext/>
              <w:keepLines/>
              <w:suppressAutoHyphens/>
              <w:spacing w:before="40" w:after="40" w:line="210" w:lineRule="exact"/>
              <w:ind w:right="40"/>
              <w:jc w:val="right"/>
              <w:rPr>
                <w:sz w:val="17"/>
                <w:szCs w:val="17"/>
                <w:lang w:val="fr-FR"/>
              </w:rPr>
            </w:pPr>
            <w:r w:rsidRPr="00A66C9F">
              <w:rPr>
                <w:sz w:val="17"/>
                <w:szCs w:val="17"/>
                <w:lang w:val="fr-FR"/>
              </w:rPr>
              <w:t xml:space="preserve"> – </w:t>
            </w:r>
          </w:p>
        </w:tc>
        <w:tc>
          <w:tcPr>
            <w:tcW w:w="1242" w:type="dxa"/>
            <w:shd w:val="clear" w:color="auto" w:fill="auto"/>
            <w:vAlign w:val="bottom"/>
          </w:tcPr>
          <w:p w14:paraId="4EDF094D" w14:textId="77777777" w:rsidR="00744544" w:rsidRPr="00A66C9F" w:rsidRDefault="00744544" w:rsidP="00107D5D">
            <w:pPr>
              <w:keepNext/>
              <w:keepLines/>
              <w:suppressAutoHyphens/>
              <w:spacing w:before="40" w:after="40" w:line="210" w:lineRule="exact"/>
              <w:ind w:right="40"/>
              <w:jc w:val="right"/>
              <w:rPr>
                <w:sz w:val="17"/>
                <w:szCs w:val="17"/>
                <w:lang w:val="fr-FR"/>
              </w:rPr>
            </w:pPr>
            <w:r w:rsidRPr="00A66C9F">
              <w:rPr>
                <w:sz w:val="17"/>
                <w:szCs w:val="17"/>
                <w:lang w:val="fr-FR"/>
              </w:rPr>
              <w:t xml:space="preserve"> – </w:t>
            </w:r>
          </w:p>
        </w:tc>
        <w:tc>
          <w:tcPr>
            <w:tcW w:w="1116" w:type="dxa"/>
            <w:shd w:val="clear" w:color="auto" w:fill="auto"/>
            <w:noWrap/>
            <w:vAlign w:val="bottom"/>
          </w:tcPr>
          <w:p w14:paraId="5D74A118" w14:textId="77777777" w:rsidR="00744544" w:rsidRPr="00A66C9F" w:rsidRDefault="00744544" w:rsidP="00107D5D">
            <w:pPr>
              <w:keepNext/>
              <w:keepLines/>
              <w:suppressAutoHyphens/>
              <w:spacing w:before="40" w:after="40" w:line="210" w:lineRule="exact"/>
              <w:ind w:right="40"/>
              <w:jc w:val="right"/>
              <w:rPr>
                <w:bCs/>
                <w:sz w:val="17"/>
                <w:szCs w:val="17"/>
                <w:lang w:val="fr-FR"/>
              </w:rPr>
            </w:pPr>
            <w:r w:rsidRPr="00A66C9F">
              <w:rPr>
                <w:sz w:val="17"/>
                <w:szCs w:val="17"/>
                <w:lang w:val="fr-FR"/>
              </w:rPr>
              <w:t xml:space="preserve"> (27)</w:t>
            </w:r>
          </w:p>
        </w:tc>
      </w:tr>
      <w:tr w:rsidR="00744544" w:rsidRPr="00A66C9F" w14:paraId="0C97F3AB" w14:textId="77777777" w:rsidTr="00107D5D">
        <w:tc>
          <w:tcPr>
            <w:tcW w:w="2547" w:type="dxa"/>
            <w:shd w:val="clear" w:color="auto" w:fill="auto"/>
            <w:noWrap/>
            <w:vAlign w:val="bottom"/>
            <w:hideMark/>
          </w:tcPr>
          <w:p w14:paraId="7BEA0D72" w14:textId="77777777" w:rsidR="00744544" w:rsidRPr="00A66C9F" w:rsidRDefault="00744544" w:rsidP="00107D5D">
            <w:pPr>
              <w:keepNext/>
              <w:keepLines/>
              <w:suppressAutoHyphens/>
              <w:spacing w:before="40" w:after="40" w:line="210" w:lineRule="exact"/>
              <w:ind w:right="40"/>
              <w:rPr>
                <w:sz w:val="17"/>
                <w:szCs w:val="17"/>
                <w:lang w:val="fr-FR"/>
              </w:rPr>
            </w:pPr>
            <w:r w:rsidRPr="00A66C9F">
              <w:rPr>
                <w:sz w:val="17"/>
                <w:szCs w:val="17"/>
                <w:lang w:val="fr-FR"/>
              </w:rPr>
              <w:t>31 décembre 2018</w:t>
            </w:r>
          </w:p>
        </w:tc>
        <w:tc>
          <w:tcPr>
            <w:tcW w:w="1206" w:type="dxa"/>
            <w:shd w:val="clear" w:color="auto" w:fill="auto"/>
            <w:noWrap/>
            <w:vAlign w:val="bottom"/>
          </w:tcPr>
          <w:p w14:paraId="5D12C2C7" w14:textId="77777777" w:rsidR="00744544" w:rsidRPr="00A66C9F" w:rsidRDefault="00744544" w:rsidP="00107D5D">
            <w:pPr>
              <w:keepNext/>
              <w:keepLines/>
              <w:suppressAutoHyphens/>
              <w:spacing w:before="40" w:after="40" w:line="210" w:lineRule="exact"/>
              <w:ind w:right="40"/>
              <w:jc w:val="right"/>
              <w:rPr>
                <w:sz w:val="17"/>
                <w:szCs w:val="17"/>
                <w:lang w:val="fr-FR"/>
              </w:rPr>
            </w:pPr>
            <w:r w:rsidRPr="00A66C9F">
              <w:rPr>
                <w:sz w:val="17"/>
                <w:szCs w:val="17"/>
                <w:lang w:val="fr-FR"/>
              </w:rPr>
              <w:t xml:space="preserve"> 1 320 </w:t>
            </w:r>
          </w:p>
        </w:tc>
        <w:tc>
          <w:tcPr>
            <w:tcW w:w="1242" w:type="dxa"/>
            <w:gridSpan w:val="2"/>
            <w:shd w:val="clear" w:color="auto" w:fill="auto"/>
            <w:noWrap/>
            <w:vAlign w:val="bottom"/>
          </w:tcPr>
          <w:p w14:paraId="33C72994" w14:textId="77777777" w:rsidR="00744544" w:rsidRPr="00A66C9F" w:rsidRDefault="00744544" w:rsidP="00107D5D">
            <w:pPr>
              <w:keepNext/>
              <w:keepLines/>
              <w:suppressAutoHyphens/>
              <w:spacing w:before="40" w:after="40" w:line="210" w:lineRule="exact"/>
              <w:ind w:right="40"/>
              <w:jc w:val="right"/>
              <w:rPr>
                <w:sz w:val="17"/>
                <w:szCs w:val="17"/>
                <w:lang w:val="fr-FR"/>
              </w:rPr>
            </w:pPr>
            <w:r w:rsidRPr="00A66C9F">
              <w:rPr>
                <w:sz w:val="17"/>
                <w:szCs w:val="17"/>
                <w:lang w:val="fr-FR"/>
              </w:rPr>
              <w:t xml:space="preserve"> 13 963 </w:t>
            </w:r>
          </w:p>
        </w:tc>
        <w:tc>
          <w:tcPr>
            <w:tcW w:w="1242" w:type="dxa"/>
            <w:shd w:val="clear" w:color="auto" w:fill="auto"/>
            <w:vAlign w:val="bottom"/>
          </w:tcPr>
          <w:p w14:paraId="7A92F212" w14:textId="77777777" w:rsidR="00744544" w:rsidRPr="00A66C9F" w:rsidRDefault="00744544" w:rsidP="00107D5D">
            <w:pPr>
              <w:keepNext/>
              <w:keepLines/>
              <w:suppressAutoHyphens/>
              <w:spacing w:before="40" w:after="40" w:line="210" w:lineRule="exact"/>
              <w:ind w:right="40"/>
              <w:jc w:val="right"/>
              <w:rPr>
                <w:sz w:val="17"/>
                <w:szCs w:val="17"/>
                <w:lang w:val="fr-FR"/>
              </w:rPr>
            </w:pPr>
            <w:r w:rsidRPr="00A66C9F">
              <w:rPr>
                <w:sz w:val="17"/>
                <w:szCs w:val="17"/>
                <w:lang w:val="fr-FR"/>
              </w:rPr>
              <w:t xml:space="preserve"> 2 439 </w:t>
            </w:r>
          </w:p>
        </w:tc>
        <w:tc>
          <w:tcPr>
            <w:tcW w:w="1116" w:type="dxa"/>
            <w:shd w:val="clear" w:color="auto" w:fill="auto"/>
            <w:noWrap/>
            <w:vAlign w:val="bottom"/>
          </w:tcPr>
          <w:p w14:paraId="725D9E89" w14:textId="77777777" w:rsidR="00744544" w:rsidRPr="00A66C9F" w:rsidRDefault="00744544" w:rsidP="00107D5D">
            <w:pPr>
              <w:keepNext/>
              <w:keepLines/>
              <w:suppressAutoHyphens/>
              <w:spacing w:before="40" w:after="40" w:line="210" w:lineRule="exact"/>
              <w:ind w:right="40"/>
              <w:jc w:val="right"/>
              <w:rPr>
                <w:bCs/>
                <w:sz w:val="17"/>
                <w:szCs w:val="17"/>
                <w:lang w:val="fr-FR"/>
              </w:rPr>
            </w:pPr>
            <w:r w:rsidRPr="00A66C9F">
              <w:rPr>
                <w:sz w:val="17"/>
                <w:szCs w:val="17"/>
                <w:lang w:val="fr-FR"/>
              </w:rPr>
              <w:t xml:space="preserve"> 17 722 </w:t>
            </w:r>
          </w:p>
        </w:tc>
      </w:tr>
      <w:tr w:rsidR="00744544" w:rsidRPr="00A66C9F" w14:paraId="38EFF293" w14:textId="77777777" w:rsidTr="00107D5D">
        <w:tc>
          <w:tcPr>
            <w:tcW w:w="2547" w:type="dxa"/>
            <w:shd w:val="clear" w:color="auto" w:fill="auto"/>
            <w:noWrap/>
            <w:vAlign w:val="bottom"/>
            <w:hideMark/>
          </w:tcPr>
          <w:p w14:paraId="3C6BB160" w14:textId="77777777" w:rsidR="00744544" w:rsidRPr="00A66C9F" w:rsidRDefault="00744544" w:rsidP="00107D5D">
            <w:pPr>
              <w:keepNext/>
              <w:keepLines/>
              <w:suppressAutoHyphens/>
              <w:spacing w:before="40" w:after="40" w:line="210" w:lineRule="exact"/>
              <w:ind w:right="40"/>
              <w:rPr>
                <w:b/>
                <w:bCs/>
                <w:sz w:val="17"/>
                <w:szCs w:val="17"/>
                <w:lang w:val="fr-FR"/>
              </w:rPr>
            </w:pPr>
            <w:r w:rsidRPr="00A66C9F">
              <w:rPr>
                <w:b/>
                <w:bCs/>
                <w:sz w:val="17"/>
                <w:szCs w:val="17"/>
                <w:lang w:val="fr-FR"/>
              </w:rPr>
              <w:t>Cumul des amortissements</w:t>
            </w:r>
          </w:p>
        </w:tc>
        <w:tc>
          <w:tcPr>
            <w:tcW w:w="1206" w:type="dxa"/>
            <w:shd w:val="clear" w:color="auto" w:fill="auto"/>
            <w:noWrap/>
            <w:vAlign w:val="bottom"/>
          </w:tcPr>
          <w:p w14:paraId="0A8089F1" w14:textId="77777777" w:rsidR="00744544" w:rsidRPr="00A66C9F" w:rsidRDefault="00744544" w:rsidP="00107D5D">
            <w:pPr>
              <w:keepNext/>
              <w:keepLines/>
              <w:suppressAutoHyphens/>
              <w:spacing w:before="40" w:after="40" w:line="210" w:lineRule="exact"/>
              <w:ind w:right="40"/>
              <w:rPr>
                <w:b/>
                <w:bCs/>
                <w:sz w:val="17"/>
                <w:szCs w:val="17"/>
                <w:lang w:val="fr-FR"/>
              </w:rPr>
            </w:pPr>
          </w:p>
        </w:tc>
        <w:tc>
          <w:tcPr>
            <w:tcW w:w="1242" w:type="dxa"/>
            <w:gridSpan w:val="2"/>
            <w:shd w:val="clear" w:color="auto" w:fill="auto"/>
            <w:noWrap/>
            <w:vAlign w:val="bottom"/>
          </w:tcPr>
          <w:p w14:paraId="0038A2C5" w14:textId="77777777" w:rsidR="00744544" w:rsidRPr="00A66C9F" w:rsidRDefault="00744544" w:rsidP="00107D5D">
            <w:pPr>
              <w:keepNext/>
              <w:keepLines/>
              <w:suppressAutoHyphens/>
              <w:spacing w:before="40" w:after="40" w:line="210" w:lineRule="exact"/>
              <w:ind w:right="40"/>
              <w:jc w:val="right"/>
              <w:rPr>
                <w:sz w:val="17"/>
                <w:szCs w:val="17"/>
                <w:lang w:val="fr-FR"/>
              </w:rPr>
            </w:pPr>
          </w:p>
        </w:tc>
        <w:tc>
          <w:tcPr>
            <w:tcW w:w="1242" w:type="dxa"/>
            <w:shd w:val="clear" w:color="auto" w:fill="auto"/>
            <w:vAlign w:val="bottom"/>
          </w:tcPr>
          <w:p w14:paraId="17C9063B" w14:textId="77777777" w:rsidR="00744544" w:rsidRPr="00A66C9F" w:rsidRDefault="00744544" w:rsidP="00107D5D">
            <w:pPr>
              <w:keepNext/>
              <w:keepLines/>
              <w:suppressAutoHyphens/>
              <w:spacing w:before="40" w:after="40" w:line="210" w:lineRule="exact"/>
              <w:ind w:right="40"/>
              <w:jc w:val="right"/>
              <w:rPr>
                <w:sz w:val="17"/>
                <w:szCs w:val="17"/>
                <w:lang w:val="fr-FR"/>
              </w:rPr>
            </w:pPr>
          </w:p>
        </w:tc>
        <w:tc>
          <w:tcPr>
            <w:tcW w:w="1116" w:type="dxa"/>
            <w:shd w:val="clear" w:color="auto" w:fill="auto"/>
            <w:noWrap/>
            <w:vAlign w:val="bottom"/>
          </w:tcPr>
          <w:p w14:paraId="1600D4C9" w14:textId="77777777" w:rsidR="00744544" w:rsidRPr="00A66C9F" w:rsidRDefault="00744544" w:rsidP="00107D5D">
            <w:pPr>
              <w:keepNext/>
              <w:keepLines/>
              <w:suppressAutoHyphens/>
              <w:spacing w:before="40" w:after="40" w:line="210" w:lineRule="exact"/>
              <w:ind w:right="40"/>
              <w:rPr>
                <w:bCs/>
                <w:sz w:val="17"/>
                <w:szCs w:val="17"/>
                <w:lang w:val="fr-FR"/>
              </w:rPr>
            </w:pPr>
          </w:p>
        </w:tc>
      </w:tr>
      <w:tr w:rsidR="00744544" w:rsidRPr="00A66C9F" w14:paraId="2BC9AA60" w14:textId="77777777" w:rsidTr="00107D5D">
        <w:tc>
          <w:tcPr>
            <w:tcW w:w="2547" w:type="dxa"/>
            <w:shd w:val="clear" w:color="auto" w:fill="auto"/>
            <w:noWrap/>
            <w:vAlign w:val="bottom"/>
            <w:hideMark/>
          </w:tcPr>
          <w:p w14:paraId="6839CF57" w14:textId="77777777" w:rsidR="00744544" w:rsidRPr="00A66C9F" w:rsidRDefault="00744544" w:rsidP="00107D5D">
            <w:pPr>
              <w:keepNext/>
              <w:keepLines/>
              <w:suppressAutoHyphens/>
              <w:spacing w:before="40" w:after="40" w:line="210" w:lineRule="exact"/>
              <w:ind w:right="40"/>
              <w:rPr>
                <w:sz w:val="17"/>
                <w:szCs w:val="17"/>
                <w:lang w:val="fr-FR"/>
              </w:rPr>
            </w:pPr>
            <w:r w:rsidRPr="00A66C9F">
              <w:rPr>
                <w:sz w:val="17"/>
                <w:szCs w:val="17"/>
                <w:lang w:val="fr-FR"/>
              </w:rPr>
              <w:t>1</w:t>
            </w:r>
            <w:r w:rsidRPr="00A66C9F">
              <w:rPr>
                <w:sz w:val="17"/>
                <w:szCs w:val="17"/>
                <w:vertAlign w:val="superscript"/>
                <w:lang w:val="fr-FR"/>
              </w:rPr>
              <w:t>er</w:t>
            </w:r>
            <w:r w:rsidRPr="00A66C9F">
              <w:rPr>
                <w:sz w:val="17"/>
                <w:szCs w:val="17"/>
                <w:lang w:val="fr-FR"/>
              </w:rPr>
              <w:t> janvier 2018</w:t>
            </w:r>
          </w:p>
        </w:tc>
        <w:tc>
          <w:tcPr>
            <w:tcW w:w="1206" w:type="dxa"/>
            <w:shd w:val="clear" w:color="auto" w:fill="auto"/>
            <w:noWrap/>
            <w:vAlign w:val="bottom"/>
          </w:tcPr>
          <w:p w14:paraId="0CD43C23" w14:textId="77777777" w:rsidR="00744544" w:rsidRPr="00A66C9F" w:rsidRDefault="00744544" w:rsidP="00107D5D">
            <w:pPr>
              <w:keepNext/>
              <w:keepLines/>
              <w:suppressAutoHyphens/>
              <w:spacing w:before="40" w:after="40" w:line="210" w:lineRule="exact"/>
              <w:ind w:right="40"/>
              <w:jc w:val="right"/>
              <w:rPr>
                <w:sz w:val="17"/>
                <w:szCs w:val="17"/>
                <w:lang w:val="fr-FR"/>
              </w:rPr>
            </w:pPr>
            <w:r w:rsidRPr="00A66C9F">
              <w:rPr>
                <w:sz w:val="17"/>
                <w:szCs w:val="17"/>
                <w:lang w:val="fr-FR"/>
              </w:rPr>
              <w:t xml:space="preserve"> 1 202 </w:t>
            </w:r>
          </w:p>
        </w:tc>
        <w:tc>
          <w:tcPr>
            <w:tcW w:w="1242" w:type="dxa"/>
            <w:gridSpan w:val="2"/>
            <w:shd w:val="clear" w:color="auto" w:fill="auto"/>
            <w:noWrap/>
            <w:vAlign w:val="bottom"/>
          </w:tcPr>
          <w:p w14:paraId="4513C409" w14:textId="77777777" w:rsidR="00744544" w:rsidRPr="00A66C9F" w:rsidRDefault="00744544" w:rsidP="00107D5D">
            <w:pPr>
              <w:keepNext/>
              <w:keepLines/>
              <w:suppressAutoHyphens/>
              <w:spacing w:before="40" w:after="40" w:line="210" w:lineRule="exact"/>
              <w:ind w:right="40"/>
              <w:jc w:val="right"/>
              <w:rPr>
                <w:sz w:val="17"/>
                <w:szCs w:val="17"/>
                <w:lang w:val="fr-FR"/>
              </w:rPr>
            </w:pPr>
            <w:r w:rsidRPr="00A66C9F">
              <w:rPr>
                <w:sz w:val="17"/>
                <w:szCs w:val="17"/>
                <w:lang w:val="fr-FR"/>
              </w:rPr>
              <w:t xml:space="preserve"> 11 511 </w:t>
            </w:r>
          </w:p>
        </w:tc>
        <w:tc>
          <w:tcPr>
            <w:tcW w:w="1242" w:type="dxa"/>
            <w:shd w:val="clear" w:color="auto" w:fill="auto"/>
            <w:vAlign w:val="bottom"/>
          </w:tcPr>
          <w:p w14:paraId="22546563" w14:textId="77777777" w:rsidR="00744544" w:rsidRPr="00A66C9F" w:rsidRDefault="00744544" w:rsidP="00107D5D">
            <w:pPr>
              <w:keepNext/>
              <w:keepLines/>
              <w:suppressAutoHyphens/>
              <w:spacing w:before="40" w:after="40" w:line="210" w:lineRule="exact"/>
              <w:ind w:right="40"/>
              <w:jc w:val="right"/>
              <w:rPr>
                <w:sz w:val="17"/>
                <w:szCs w:val="17"/>
                <w:lang w:val="fr-FR"/>
              </w:rPr>
            </w:pPr>
            <w:r w:rsidRPr="00A66C9F">
              <w:rPr>
                <w:sz w:val="17"/>
                <w:szCs w:val="17"/>
                <w:lang w:val="fr-FR"/>
              </w:rPr>
              <w:t xml:space="preserve"> – </w:t>
            </w:r>
          </w:p>
        </w:tc>
        <w:tc>
          <w:tcPr>
            <w:tcW w:w="1116" w:type="dxa"/>
            <w:shd w:val="clear" w:color="auto" w:fill="auto"/>
            <w:noWrap/>
            <w:vAlign w:val="bottom"/>
          </w:tcPr>
          <w:p w14:paraId="1AC251D2" w14:textId="77777777" w:rsidR="00744544" w:rsidRPr="00A66C9F" w:rsidRDefault="00744544" w:rsidP="00107D5D">
            <w:pPr>
              <w:keepNext/>
              <w:keepLines/>
              <w:suppressAutoHyphens/>
              <w:spacing w:before="40" w:after="40" w:line="210" w:lineRule="exact"/>
              <w:ind w:right="40"/>
              <w:jc w:val="right"/>
              <w:rPr>
                <w:bCs/>
                <w:sz w:val="17"/>
                <w:szCs w:val="17"/>
                <w:lang w:val="fr-FR"/>
              </w:rPr>
            </w:pPr>
            <w:r w:rsidRPr="00A66C9F">
              <w:rPr>
                <w:sz w:val="17"/>
                <w:szCs w:val="17"/>
                <w:lang w:val="fr-FR"/>
              </w:rPr>
              <w:t xml:space="preserve"> 12 713 </w:t>
            </w:r>
          </w:p>
        </w:tc>
      </w:tr>
      <w:tr w:rsidR="00744544" w:rsidRPr="00A66C9F" w14:paraId="488297C2" w14:textId="77777777" w:rsidTr="00107D5D">
        <w:tc>
          <w:tcPr>
            <w:tcW w:w="2547" w:type="dxa"/>
            <w:shd w:val="clear" w:color="auto" w:fill="auto"/>
            <w:noWrap/>
            <w:vAlign w:val="bottom"/>
            <w:hideMark/>
          </w:tcPr>
          <w:p w14:paraId="7299EA7B" w14:textId="77777777" w:rsidR="00744544" w:rsidRPr="00A66C9F" w:rsidRDefault="00744544" w:rsidP="00107D5D">
            <w:pPr>
              <w:keepNext/>
              <w:keepLines/>
              <w:suppressAutoHyphens/>
              <w:spacing w:before="40" w:after="40" w:line="210" w:lineRule="exact"/>
              <w:ind w:right="40"/>
              <w:rPr>
                <w:sz w:val="17"/>
                <w:szCs w:val="17"/>
                <w:lang w:val="fr-FR"/>
              </w:rPr>
            </w:pPr>
            <w:r w:rsidRPr="00A66C9F">
              <w:rPr>
                <w:sz w:val="17"/>
                <w:szCs w:val="17"/>
                <w:lang w:val="fr-FR"/>
              </w:rPr>
              <w:t>Amortissement</w:t>
            </w:r>
          </w:p>
        </w:tc>
        <w:tc>
          <w:tcPr>
            <w:tcW w:w="1206" w:type="dxa"/>
            <w:shd w:val="clear" w:color="auto" w:fill="auto"/>
            <w:noWrap/>
            <w:vAlign w:val="bottom"/>
          </w:tcPr>
          <w:p w14:paraId="15C56713" w14:textId="77777777" w:rsidR="00744544" w:rsidRPr="00A66C9F" w:rsidRDefault="00744544" w:rsidP="00107D5D">
            <w:pPr>
              <w:keepNext/>
              <w:keepLines/>
              <w:suppressAutoHyphens/>
              <w:spacing w:before="40" w:after="40" w:line="210" w:lineRule="exact"/>
              <w:ind w:right="40"/>
              <w:jc w:val="right"/>
              <w:rPr>
                <w:sz w:val="17"/>
                <w:szCs w:val="17"/>
                <w:lang w:val="fr-FR"/>
              </w:rPr>
            </w:pPr>
            <w:r w:rsidRPr="00A66C9F">
              <w:rPr>
                <w:sz w:val="17"/>
                <w:szCs w:val="17"/>
                <w:lang w:val="fr-FR"/>
              </w:rPr>
              <w:t xml:space="preserve"> 74 </w:t>
            </w:r>
          </w:p>
        </w:tc>
        <w:tc>
          <w:tcPr>
            <w:tcW w:w="1242" w:type="dxa"/>
            <w:gridSpan w:val="2"/>
            <w:shd w:val="clear" w:color="auto" w:fill="auto"/>
            <w:noWrap/>
            <w:vAlign w:val="bottom"/>
          </w:tcPr>
          <w:p w14:paraId="510FF714" w14:textId="77777777" w:rsidR="00744544" w:rsidRPr="00A66C9F" w:rsidRDefault="00744544" w:rsidP="00107D5D">
            <w:pPr>
              <w:keepNext/>
              <w:keepLines/>
              <w:suppressAutoHyphens/>
              <w:spacing w:before="40" w:after="40" w:line="210" w:lineRule="exact"/>
              <w:ind w:right="40"/>
              <w:jc w:val="right"/>
              <w:rPr>
                <w:sz w:val="17"/>
                <w:szCs w:val="17"/>
                <w:lang w:val="fr-FR"/>
              </w:rPr>
            </w:pPr>
            <w:r w:rsidRPr="00A66C9F">
              <w:rPr>
                <w:sz w:val="17"/>
                <w:szCs w:val="17"/>
                <w:lang w:val="fr-FR"/>
              </w:rPr>
              <w:t xml:space="preserve"> 1 021 </w:t>
            </w:r>
          </w:p>
        </w:tc>
        <w:tc>
          <w:tcPr>
            <w:tcW w:w="1242" w:type="dxa"/>
            <w:shd w:val="clear" w:color="auto" w:fill="auto"/>
            <w:vAlign w:val="bottom"/>
          </w:tcPr>
          <w:p w14:paraId="6C86966D" w14:textId="77777777" w:rsidR="00744544" w:rsidRPr="00A66C9F" w:rsidRDefault="00744544" w:rsidP="00107D5D">
            <w:pPr>
              <w:keepNext/>
              <w:keepLines/>
              <w:suppressAutoHyphens/>
              <w:spacing w:before="40" w:after="40" w:line="210" w:lineRule="exact"/>
              <w:ind w:right="40"/>
              <w:jc w:val="right"/>
              <w:rPr>
                <w:sz w:val="17"/>
                <w:szCs w:val="17"/>
                <w:lang w:val="fr-FR"/>
              </w:rPr>
            </w:pPr>
            <w:r w:rsidRPr="00A66C9F">
              <w:rPr>
                <w:sz w:val="17"/>
                <w:szCs w:val="17"/>
                <w:lang w:val="fr-FR"/>
              </w:rPr>
              <w:t xml:space="preserve"> – </w:t>
            </w:r>
          </w:p>
        </w:tc>
        <w:tc>
          <w:tcPr>
            <w:tcW w:w="1116" w:type="dxa"/>
            <w:shd w:val="clear" w:color="auto" w:fill="auto"/>
            <w:noWrap/>
            <w:vAlign w:val="bottom"/>
          </w:tcPr>
          <w:p w14:paraId="0245BD7A" w14:textId="77777777" w:rsidR="00744544" w:rsidRPr="00A66C9F" w:rsidRDefault="00744544" w:rsidP="00107D5D">
            <w:pPr>
              <w:keepNext/>
              <w:keepLines/>
              <w:suppressAutoHyphens/>
              <w:spacing w:before="40" w:after="40" w:line="210" w:lineRule="exact"/>
              <w:ind w:right="40"/>
              <w:jc w:val="right"/>
              <w:rPr>
                <w:bCs/>
                <w:sz w:val="17"/>
                <w:szCs w:val="17"/>
                <w:lang w:val="fr-FR"/>
              </w:rPr>
            </w:pPr>
            <w:r w:rsidRPr="00A66C9F">
              <w:rPr>
                <w:sz w:val="17"/>
                <w:szCs w:val="17"/>
                <w:lang w:val="fr-FR"/>
              </w:rPr>
              <w:t xml:space="preserve"> 1 095 </w:t>
            </w:r>
          </w:p>
        </w:tc>
      </w:tr>
      <w:tr w:rsidR="00744544" w:rsidRPr="00A66C9F" w14:paraId="5F3E8B92" w14:textId="77777777" w:rsidTr="00107D5D">
        <w:tc>
          <w:tcPr>
            <w:tcW w:w="2547" w:type="dxa"/>
            <w:shd w:val="clear" w:color="auto" w:fill="auto"/>
            <w:noWrap/>
            <w:vAlign w:val="bottom"/>
            <w:hideMark/>
          </w:tcPr>
          <w:p w14:paraId="5504CE49" w14:textId="77777777" w:rsidR="00744544" w:rsidRPr="00A66C9F" w:rsidRDefault="00744544" w:rsidP="00107D5D">
            <w:pPr>
              <w:keepNext/>
              <w:keepLines/>
              <w:suppressAutoHyphens/>
              <w:spacing w:before="40" w:after="40" w:line="210" w:lineRule="exact"/>
              <w:ind w:right="40"/>
              <w:rPr>
                <w:sz w:val="17"/>
                <w:szCs w:val="17"/>
                <w:lang w:val="fr-FR"/>
              </w:rPr>
            </w:pPr>
            <w:r w:rsidRPr="00A66C9F">
              <w:rPr>
                <w:sz w:val="17"/>
                <w:szCs w:val="17"/>
                <w:lang w:val="fr-FR"/>
              </w:rPr>
              <w:t>Cessions/transferts</w:t>
            </w:r>
          </w:p>
        </w:tc>
        <w:tc>
          <w:tcPr>
            <w:tcW w:w="1206" w:type="dxa"/>
            <w:shd w:val="clear" w:color="auto" w:fill="auto"/>
            <w:noWrap/>
            <w:vAlign w:val="bottom"/>
          </w:tcPr>
          <w:p w14:paraId="346AAB13" w14:textId="77777777" w:rsidR="00744544" w:rsidRPr="00A66C9F" w:rsidRDefault="00744544" w:rsidP="00107D5D">
            <w:pPr>
              <w:keepNext/>
              <w:keepLines/>
              <w:suppressAutoHyphens/>
              <w:spacing w:before="40" w:after="40" w:line="210" w:lineRule="exact"/>
              <w:ind w:right="40"/>
              <w:jc w:val="right"/>
              <w:rPr>
                <w:sz w:val="17"/>
                <w:szCs w:val="17"/>
                <w:lang w:val="fr-FR"/>
              </w:rPr>
            </w:pPr>
            <w:r w:rsidRPr="00A66C9F">
              <w:rPr>
                <w:sz w:val="17"/>
                <w:szCs w:val="17"/>
                <w:lang w:val="fr-FR"/>
              </w:rPr>
              <w:t xml:space="preserve"> (27)</w:t>
            </w:r>
          </w:p>
        </w:tc>
        <w:tc>
          <w:tcPr>
            <w:tcW w:w="1242" w:type="dxa"/>
            <w:gridSpan w:val="2"/>
            <w:shd w:val="clear" w:color="auto" w:fill="auto"/>
            <w:noWrap/>
            <w:vAlign w:val="bottom"/>
          </w:tcPr>
          <w:p w14:paraId="7B31C899" w14:textId="77777777" w:rsidR="00744544" w:rsidRPr="00A66C9F" w:rsidRDefault="00744544" w:rsidP="00107D5D">
            <w:pPr>
              <w:keepNext/>
              <w:keepLines/>
              <w:suppressAutoHyphens/>
              <w:spacing w:before="40" w:after="40" w:line="210" w:lineRule="exact"/>
              <w:ind w:right="40"/>
              <w:jc w:val="right"/>
              <w:rPr>
                <w:sz w:val="17"/>
                <w:szCs w:val="17"/>
                <w:lang w:val="fr-FR"/>
              </w:rPr>
            </w:pPr>
            <w:r w:rsidRPr="00A66C9F">
              <w:rPr>
                <w:sz w:val="17"/>
                <w:szCs w:val="17"/>
                <w:lang w:val="fr-FR"/>
              </w:rPr>
              <w:t xml:space="preserve"> – </w:t>
            </w:r>
          </w:p>
        </w:tc>
        <w:tc>
          <w:tcPr>
            <w:tcW w:w="1242" w:type="dxa"/>
            <w:shd w:val="clear" w:color="auto" w:fill="auto"/>
            <w:vAlign w:val="bottom"/>
          </w:tcPr>
          <w:p w14:paraId="3FE98779" w14:textId="77777777" w:rsidR="00744544" w:rsidRPr="00A66C9F" w:rsidRDefault="00744544" w:rsidP="00107D5D">
            <w:pPr>
              <w:keepNext/>
              <w:keepLines/>
              <w:suppressAutoHyphens/>
              <w:spacing w:before="40" w:after="40" w:line="210" w:lineRule="exact"/>
              <w:ind w:right="40"/>
              <w:jc w:val="right"/>
              <w:rPr>
                <w:sz w:val="17"/>
                <w:szCs w:val="17"/>
                <w:lang w:val="fr-FR"/>
              </w:rPr>
            </w:pPr>
            <w:r w:rsidRPr="00A66C9F">
              <w:rPr>
                <w:sz w:val="17"/>
                <w:szCs w:val="17"/>
                <w:lang w:val="fr-FR"/>
              </w:rPr>
              <w:t xml:space="preserve"> – </w:t>
            </w:r>
          </w:p>
        </w:tc>
        <w:tc>
          <w:tcPr>
            <w:tcW w:w="1116" w:type="dxa"/>
            <w:shd w:val="clear" w:color="auto" w:fill="auto"/>
            <w:noWrap/>
            <w:vAlign w:val="bottom"/>
          </w:tcPr>
          <w:p w14:paraId="7CFF0A64" w14:textId="77777777" w:rsidR="00744544" w:rsidRPr="00A66C9F" w:rsidRDefault="00744544" w:rsidP="00107D5D">
            <w:pPr>
              <w:keepNext/>
              <w:keepLines/>
              <w:suppressAutoHyphens/>
              <w:spacing w:before="40" w:after="40" w:line="210" w:lineRule="exact"/>
              <w:ind w:right="40"/>
              <w:jc w:val="right"/>
              <w:rPr>
                <w:bCs/>
                <w:sz w:val="17"/>
                <w:szCs w:val="17"/>
                <w:lang w:val="fr-FR"/>
              </w:rPr>
            </w:pPr>
            <w:r w:rsidRPr="00A66C9F">
              <w:rPr>
                <w:sz w:val="17"/>
                <w:szCs w:val="17"/>
                <w:lang w:val="fr-FR"/>
              </w:rPr>
              <w:t xml:space="preserve"> (27)</w:t>
            </w:r>
          </w:p>
        </w:tc>
      </w:tr>
      <w:tr w:rsidR="00744544" w:rsidRPr="00A66C9F" w14:paraId="0A4A42AC" w14:textId="77777777" w:rsidTr="00107D5D">
        <w:tc>
          <w:tcPr>
            <w:tcW w:w="2547" w:type="dxa"/>
            <w:tcBorders>
              <w:bottom w:val="single" w:sz="4" w:space="0" w:color="auto"/>
            </w:tcBorders>
            <w:shd w:val="clear" w:color="auto" w:fill="auto"/>
            <w:noWrap/>
            <w:vAlign w:val="bottom"/>
            <w:hideMark/>
          </w:tcPr>
          <w:p w14:paraId="7D7D59F2" w14:textId="77777777" w:rsidR="00744544" w:rsidRPr="00A66C9F" w:rsidRDefault="00744544" w:rsidP="00107D5D">
            <w:pPr>
              <w:keepNext/>
              <w:keepLines/>
              <w:suppressAutoHyphens/>
              <w:spacing w:before="40" w:after="81" w:line="210" w:lineRule="exact"/>
              <w:ind w:right="40"/>
              <w:rPr>
                <w:sz w:val="17"/>
                <w:szCs w:val="17"/>
                <w:lang w:val="fr-FR"/>
              </w:rPr>
            </w:pPr>
            <w:r w:rsidRPr="00A66C9F">
              <w:rPr>
                <w:sz w:val="17"/>
                <w:szCs w:val="17"/>
                <w:lang w:val="fr-FR"/>
              </w:rPr>
              <w:t>31 décembre 2018</w:t>
            </w:r>
          </w:p>
        </w:tc>
        <w:tc>
          <w:tcPr>
            <w:tcW w:w="1206" w:type="dxa"/>
            <w:tcBorders>
              <w:bottom w:val="single" w:sz="4" w:space="0" w:color="auto"/>
            </w:tcBorders>
            <w:shd w:val="clear" w:color="auto" w:fill="auto"/>
            <w:noWrap/>
            <w:vAlign w:val="bottom"/>
          </w:tcPr>
          <w:p w14:paraId="4CF0870F" w14:textId="77777777" w:rsidR="00744544" w:rsidRPr="00A66C9F" w:rsidRDefault="00744544" w:rsidP="00107D5D">
            <w:pPr>
              <w:keepNext/>
              <w:keepLines/>
              <w:suppressAutoHyphens/>
              <w:spacing w:before="40" w:after="81" w:line="210" w:lineRule="exact"/>
              <w:ind w:right="40"/>
              <w:jc w:val="right"/>
              <w:rPr>
                <w:sz w:val="17"/>
                <w:szCs w:val="17"/>
                <w:lang w:val="fr-FR"/>
              </w:rPr>
            </w:pPr>
            <w:r w:rsidRPr="00A66C9F">
              <w:rPr>
                <w:sz w:val="17"/>
                <w:szCs w:val="17"/>
                <w:lang w:val="fr-FR"/>
              </w:rPr>
              <w:t xml:space="preserve"> 1 249 </w:t>
            </w:r>
          </w:p>
        </w:tc>
        <w:tc>
          <w:tcPr>
            <w:tcW w:w="1242" w:type="dxa"/>
            <w:gridSpan w:val="2"/>
            <w:tcBorders>
              <w:bottom w:val="single" w:sz="4" w:space="0" w:color="auto"/>
            </w:tcBorders>
            <w:shd w:val="clear" w:color="auto" w:fill="auto"/>
            <w:noWrap/>
            <w:vAlign w:val="bottom"/>
          </w:tcPr>
          <w:p w14:paraId="427A24E3" w14:textId="77777777" w:rsidR="00744544" w:rsidRPr="00A66C9F" w:rsidRDefault="00744544" w:rsidP="00107D5D">
            <w:pPr>
              <w:keepNext/>
              <w:keepLines/>
              <w:suppressAutoHyphens/>
              <w:spacing w:before="40" w:after="81" w:line="210" w:lineRule="exact"/>
              <w:ind w:right="40"/>
              <w:jc w:val="right"/>
              <w:rPr>
                <w:sz w:val="17"/>
                <w:szCs w:val="17"/>
                <w:lang w:val="fr-FR"/>
              </w:rPr>
            </w:pPr>
            <w:r w:rsidRPr="00A66C9F">
              <w:rPr>
                <w:sz w:val="17"/>
                <w:szCs w:val="17"/>
                <w:lang w:val="fr-FR"/>
              </w:rPr>
              <w:t xml:space="preserve"> 12 532 </w:t>
            </w:r>
          </w:p>
        </w:tc>
        <w:tc>
          <w:tcPr>
            <w:tcW w:w="1242" w:type="dxa"/>
            <w:tcBorders>
              <w:bottom w:val="single" w:sz="4" w:space="0" w:color="auto"/>
            </w:tcBorders>
            <w:shd w:val="clear" w:color="auto" w:fill="auto"/>
            <w:vAlign w:val="bottom"/>
          </w:tcPr>
          <w:p w14:paraId="62E5FB85" w14:textId="77777777" w:rsidR="00744544" w:rsidRPr="00A66C9F" w:rsidRDefault="00744544" w:rsidP="00107D5D">
            <w:pPr>
              <w:keepNext/>
              <w:keepLines/>
              <w:suppressAutoHyphens/>
              <w:spacing w:before="40" w:after="81" w:line="210" w:lineRule="exact"/>
              <w:ind w:right="40"/>
              <w:jc w:val="right"/>
              <w:rPr>
                <w:sz w:val="17"/>
                <w:szCs w:val="17"/>
                <w:lang w:val="fr-FR"/>
              </w:rPr>
            </w:pPr>
            <w:r w:rsidRPr="00A66C9F">
              <w:rPr>
                <w:sz w:val="17"/>
                <w:szCs w:val="17"/>
                <w:lang w:val="fr-FR"/>
              </w:rPr>
              <w:t xml:space="preserve"> – </w:t>
            </w:r>
          </w:p>
        </w:tc>
        <w:tc>
          <w:tcPr>
            <w:tcW w:w="1116" w:type="dxa"/>
            <w:tcBorders>
              <w:bottom w:val="single" w:sz="4" w:space="0" w:color="auto"/>
            </w:tcBorders>
            <w:shd w:val="clear" w:color="auto" w:fill="auto"/>
            <w:noWrap/>
            <w:vAlign w:val="bottom"/>
          </w:tcPr>
          <w:p w14:paraId="2BEEFC1A" w14:textId="77777777" w:rsidR="00744544" w:rsidRPr="00A66C9F" w:rsidRDefault="00744544" w:rsidP="00107D5D">
            <w:pPr>
              <w:keepNext/>
              <w:keepLines/>
              <w:suppressAutoHyphens/>
              <w:spacing w:before="40" w:after="81" w:line="210" w:lineRule="exact"/>
              <w:ind w:right="40"/>
              <w:jc w:val="right"/>
              <w:rPr>
                <w:bCs/>
                <w:sz w:val="17"/>
                <w:szCs w:val="17"/>
                <w:lang w:val="fr-FR"/>
              </w:rPr>
            </w:pPr>
            <w:r w:rsidRPr="00A66C9F">
              <w:rPr>
                <w:sz w:val="17"/>
                <w:szCs w:val="17"/>
                <w:lang w:val="fr-FR"/>
              </w:rPr>
              <w:t xml:space="preserve"> 13 781 </w:t>
            </w:r>
          </w:p>
        </w:tc>
      </w:tr>
      <w:tr w:rsidR="00744544" w:rsidRPr="00A66C9F" w14:paraId="08DA609E" w14:textId="77777777" w:rsidTr="00107D5D">
        <w:tc>
          <w:tcPr>
            <w:tcW w:w="2547" w:type="dxa"/>
            <w:tcBorders>
              <w:top w:val="single" w:sz="4" w:space="0" w:color="auto"/>
              <w:bottom w:val="single" w:sz="12" w:space="0" w:color="auto"/>
            </w:tcBorders>
            <w:shd w:val="clear" w:color="auto" w:fill="auto"/>
            <w:noWrap/>
            <w:vAlign w:val="bottom"/>
            <w:hideMark/>
          </w:tcPr>
          <w:p w14:paraId="5DEC7010" w14:textId="77777777" w:rsidR="00744544" w:rsidRPr="00A66C9F" w:rsidRDefault="00744544" w:rsidP="00107D5D">
            <w:pPr>
              <w:tabs>
                <w:tab w:val="left" w:pos="288"/>
                <w:tab w:val="left" w:pos="576"/>
                <w:tab w:val="left" w:pos="864"/>
                <w:tab w:val="left" w:pos="1152"/>
              </w:tabs>
              <w:suppressAutoHyphens/>
              <w:spacing w:before="81" w:after="81" w:line="210" w:lineRule="exact"/>
              <w:ind w:left="288" w:right="40" w:hanging="288"/>
              <w:rPr>
                <w:b/>
                <w:sz w:val="17"/>
                <w:szCs w:val="21"/>
                <w:lang w:val="fr-FR"/>
              </w:rPr>
            </w:pPr>
            <w:r w:rsidRPr="00A66C9F">
              <w:rPr>
                <w:b/>
                <w:sz w:val="17"/>
                <w:szCs w:val="21"/>
                <w:lang w:val="fr-FR"/>
              </w:rPr>
              <w:tab/>
              <w:t>Valeur nette comptable, 31 décembre 2018</w:t>
            </w:r>
          </w:p>
        </w:tc>
        <w:tc>
          <w:tcPr>
            <w:tcW w:w="1206" w:type="dxa"/>
            <w:tcBorders>
              <w:top w:val="single" w:sz="4" w:space="0" w:color="auto"/>
              <w:bottom w:val="single" w:sz="12" w:space="0" w:color="auto"/>
            </w:tcBorders>
            <w:shd w:val="clear" w:color="auto" w:fill="auto"/>
            <w:noWrap/>
            <w:vAlign w:val="bottom"/>
          </w:tcPr>
          <w:p w14:paraId="5293FCC3" w14:textId="77777777" w:rsidR="00744544" w:rsidRPr="00A66C9F" w:rsidRDefault="00744544" w:rsidP="00107D5D">
            <w:pPr>
              <w:tabs>
                <w:tab w:val="left" w:pos="288"/>
                <w:tab w:val="left" w:pos="576"/>
                <w:tab w:val="left" w:pos="864"/>
                <w:tab w:val="left" w:pos="1152"/>
              </w:tabs>
              <w:suppressAutoHyphens/>
              <w:spacing w:before="81" w:after="81" w:line="210" w:lineRule="exact"/>
              <w:ind w:left="288" w:right="40" w:hanging="288"/>
              <w:jc w:val="right"/>
              <w:rPr>
                <w:b/>
                <w:sz w:val="17"/>
                <w:szCs w:val="21"/>
                <w:lang w:val="fr-FR"/>
              </w:rPr>
            </w:pPr>
            <w:r w:rsidRPr="00A66C9F">
              <w:rPr>
                <w:b/>
                <w:sz w:val="17"/>
                <w:szCs w:val="21"/>
                <w:lang w:val="fr-FR"/>
              </w:rPr>
              <w:t xml:space="preserve"> 71 </w:t>
            </w:r>
          </w:p>
        </w:tc>
        <w:tc>
          <w:tcPr>
            <w:tcW w:w="1242" w:type="dxa"/>
            <w:gridSpan w:val="2"/>
            <w:tcBorders>
              <w:top w:val="single" w:sz="4" w:space="0" w:color="auto"/>
              <w:bottom w:val="single" w:sz="12" w:space="0" w:color="auto"/>
            </w:tcBorders>
            <w:shd w:val="clear" w:color="auto" w:fill="auto"/>
            <w:noWrap/>
            <w:vAlign w:val="bottom"/>
          </w:tcPr>
          <w:p w14:paraId="1254B4B6" w14:textId="77777777" w:rsidR="00744544" w:rsidRPr="00A66C9F" w:rsidRDefault="00744544" w:rsidP="00107D5D">
            <w:pPr>
              <w:tabs>
                <w:tab w:val="left" w:pos="288"/>
                <w:tab w:val="left" w:pos="576"/>
                <w:tab w:val="left" w:pos="864"/>
                <w:tab w:val="left" w:pos="1152"/>
              </w:tabs>
              <w:suppressAutoHyphens/>
              <w:spacing w:before="81" w:after="81" w:line="210" w:lineRule="exact"/>
              <w:ind w:left="288" w:right="40" w:hanging="288"/>
              <w:jc w:val="right"/>
              <w:rPr>
                <w:b/>
                <w:sz w:val="17"/>
                <w:szCs w:val="21"/>
                <w:lang w:val="fr-FR"/>
              </w:rPr>
            </w:pPr>
            <w:r w:rsidRPr="00A66C9F">
              <w:rPr>
                <w:b/>
                <w:sz w:val="17"/>
                <w:szCs w:val="21"/>
                <w:lang w:val="fr-FR"/>
              </w:rPr>
              <w:t xml:space="preserve"> 1 431 </w:t>
            </w:r>
          </w:p>
        </w:tc>
        <w:tc>
          <w:tcPr>
            <w:tcW w:w="1242" w:type="dxa"/>
            <w:tcBorders>
              <w:top w:val="single" w:sz="4" w:space="0" w:color="auto"/>
              <w:bottom w:val="single" w:sz="12" w:space="0" w:color="auto"/>
            </w:tcBorders>
            <w:shd w:val="clear" w:color="auto" w:fill="auto"/>
            <w:vAlign w:val="bottom"/>
          </w:tcPr>
          <w:p w14:paraId="56A564DC" w14:textId="77777777" w:rsidR="00744544" w:rsidRPr="00A66C9F" w:rsidRDefault="00744544" w:rsidP="00107D5D">
            <w:pPr>
              <w:tabs>
                <w:tab w:val="left" w:pos="288"/>
                <w:tab w:val="left" w:pos="576"/>
                <w:tab w:val="left" w:pos="864"/>
                <w:tab w:val="left" w:pos="1152"/>
              </w:tabs>
              <w:suppressAutoHyphens/>
              <w:spacing w:before="81" w:after="81" w:line="210" w:lineRule="exact"/>
              <w:ind w:left="288" w:right="40" w:hanging="288"/>
              <w:jc w:val="right"/>
              <w:rPr>
                <w:b/>
                <w:sz w:val="17"/>
                <w:szCs w:val="21"/>
                <w:lang w:val="fr-FR"/>
              </w:rPr>
            </w:pPr>
            <w:r w:rsidRPr="00A66C9F">
              <w:rPr>
                <w:b/>
                <w:sz w:val="17"/>
                <w:szCs w:val="21"/>
                <w:lang w:val="fr-FR"/>
              </w:rPr>
              <w:t xml:space="preserve"> 2 439 </w:t>
            </w:r>
          </w:p>
        </w:tc>
        <w:tc>
          <w:tcPr>
            <w:tcW w:w="1116" w:type="dxa"/>
            <w:tcBorders>
              <w:top w:val="single" w:sz="4" w:space="0" w:color="auto"/>
              <w:bottom w:val="single" w:sz="12" w:space="0" w:color="auto"/>
            </w:tcBorders>
            <w:shd w:val="clear" w:color="auto" w:fill="auto"/>
            <w:noWrap/>
            <w:vAlign w:val="bottom"/>
          </w:tcPr>
          <w:p w14:paraId="221B3559" w14:textId="77777777" w:rsidR="00744544" w:rsidRPr="00A66C9F" w:rsidRDefault="00744544" w:rsidP="00107D5D">
            <w:pPr>
              <w:tabs>
                <w:tab w:val="left" w:pos="288"/>
                <w:tab w:val="left" w:pos="576"/>
                <w:tab w:val="left" w:pos="864"/>
                <w:tab w:val="left" w:pos="1152"/>
              </w:tabs>
              <w:suppressAutoHyphens/>
              <w:spacing w:before="81" w:after="81" w:line="210" w:lineRule="exact"/>
              <w:ind w:left="288" w:right="40" w:hanging="288"/>
              <w:jc w:val="right"/>
              <w:rPr>
                <w:b/>
                <w:sz w:val="17"/>
                <w:szCs w:val="21"/>
                <w:lang w:val="fr-FR"/>
              </w:rPr>
            </w:pPr>
            <w:r w:rsidRPr="00A66C9F">
              <w:rPr>
                <w:b/>
                <w:sz w:val="17"/>
                <w:szCs w:val="21"/>
                <w:lang w:val="fr-FR"/>
              </w:rPr>
              <w:t xml:space="preserve"> 3 941 </w:t>
            </w:r>
          </w:p>
        </w:tc>
      </w:tr>
    </w:tbl>
    <w:p w14:paraId="3CB9333D" w14:textId="77777777" w:rsidR="00744544" w:rsidRPr="00A66C9F" w:rsidRDefault="00744544" w:rsidP="00744544">
      <w:pPr>
        <w:pStyle w:val="SingleTxt"/>
        <w:spacing w:after="0" w:line="120" w:lineRule="exact"/>
        <w:rPr>
          <w:sz w:val="10"/>
          <w:lang w:val="fr-FR"/>
        </w:rPr>
      </w:pPr>
    </w:p>
    <w:p w14:paraId="27EF7A96" w14:textId="77777777" w:rsidR="00744544" w:rsidRPr="00A66C9F" w:rsidRDefault="00744544" w:rsidP="00744544">
      <w:pPr>
        <w:pStyle w:val="SingleTxt"/>
        <w:spacing w:after="0" w:line="120" w:lineRule="exact"/>
        <w:rPr>
          <w:sz w:val="10"/>
          <w:szCs w:val="20"/>
          <w:lang w:val="fr-FR"/>
        </w:rPr>
      </w:pPr>
    </w:p>
    <w:p w14:paraId="293E94A6" w14:textId="77777777" w:rsidR="00744544" w:rsidRPr="00A66C9F" w:rsidRDefault="00744544" w:rsidP="00753AB8">
      <w:pPr>
        <w:pStyle w:val="SingleTxt"/>
        <w:numPr>
          <w:ilvl w:val="0"/>
          <w:numId w:val="15"/>
        </w:numPr>
        <w:spacing w:line="240" w:lineRule="exact"/>
        <w:rPr>
          <w:szCs w:val="20"/>
          <w:lang w:val="fr-FR"/>
        </w:rPr>
      </w:pPr>
      <w:r w:rsidRPr="00A66C9F">
        <w:rPr>
          <w:lang w:val="fr-FR"/>
        </w:rPr>
        <w:t>Les améliorations locatives inscrites ci-dessus ont trait aux aménagements apportés par la Caisse à ses bureaux de New York.</w:t>
      </w:r>
      <w:bookmarkStart w:id="231" w:name="_Toc339633688"/>
      <w:bookmarkStart w:id="232" w:name="_Toc339634023"/>
      <w:bookmarkEnd w:id="229"/>
      <w:bookmarkEnd w:id="230"/>
    </w:p>
    <w:p w14:paraId="60D97B12" w14:textId="77777777" w:rsidR="00744544" w:rsidRPr="00A66C9F" w:rsidRDefault="00744544" w:rsidP="00744544">
      <w:pPr>
        <w:pStyle w:val="SingleTxt"/>
        <w:spacing w:after="0" w:line="120" w:lineRule="exact"/>
        <w:rPr>
          <w:sz w:val="10"/>
          <w:lang w:val="fr-FR"/>
        </w:rPr>
      </w:pPr>
    </w:p>
    <w:p w14:paraId="1253486B"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FR"/>
        </w:rPr>
      </w:pPr>
      <w:r w:rsidRPr="00A66C9F">
        <w:rPr>
          <w:spacing w:val="4"/>
          <w:lang w:val="fr-FR"/>
        </w:rPr>
        <w:tab/>
        <w:t>9.3</w:t>
      </w:r>
      <w:r w:rsidRPr="00A66C9F">
        <w:rPr>
          <w:spacing w:val="4"/>
          <w:lang w:val="fr-FR"/>
        </w:rPr>
        <w:tab/>
        <w:t>Immobilisations incorporelles</w:t>
      </w:r>
      <w:bookmarkEnd w:id="231"/>
      <w:bookmarkEnd w:id="232"/>
    </w:p>
    <w:p w14:paraId="200DF369" w14:textId="77777777" w:rsidR="00744544" w:rsidRPr="00A66C9F" w:rsidRDefault="00744544" w:rsidP="00744544">
      <w:pPr>
        <w:pStyle w:val="SingleTxt"/>
        <w:spacing w:after="0" w:line="120" w:lineRule="exact"/>
        <w:rPr>
          <w:sz w:val="10"/>
          <w:lang w:val="fr-FR"/>
        </w:rPr>
      </w:pPr>
    </w:p>
    <w:p w14:paraId="523FC202" w14:textId="77777777" w:rsidR="00744544" w:rsidRPr="00A66C9F" w:rsidRDefault="00744544" w:rsidP="00753AB8">
      <w:pPr>
        <w:pStyle w:val="SingleTxt"/>
        <w:numPr>
          <w:ilvl w:val="0"/>
          <w:numId w:val="15"/>
        </w:numPr>
        <w:spacing w:line="240" w:lineRule="exact"/>
        <w:rPr>
          <w:szCs w:val="20"/>
          <w:lang w:val="fr-FR"/>
        </w:rPr>
      </w:pPr>
      <w:r w:rsidRPr="00A66C9F">
        <w:rPr>
          <w:lang w:val="fr-FR"/>
        </w:rPr>
        <w:t>Le montant des immobilisations incorporelles inscrit dans l’état de l’actif net disponible pour le versement des prestations se décompose comme suit :</w:t>
      </w:r>
    </w:p>
    <w:p w14:paraId="7302AFC6" w14:textId="77777777" w:rsidR="00744544" w:rsidRPr="00A66C9F" w:rsidRDefault="00744544" w:rsidP="00744544">
      <w:pPr>
        <w:pStyle w:val="SingleTxt"/>
        <w:spacing w:after="0" w:line="120" w:lineRule="exact"/>
        <w:rPr>
          <w:sz w:val="10"/>
          <w:lang w:val="fr-FR"/>
        </w:rPr>
      </w:pPr>
    </w:p>
    <w:p w14:paraId="491E3218" w14:textId="77777777" w:rsidR="00744544" w:rsidRPr="00A66C9F" w:rsidRDefault="00744544" w:rsidP="00744544">
      <w:pPr>
        <w:pStyle w:val="H56"/>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sz w:val="14"/>
          <w:szCs w:val="14"/>
          <w:lang w:val="fr-FR"/>
        </w:rPr>
      </w:pPr>
      <w:r w:rsidRPr="00A66C9F">
        <w:rPr>
          <w:lang w:val="fr-FR"/>
        </w:rPr>
        <w:tab/>
      </w:r>
      <w:r w:rsidRPr="00A66C9F">
        <w:rPr>
          <w:lang w:val="fr-FR"/>
        </w:rPr>
        <w:tab/>
      </w:r>
      <w:r w:rsidRPr="00A66C9F">
        <w:rPr>
          <w:sz w:val="14"/>
          <w:szCs w:val="14"/>
          <w:lang w:val="fr-FR"/>
        </w:rPr>
        <w:t>(En milliers de dollars des États-Unis)</w:t>
      </w:r>
    </w:p>
    <w:p w14:paraId="2674A39A" w14:textId="77777777" w:rsidR="00744544" w:rsidRPr="00A66C9F" w:rsidRDefault="00744544" w:rsidP="00744544">
      <w:pPr>
        <w:pStyle w:val="SingleTxt"/>
        <w:spacing w:after="0" w:line="120" w:lineRule="exact"/>
        <w:rPr>
          <w:sz w:val="10"/>
          <w:szCs w:val="14"/>
          <w:lang w:val="fr-FR"/>
        </w:rPr>
      </w:pPr>
    </w:p>
    <w:p w14:paraId="63B51F76" w14:textId="77777777" w:rsidR="00744544" w:rsidRPr="00A66C9F" w:rsidRDefault="00744544" w:rsidP="00744544">
      <w:pPr>
        <w:pStyle w:val="SingleTxt"/>
        <w:spacing w:after="0" w:line="120" w:lineRule="exact"/>
        <w:rPr>
          <w:sz w:val="10"/>
          <w:szCs w:val="14"/>
          <w:lang w:val="fr-FR"/>
        </w:rPr>
      </w:pPr>
    </w:p>
    <w:tbl>
      <w:tblPr>
        <w:tblW w:w="7371" w:type="dxa"/>
        <w:tblInd w:w="1260" w:type="dxa"/>
        <w:tblLayout w:type="fixed"/>
        <w:tblCellMar>
          <w:left w:w="0" w:type="dxa"/>
          <w:right w:w="0" w:type="dxa"/>
        </w:tblCellMar>
        <w:tblLook w:val="04A0" w:firstRow="1" w:lastRow="0" w:firstColumn="1" w:lastColumn="0" w:noHBand="0" w:noVBand="1"/>
      </w:tblPr>
      <w:tblGrid>
        <w:gridCol w:w="3600"/>
        <w:gridCol w:w="1350"/>
        <w:gridCol w:w="1260"/>
        <w:gridCol w:w="1143"/>
        <w:gridCol w:w="18"/>
      </w:tblGrid>
      <w:tr w:rsidR="00744544" w:rsidRPr="00A66C9F" w14:paraId="68087A98" w14:textId="77777777" w:rsidTr="00107D5D">
        <w:trPr>
          <w:trHeight w:val="315"/>
          <w:tblHeader/>
        </w:trPr>
        <w:tc>
          <w:tcPr>
            <w:tcW w:w="3600" w:type="dxa"/>
            <w:tcBorders>
              <w:top w:val="single" w:sz="4" w:space="0" w:color="auto"/>
            </w:tcBorders>
            <w:shd w:val="clear" w:color="auto" w:fill="auto"/>
            <w:noWrap/>
            <w:vAlign w:val="bottom"/>
          </w:tcPr>
          <w:p w14:paraId="3684EDE0" w14:textId="77777777" w:rsidR="00744544" w:rsidRPr="00A66C9F" w:rsidRDefault="00744544" w:rsidP="00107D5D">
            <w:pPr>
              <w:suppressAutoHyphens/>
              <w:spacing w:before="81" w:after="81" w:line="160" w:lineRule="exact"/>
              <w:ind w:right="43"/>
              <w:jc w:val="center"/>
              <w:rPr>
                <w:b/>
                <w:bCs/>
                <w:i/>
                <w:sz w:val="14"/>
                <w:szCs w:val="24"/>
                <w:lang w:val="fr-FR"/>
              </w:rPr>
            </w:pPr>
          </w:p>
        </w:tc>
        <w:tc>
          <w:tcPr>
            <w:tcW w:w="2610" w:type="dxa"/>
            <w:gridSpan w:val="2"/>
            <w:tcBorders>
              <w:top w:val="single" w:sz="4" w:space="0" w:color="auto"/>
              <w:bottom w:val="single" w:sz="4" w:space="0" w:color="auto"/>
            </w:tcBorders>
            <w:shd w:val="clear" w:color="auto" w:fill="auto"/>
            <w:noWrap/>
            <w:vAlign w:val="bottom"/>
          </w:tcPr>
          <w:p w14:paraId="24A67575" w14:textId="77777777" w:rsidR="00744544" w:rsidRPr="00A66C9F" w:rsidRDefault="00744544" w:rsidP="00107D5D">
            <w:pPr>
              <w:suppressAutoHyphens/>
              <w:spacing w:before="81" w:after="81" w:line="160" w:lineRule="exact"/>
              <w:ind w:right="43"/>
              <w:jc w:val="center"/>
              <w:rPr>
                <w:i/>
                <w:iCs/>
                <w:sz w:val="14"/>
                <w:szCs w:val="24"/>
                <w:lang w:val="fr-FR"/>
              </w:rPr>
            </w:pPr>
            <w:r w:rsidRPr="00A66C9F">
              <w:rPr>
                <w:i/>
                <w:iCs/>
                <w:sz w:val="14"/>
                <w:lang w:val="fr-FR"/>
              </w:rPr>
              <w:t>Immobilisations incorporelles</w:t>
            </w:r>
          </w:p>
        </w:tc>
        <w:tc>
          <w:tcPr>
            <w:tcW w:w="1161" w:type="dxa"/>
            <w:gridSpan w:val="2"/>
            <w:tcBorders>
              <w:top w:val="single" w:sz="4" w:space="0" w:color="auto"/>
            </w:tcBorders>
            <w:shd w:val="clear" w:color="auto" w:fill="auto"/>
            <w:noWrap/>
            <w:vAlign w:val="bottom"/>
          </w:tcPr>
          <w:p w14:paraId="20F4BD22" w14:textId="77777777" w:rsidR="00744544" w:rsidRPr="00A66C9F" w:rsidRDefault="00744544" w:rsidP="00107D5D">
            <w:pPr>
              <w:suppressAutoHyphens/>
              <w:spacing w:before="81" w:after="81" w:line="160" w:lineRule="exact"/>
              <w:ind w:right="43"/>
              <w:jc w:val="right"/>
              <w:rPr>
                <w:i/>
                <w:iCs/>
                <w:sz w:val="14"/>
                <w:szCs w:val="24"/>
                <w:lang w:val="fr-FR"/>
              </w:rPr>
            </w:pPr>
          </w:p>
        </w:tc>
      </w:tr>
      <w:tr w:rsidR="00744544" w:rsidRPr="00A66C9F" w14:paraId="65D5ED10" w14:textId="77777777" w:rsidTr="00107D5D">
        <w:trPr>
          <w:gridAfter w:val="1"/>
          <w:wAfter w:w="18" w:type="dxa"/>
          <w:trHeight w:val="315"/>
          <w:tblHeader/>
        </w:trPr>
        <w:tc>
          <w:tcPr>
            <w:tcW w:w="3600" w:type="dxa"/>
            <w:tcBorders>
              <w:bottom w:val="single" w:sz="12" w:space="0" w:color="auto"/>
            </w:tcBorders>
            <w:shd w:val="clear" w:color="auto" w:fill="auto"/>
            <w:noWrap/>
            <w:vAlign w:val="bottom"/>
            <w:hideMark/>
          </w:tcPr>
          <w:p w14:paraId="285410BB" w14:textId="77777777" w:rsidR="00744544" w:rsidRPr="00A66C9F" w:rsidRDefault="00744544" w:rsidP="00107D5D">
            <w:pPr>
              <w:suppressAutoHyphens/>
              <w:spacing w:before="81" w:after="81" w:line="160" w:lineRule="exact"/>
              <w:ind w:right="43"/>
              <w:jc w:val="center"/>
              <w:rPr>
                <w:i/>
                <w:iCs/>
                <w:sz w:val="14"/>
                <w:szCs w:val="24"/>
                <w:lang w:val="fr-FR"/>
              </w:rPr>
            </w:pPr>
            <w:r w:rsidRPr="00A66C9F">
              <w:rPr>
                <w:i/>
                <w:iCs/>
                <w:sz w:val="14"/>
                <w:szCs w:val="24"/>
                <w:lang w:val="fr-FR"/>
              </w:rPr>
              <w:t> </w:t>
            </w:r>
          </w:p>
        </w:tc>
        <w:tc>
          <w:tcPr>
            <w:tcW w:w="1350" w:type="dxa"/>
            <w:tcBorders>
              <w:bottom w:val="single" w:sz="12" w:space="0" w:color="auto"/>
            </w:tcBorders>
            <w:shd w:val="clear" w:color="auto" w:fill="auto"/>
            <w:noWrap/>
            <w:vAlign w:val="bottom"/>
            <w:hideMark/>
          </w:tcPr>
          <w:p w14:paraId="3C12A4E9" w14:textId="77777777" w:rsidR="00744544" w:rsidRPr="00A66C9F" w:rsidRDefault="00744544" w:rsidP="00107D5D">
            <w:pPr>
              <w:suppressAutoHyphens/>
              <w:spacing w:before="81" w:after="81" w:line="160" w:lineRule="exact"/>
              <w:ind w:right="43"/>
              <w:jc w:val="right"/>
              <w:rPr>
                <w:i/>
                <w:iCs/>
                <w:sz w:val="14"/>
                <w:szCs w:val="24"/>
                <w:lang w:val="fr-FR"/>
              </w:rPr>
            </w:pPr>
            <w:r w:rsidRPr="00A66C9F">
              <w:rPr>
                <w:i/>
                <w:iCs/>
                <w:sz w:val="14"/>
                <w:lang w:val="fr-FR"/>
              </w:rPr>
              <w:t>En service</w:t>
            </w:r>
          </w:p>
        </w:tc>
        <w:tc>
          <w:tcPr>
            <w:tcW w:w="1260" w:type="dxa"/>
            <w:tcBorders>
              <w:bottom w:val="single" w:sz="12" w:space="0" w:color="auto"/>
            </w:tcBorders>
            <w:shd w:val="clear" w:color="auto" w:fill="auto"/>
            <w:noWrap/>
            <w:vAlign w:val="bottom"/>
            <w:hideMark/>
          </w:tcPr>
          <w:p w14:paraId="324D435B" w14:textId="77777777" w:rsidR="00744544" w:rsidRPr="00A66C9F" w:rsidRDefault="00744544" w:rsidP="00107D5D">
            <w:pPr>
              <w:suppressAutoHyphens/>
              <w:spacing w:before="81" w:after="81" w:line="160" w:lineRule="exact"/>
              <w:ind w:right="43"/>
              <w:jc w:val="right"/>
              <w:rPr>
                <w:i/>
                <w:iCs/>
                <w:sz w:val="14"/>
                <w:szCs w:val="24"/>
                <w:lang w:val="fr-FR"/>
              </w:rPr>
            </w:pPr>
            <w:r w:rsidRPr="00A66C9F">
              <w:rPr>
                <w:i/>
                <w:iCs/>
                <w:sz w:val="14"/>
                <w:lang w:val="fr-FR"/>
              </w:rPr>
              <w:t>En construction</w:t>
            </w:r>
          </w:p>
        </w:tc>
        <w:tc>
          <w:tcPr>
            <w:tcW w:w="1143" w:type="dxa"/>
            <w:tcBorders>
              <w:bottom w:val="single" w:sz="12" w:space="0" w:color="auto"/>
            </w:tcBorders>
            <w:shd w:val="clear" w:color="auto" w:fill="auto"/>
            <w:noWrap/>
            <w:vAlign w:val="bottom"/>
            <w:hideMark/>
          </w:tcPr>
          <w:p w14:paraId="591DC330" w14:textId="77777777" w:rsidR="00744544" w:rsidRPr="00A66C9F" w:rsidRDefault="00744544" w:rsidP="00107D5D">
            <w:pPr>
              <w:suppressAutoHyphens/>
              <w:spacing w:before="81" w:after="81" w:line="160" w:lineRule="exact"/>
              <w:ind w:right="43"/>
              <w:jc w:val="right"/>
              <w:rPr>
                <w:i/>
                <w:iCs/>
                <w:sz w:val="14"/>
                <w:szCs w:val="24"/>
                <w:lang w:val="fr-FR"/>
              </w:rPr>
            </w:pPr>
            <w:r w:rsidRPr="00A66C9F">
              <w:rPr>
                <w:i/>
                <w:iCs/>
                <w:sz w:val="14"/>
                <w:lang w:val="fr-FR"/>
              </w:rPr>
              <w:t>Total</w:t>
            </w:r>
            <w:r w:rsidRPr="00A66C9F">
              <w:rPr>
                <w:i/>
                <w:sz w:val="14"/>
                <w:lang w:val="fr-FR"/>
              </w:rPr>
              <w:t xml:space="preserve"> </w:t>
            </w:r>
          </w:p>
        </w:tc>
      </w:tr>
      <w:tr w:rsidR="00744544" w:rsidRPr="00A66C9F" w14:paraId="43523743" w14:textId="77777777" w:rsidTr="00107D5D">
        <w:trPr>
          <w:gridAfter w:val="1"/>
          <w:wAfter w:w="18" w:type="dxa"/>
          <w:trHeight w:hRule="exact" w:val="115"/>
          <w:tblHeader/>
        </w:trPr>
        <w:tc>
          <w:tcPr>
            <w:tcW w:w="3600" w:type="dxa"/>
            <w:tcBorders>
              <w:top w:val="single" w:sz="12" w:space="0" w:color="auto"/>
            </w:tcBorders>
            <w:shd w:val="clear" w:color="auto" w:fill="auto"/>
            <w:noWrap/>
            <w:vAlign w:val="bottom"/>
          </w:tcPr>
          <w:p w14:paraId="5AF47CD7" w14:textId="77777777" w:rsidR="00744544" w:rsidRPr="00A66C9F" w:rsidRDefault="00744544" w:rsidP="00107D5D">
            <w:pPr>
              <w:suppressAutoHyphens/>
              <w:spacing w:before="40" w:after="40" w:line="210" w:lineRule="exact"/>
              <w:ind w:right="40"/>
              <w:rPr>
                <w:b/>
                <w:bCs/>
                <w:sz w:val="17"/>
                <w:szCs w:val="17"/>
                <w:lang w:val="fr-FR"/>
              </w:rPr>
            </w:pPr>
          </w:p>
        </w:tc>
        <w:tc>
          <w:tcPr>
            <w:tcW w:w="1350" w:type="dxa"/>
            <w:tcBorders>
              <w:top w:val="single" w:sz="12" w:space="0" w:color="auto"/>
            </w:tcBorders>
            <w:shd w:val="clear" w:color="auto" w:fill="auto"/>
            <w:noWrap/>
            <w:vAlign w:val="bottom"/>
          </w:tcPr>
          <w:p w14:paraId="706631DF" w14:textId="77777777" w:rsidR="00744544" w:rsidRPr="00A66C9F" w:rsidRDefault="00744544" w:rsidP="00107D5D">
            <w:pPr>
              <w:suppressAutoHyphens/>
              <w:spacing w:before="40" w:after="40" w:line="210" w:lineRule="exact"/>
              <w:ind w:right="40"/>
              <w:rPr>
                <w:sz w:val="17"/>
                <w:szCs w:val="17"/>
                <w:lang w:val="fr-FR"/>
              </w:rPr>
            </w:pPr>
          </w:p>
        </w:tc>
        <w:tc>
          <w:tcPr>
            <w:tcW w:w="1260" w:type="dxa"/>
            <w:tcBorders>
              <w:top w:val="single" w:sz="12" w:space="0" w:color="auto"/>
            </w:tcBorders>
            <w:shd w:val="clear" w:color="auto" w:fill="auto"/>
            <w:noWrap/>
            <w:vAlign w:val="bottom"/>
          </w:tcPr>
          <w:p w14:paraId="1B943C30" w14:textId="77777777" w:rsidR="00744544" w:rsidRPr="00A66C9F" w:rsidRDefault="00744544" w:rsidP="00107D5D">
            <w:pPr>
              <w:suppressAutoHyphens/>
              <w:spacing w:before="40" w:after="40" w:line="210" w:lineRule="exact"/>
              <w:ind w:right="40"/>
              <w:rPr>
                <w:sz w:val="17"/>
                <w:szCs w:val="17"/>
                <w:lang w:val="fr-FR"/>
              </w:rPr>
            </w:pPr>
          </w:p>
        </w:tc>
        <w:tc>
          <w:tcPr>
            <w:tcW w:w="1143" w:type="dxa"/>
            <w:tcBorders>
              <w:top w:val="single" w:sz="12" w:space="0" w:color="auto"/>
            </w:tcBorders>
            <w:shd w:val="clear" w:color="auto" w:fill="auto"/>
            <w:noWrap/>
            <w:vAlign w:val="bottom"/>
          </w:tcPr>
          <w:p w14:paraId="20D5C0CD" w14:textId="77777777" w:rsidR="00744544" w:rsidRPr="00A66C9F" w:rsidRDefault="00744544" w:rsidP="00107D5D">
            <w:pPr>
              <w:suppressAutoHyphens/>
              <w:spacing w:before="40" w:after="40" w:line="210" w:lineRule="exact"/>
              <w:ind w:right="40"/>
              <w:rPr>
                <w:sz w:val="17"/>
                <w:szCs w:val="17"/>
                <w:lang w:val="fr-FR"/>
              </w:rPr>
            </w:pPr>
          </w:p>
        </w:tc>
      </w:tr>
      <w:tr w:rsidR="00744544" w:rsidRPr="00A66C9F" w14:paraId="4F336FB6" w14:textId="77777777" w:rsidTr="00107D5D">
        <w:trPr>
          <w:gridAfter w:val="1"/>
          <w:wAfter w:w="18" w:type="dxa"/>
        </w:trPr>
        <w:tc>
          <w:tcPr>
            <w:tcW w:w="3600" w:type="dxa"/>
            <w:shd w:val="clear" w:color="auto" w:fill="auto"/>
            <w:noWrap/>
            <w:vAlign w:val="bottom"/>
          </w:tcPr>
          <w:p w14:paraId="441EE76C" w14:textId="77777777" w:rsidR="00744544" w:rsidRPr="00A66C9F" w:rsidRDefault="00744544" w:rsidP="00107D5D">
            <w:pPr>
              <w:suppressAutoHyphens/>
              <w:spacing w:before="40" w:after="40" w:line="210" w:lineRule="exact"/>
              <w:ind w:right="40"/>
              <w:rPr>
                <w:b/>
                <w:bCs/>
                <w:sz w:val="17"/>
                <w:szCs w:val="17"/>
                <w:lang w:val="fr-FR"/>
              </w:rPr>
            </w:pPr>
            <w:r w:rsidRPr="00A66C9F">
              <w:rPr>
                <w:b/>
                <w:bCs/>
                <w:sz w:val="17"/>
                <w:szCs w:val="17"/>
                <w:lang w:val="fr-FR"/>
              </w:rPr>
              <w:t>Coût</w:t>
            </w:r>
            <w:r w:rsidRPr="00A66C9F" w:rsidDel="00371A99">
              <w:rPr>
                <w:b/>
                <w:bCs/>
                <w:sz w:val="17"/>
                <w:szCs w:val="17"/>
                <w:lang w:val="fr-FR"/>
              </w:rPr>
              <w:t xml:space="preserve"> </w:t>
            </w:r>
          </w:p>
        </w:tc>
        <w:tc>
          <w:tcPr>
            <w:tcW w:w="1350" w:type="dxa"/>
            <w:shd w:val="clear" w:color="auto" w:fill="auto"/>
            <w:noWrap/>
            <w:vAlign w:val="bottom"/>
          </w:tcPr>
          <w:p w14:paraId="70A0EB27" w14:textId="77777777" w:rsidR="00744544" w:rsidRPr="00A66C9F" w:rsidRDefault="00744544" w:rsidP="00107D5D">
            <w:pPr>
              <w:suppressAutoHyphens/>
              <w:spacing w:before="40" w:after="40" w:line="210" w:lineRule="exact"/>
              <w:ind w:right="40"/>
              <w:jc w:val="right"/>
              <w:rPr>
                <w:b/>
                <w:bCs/>
                <w:sz w:val="17"/>
                <w:szCs w:val="17"/>
                <w:lang w:val="fr-FR"/>
              </w:rPr>
            </w:pPr>
          </w:p>
        </w:tc>
        <w:tc>
          <w:tcPr>
            <w:tcW w:w="1260" w:type="dxa"/>
            <w:shd w:val="clear" w:color="auto" w:fill="auto"/>
            <w:noWrap/>
            <w:vAlign w:val="bottom"/>
          </w:tcPr>
          <w:p w14:paraId="686A3DF6" w14:textId="77777777" w:rsidR="00744544" w:rsidRPr="00A66C9F" w:rsidRDefault="00744544" w:rsidP="00107D5D">
            <w:pPr>
              <w:suppressAutoHyphens/>
              <w:spacing w:before="40" w:after="40" w:line="210" w:lineRule="exact"/>
              <w:ind w:right="40"/>
              <w:jc w:val="right"/>
              <w:rPr>
                <w:b/>
                <w:bCs/>
                <w:sz w:val="17"/>
                <w:szCs w:val="17"/>
                <w:lang w:val="fr-FR"/>
              </w:rPr>
            </w:pPr>
          </w:p>
        </w:tc>
        <w:tc>
          <w:tcPr>
            <w:tcW w:w="1143" w:type="dxa"/>
            <w:shd w:val="clear" w:color="auto" w:fill="auto"/>
            <w:noWrap/>
            <w:vAlign w:val="bottom"/>
          </w:tcPr>
          <w:p w14:paraId="4ED7FDE1" w14:textId="77777777" w:rsidR="00744544" w:rsidRPr="00A66C9F" w:rsidRDefault="00744544" w:rsidP="00107D5D">
            <w:pPr>
              <w:suppressAutoHyphens/>
              <w:spacing w:before="40" w:after="40" w:line="210" w:lineRule="exact"/>
              <w:ind w:right="40"/>
              <w:jc w:val="right"/>
              <w:rPr>
                <w:b/>
                <w:bCs/>
                <w:sz w:val="17"/>
                <w:szCs w:val="17"/>
                <w:lang w:val="fr-FR"/>
              </w:rPr>
            </w:pPr>
          </w:p>
        </w:tc>
      </w:tr>
      <w:tr w:rsidR="00744544" w:rsidRPr="00A66C9F" w14:paraId="6427B2E2" w14:textId="77777777" w:rsidTr="00107D5D">
        <w:trPr>
          <w:gridAfter w:val="1"/>
          <w:wAfter w:w="18" w:type="dxa"/>
        </w:trPr>
        <w:tc>
          <w:tcPr>
            <w:tcW w:w="3600" w:type="dxa"/>
            <w:shd w:val="clear" w:color="auto" w:fill="auto"/>
            <w:noWrap/>
            <w:vAlign w:val="bottom"/>
          </w:tcPr>
          <w:p w14:paraId="03518432" w14:textId="77777777" w:rsidR="00744544" w:rsidRPr="00A66C9F" w:rsidRDefault="00744544" w:rsidP="00107D5D">
            <w:pPr>
              <w:suppressAutoHyphens/>
              <w:spacing w:before="40" w:after="40" w:line="210" w:lineRule="exact"/>
              <w:ind w:right="40"/>
              <w:rPr>
                <w:sz w:val="17"/>
                <w:szCs w:val="17"/>
                <w:lang w:val="fr-FR"/>
              </w:rPr>
            </w:pPr>
            <w:r w:rsidRPr="00A66C9F">
              <w:rPr>
                <w:sz w:val="17"/>
                <w:szCs w:val="17"/>
                <w:lang w:val="fr-FR"/>
              </w:rPr>
              <w:t>1</w:t>
            </w:r>
            <w:r w:rsidRPr="00A66C9F">
              <w:rPr>
                <w:sz w:val="17"/>
                <w:szCs w:val="17"/>
                <w:vertAlign w:val="superscript"/>
                <w:lang w:val="fr-FR"/>
              </w:rPr>
              <w:t>er</w:t>
            </w:r>
            <w:r w:rsidRPr="00A66C9F">
              <w:rPr>
                <w:sz w:val="17"/>
                <w:szCs w:val="17"/>
                <w:lang w:val="fr-FR"/>
              </w:rPr>
              <w:t> janvier 2019</w:t>
            </w:r>
          </w:p>
        </w:tc>
        <w:tc>
          <w:tcPr>
            <w:tcW w:w="1350" w:type="dxa"/>
            <w:shd w:val="clear" w:color="auto" w:fill="auto"/>
            <w:noWrap/>
            <w:vAlign w:val="bottom"/>
          </w:tcPr>
          <w:p w14:paraId="694914EE"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20 980 </w:t>
            </w:r>
          </w:p>
        </w:tc>
        <w:tc>
          <w:tcPr>
            <w:tcW w:w="1260" w:type="dxa"/>
            <w:shd w:val="clear" w:color="auto" w:fill="auto"/>
            <w:noWrap/>
            <w:vAlign w:val="bottom"/>
          </w:tcPr>
          <w:p w14:paraId="33B4D318"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 </w:t>
            </w:r>
          </w:p>
        </w:tc>
        <w:tc>
          <w:tcPr>
            <w:tcW w:w="1143" w:type="dxa"/>
            <w:shd w:val="clear" w:color="auto" w:fill="auto"/>
            <w:noWrap/>
            <w:vAlign w:val="bottom"/>
          </w:tcPr>
          <w:p w14:paraId="3B130806"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20 980 </w:t>
            </w:r>
          </w:p>
        </w:tc>
      </w:tr>
      <w:tr w:rsidR="00744544" w:rsidRPr="00A66C9F" w14:paraId="2FC81312" w14:textId="77777777" w:rsidTr="00107D5D">
        <w:trPr>
          <w:gridAfter w:val="1"/>
          <w:wAfter w:w="18" w:type="dxa"/>
        </w:trPr>
        <w:tc>
          <w:tcPr>
            <w:tcW w:w="3600" w:type="dxa"/>
            <w:shd w:val="clear" w:color="auto" w:fill="auto"/>
            <w:noWrap/>
            <w:vAlign w:val="bottom"/>
            <w:hideMark/>
          </w:tcPr>
          <w:p w14:paraId="620666BC" w14:textId="77777777" w:rsidR="00744544" w:rsidRPr="00A66C9F" w:rsidRDefault="00744544" w:rsidP="00107D5D">
            <w:pPr>
              <w:suppressAutoHyphens/>
              <w:spacing w:before="40" w:after="40" w:line="210" w:lineRule="exact"/>
              <w:ind w:right="40"/>
              <w:rPr>
                <w:sz w:val="17"/>
                <w:szCs w:val="17"/>
                <w:lang w:val="fr-FR"/>
              </w:rPr>
            </w:pPr>
            <w:r w:rsidRPr="00A66C9F">
              <w:rPr>
                <w:sz w:val="17"/>
                <w:szCs w:val="17"/>
                <w:lang w:val="fr-FR"/>
              </w:rPr>
              <w:t>Entrées</w:t>
            </w:r>
          </w:p>
        </w:tc>
        <w:tc>
          <w:tcPr>
            <w:tcW w:w="1350" w:type="dxa"/>
            <w:shd w:val="clear" w:color="auto" w:fill="auto"/>
            <w:noWrap/>
            <w:vAlign w:val="bottom"/>
          </w:tcPr>
          <w:p w14:paraId="2AA023F3"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 </w:t>
            </w:r>
          </w:p>
        </w:tc>
        <w:tc>
          <w:tcPr>
            <w:tcW w:w="1260" w:type="dxa"/>
            <w:shd w:val="clear" w:color="auto" w:fill="auto"/>
            <w:noWrap/>
            <w:vAlign w:val="bottom"/>
          </w:tcPr>
          <w:p w14:paraId="5C8FD919"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 </w:t>
            </w:r>
          </w:p>
        </w:tc>
        <w:tc>
          <w:tcPr>
            <w:tcW w:w="1143" w:type="dxa"/>
            <w:shd w:val="clear" w:color="auto" w:fill="auto"/>
            <w:noWrap/>
            <w:vAlign w:val="bottom"/>
          </w:tcPr>
          <w:p w14:paraId="15887A4A" w14:textId="77777777" w:rsidR="00744544" w:rsidRPr="00A66C9F" w:rsidRDefault="00744544" w:rsidP="00107D5D">
            <w:pPr>
              <w:suppressAutoHyphens/>
              <w:spacing w:before="40" w:after="40" w:line="210" w:lineRule="exact"/>
              <w:ind w:right="40"/>
              <w:jc w:val="right"/>
              <w:rPr>
                <w:bCs/>
                <w:sz w:val="17"/>
                <w:szCs w:val="17"/>
                <w:lang w:val="fr-FR"/>
              </w:rPr>
            </w:pPr>
            <w:r w:rsidRPr="00A66C9F">
              <w:rPr>
                <w:bCs/>
                <w:sz w:val="17"/>
                <w:szCs w:val="17"/>
                <w:lang w:val="fr-FR"/>
              </w:rPr>
              <w:t xml:space="preserve"> – </w:t>
            </w:r>
          </w:p>
        </w:tc>
      </w:tr>
      <w:tr w:rsidR="00744544" w:rsidRPr="00A66C9F" w14:paraId="1F715DC8" w14:textId="77777777" w:rsidTr="00107D5D">
        <w:trPr>
          <w:gridAfter w:val="1"/>
          <w:wAfter w:w="18" w:type="dxa"/>
        </w:trPr>
        <w:tc>
          <w:tcPr>
            <w:tcW w:w="3600" w:type="dxa"/>
            <w:shd w:val="clear" w:color="auto" w:fill="auto"/>
            <w:noWrap/>
            <w:vAlign w:val="bottom"/>
          </w:tcPr>
          <w:p w14:paraId="29905722" w14:textId="77777777" w:rsidR="00744544" w:rsidRPr="00A66C9F" w:rsidRDefault="00744544" w:rsidP="00107D5D">
            <w:pPr>
              <w:suppressAutoHyphens/>
              <w:spacing w:before="40" w:after="40" w:line="210" w:lineRule="exact"/>
              <w:ind w:right="40"/>
              <w:rPr>
                <w:sz w:val="17"/>
                <w:szCs w:val="17"/>
                <w:lang w:val="fr-FR"/>
              </w:rPr>
            </w:pPr>
            <w:r w:rsidRPr="00A66C9F">
              <w:rPr>
                <w:sz w:val="17"/>
                <w:szCs w:val="17"/>
                <w:lang w:val="fr-FR"/>
              </w:rPr>
              <w:t>Transferts</w:t>
            </w:r>
          </w:p>
        </w:tc>
        <w:tc>
          <w:tcPr>
            <w:tcW w:w="1350" w:type="dxa"/>
            <w:shd w:val="clear" w:color="auto" w:fill="auto"/>
            <w:noWrap/>
            <w:vAlign w:val="bottom"/>
          </w:tcPr>
          <w:p w14:paraId="216B72AB"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 </w:t>
            </w:r>
          </w:p>
        </w:tc>
        <w:tc>
          <w:tcPr>
            <w:tcW w:w="1260" w:type="dxa"/>
            <w:shd w:val="clear" w:color="auto" w:fill="auto"/>
            <w:noWrap/>
            <w:vAlign w:val="bottom"/>
          </w:tcPr>
          <w:p w14:paraId="321AD041"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 </w:t>
            </w:r>
          </w:p>
        </w:tc>
        <w:tc>
          <w:tcPr>
            <w:tcW w:w="1143" w:type="dxa"/>
            <w:shd w:val="clear" w:color="auto" w:fill="auto"/>
            <w:noWrap/>
            <w:vAlign w:val="bottom"/>
          </w:tcPr>
          <w:p w14:paraId="49B4280D" w14:textId="77777777" w:rsidR="00744544" w:rsidRPr="00A66C9F" w:rsidRDefault="00744544" w:rsidP="00107D5D">
            <w:pPr>
              <w:suppressAutoHyphens/>
              <w:spacing w:before="40" w:after="40" w:line="210" w:lineRule="exact"/>
              <w:ind w:right="40"/>
              <w:jc w:val="right"/>
              <w:rPr>
                <w:bCs/>
                <w:sz w:val="17"/>
                <w:szCs w:val="17"/>
                <w:lang w:val="fr-FR"/>
              </w:rPr>
            </w:pPr>
            <w:r w:rsidRPr="00A66C9F">
              <w:rPr>
                <w:bCs/>
                <w:sz w:val="17"/>
                <w:szCs w:val="17"/>
                <w:lang w:val="fr-FR"/>
              </w:rPr>
              <w:t xml:space="preserve"> – </w:t>
            </w:r>
          </w:p>
        </w:tc>
      </w:tr>
      <w:tr w:rsidR="00744544" w:rsidRPr="00A66C9F" w14:paraId="066323D0" w14:textId="77777777" w:rsidTr="00107D5D">
        <w:trPr>
          <w:gridAfter w:val="1"/>
          <w:wAfter w:w="18" w:type="dxa"/>
        </w:trPr>
        <w:tc>
          <w:tcPr>
            <w:tcW w:w="3600" w:type="dxa"/>
            <w:shd w:val="clear" w:color="auto" w:fill="auto"/>
            <w:noWrap/>
            <w:vAlign w:val="bottom"/>
            <w:hideMark/>
          </w:tcPr>
          <w:p w14:paraId="5B277A13" w14:textId="77777777" w:rsidR="00744544" w:rsidRPr="00A66C9F" w:rsidRDefault="00744544" w:rsidP="00107D5D">
            <w:pPr>
              <w:suppressAutoHyphens/>
              <w:spacing w:before="40" w:after="40" w:line="210" w:lineRule="exact"/>
              <w:ind w:right="40"/>
              <w:rPr>
                <w:sz w:val="17"/>
                <w:szCs w:val="17"/>
                <w:lang w:val="fr-FR"/>
              </w:rPr>
            </w:pPr>
            <w:r w:rsidRPr="00A66C9F">
              <w:rPr>
                <w:sz w:val="17"/>
                <w:szCs w:val="17"/>
                <w:lang w:val="fr-FR"/>
              </w:rPr>
              <w:t>Sorties</w:t>
            </w:r>
          </w:p>
        </w:tc>
        <w:tc>
          <w:tcPr>
            <w:tcW w:w="1350" w:type="dxa"/>
            <w:shd w:val="clear" w:color="auto" w:fill="auto"/>
            <w:noWrap/>
            <w:vAlign w:val="bottom"/>
          </w:tcPr>
          <w:p w14:paraId="1483227E"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(644)</w:t>
            </w:r>
          </w:p>
        </w:tc>
        <w:tc>
          <w:tcPr>
            <w:tcW w:w="1260" w:type="dxa"/>
            <w:shd w:val="clear" w:color="auto" w:fill="auto"/>
            <w:noWrap/>
            <w:vAlign w:val="bottom"/>
          </w:tcPr>
          <w:p w14:paraId="05CEEB5B"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 </w:t>
            </w:r>
          </w:p>
        </w:tc>
        <w:tc>
          <w:tcPr>
            <w:tcW w:w="1143" w:type="dxa"/>
            <w:shd w:val="clear" w:color="auto" w:fill="auto"/>
            <w:noWrap/>
            <w:vAlign w:val="bottom"/>
          </w:tcPr>
          <w:p w14:paraId="6E27C2A5" w14:textId="77777777" w:rsidR="00744544" w:rsidRPr="00A66C9F" w:rsidRDefault="00744544" w:rsidP="00107D5D">
            <w:pPr>
              <w:suppressAutoHyphens/>
              <w:spacing w:before="40" w:after="40" w:line="210" w:lineRule="exact"/>
              <w:ind w:right="40"/>
              <w:jc w:val="right"/>
              <w:rPr>
                <w:bCs/>
                <w:sz w:val="17"/>
                <w:szCs w:val="17"/>
                <w:lang w:val="fr-FR"/>
              </w:rPr>
            </w:pPr>
            <w:r w:rsidRPr="00A66C9F">
              <w:rPr>
                <w:sz w:val="17"/>
                <w:szCs w:val="17"/>
                <w:lang w:val="fr-FR"/>
              </w:rPr>
              <w:t xml:space="preserve"> (644)</w:t>
            </w:r>
          </w:p>
        </w:tc>
      </w:tr>
      <w:tr w:rsidR="00744544" w:rsidRPr="00A66C9F" w14:paraId="57304506" w14:textId="77777777" w:rsidTr="00107D5D">
        <w:trPr>
          <w:gridAfter w:val="1"/>
          <w:wAfter w:w="18" w:type="dxa"/>
        </w:trPr>
        <w:tc>
          <w:tcPr>
            <w:tcW w:w="3600" w:type="dxa"/>
            <w:shd w:val="clear" w:color="auto" w:fill="auto"/>
            <w:noWrap/>
            <w:vAlign w:val="bottom"/>
            <w:hideMark/>
          </w:tcPr>
          <w:p w14:paraId="24619D62" w14:textId="77777777" w:rsidR="00744544" w:rsidRPr="00A66C9F" w:rsidRDefault="00744544" w:rsidP="00107D5D">
            <w:pPr>
              <w:suppressAutoHyphens/>
              <w:spacing w:before="40" w:after="40" w:line="210" w:lineRule="exact"/>
              <w:ind w:right="40"/>
              <w:rPr>
                <w:sz w:val="17"/>
                <w:szCs w:val="17"/>
                <w:lang w:val="fr-FR"/>
              </w:rPr>
            </w:pPr>
            <w:r w:rsidRPr="00A66C9F">
              <w:rPr>
                <w:sz w:val="17"/>
                <w:szCs w:val="17"/>
                <w:lang w:val="fr-FR"/>
              </w:rPr>
              <w:t>31 décembre 2019</w:t>
            </w:r>
          </w:p>
        </w:tc>
        <w:tc>
          <w:tcPr>
            <w:tcW w:w="1350" w:type="dxa"/>
            <w:shd w:val="clear" w:color="auto" w:fill="auto"/>
            <w:noWrap/>
            <w:vAlign w:val="bottom"/>
          </w:tcPr>
          <w:p w14:paraId="4FDF82A1" w14:textId="77777777" w:rsidR="00744544" w:rsidRPr="00A66C9F" w:rsidRDefault="00744544" w:rsidP="00107D5D">
            <w:pPr>
              <w:suppressAutoHyphens/>
              <w:spacing w:before="40" w:after="40" w:line="210" w:lineRule="exact"/>
              <w:ind w:right="40"/>
              <w:jc w:val="right"/>
              <w:rPr>
                <w:bCs/>
                <w:sz w:val="17"/>
                <w:szCs w:val="17"/>
                <w:lang w:val="fr-FR"/>
              </w:rPr>
            </w:pPr>
            <w:r w:rsidRPr="00A66C9F">
              <w:rPr>
                <w:sz w:val="17"/>
                <w:szCs w:val="17"/>
                <w:lang w:val="fr-FR"/>
              </w:rPr>
              <w:t xml:space="preserve"> 20 336 </w:t>
            </w:r>
          </w:p>
        </w:tc>
        <w:tc>
          <w:tcPr>
            <w:tcW w:w="1260" w:type="dxa"/>
            <w:shd w:val="clear" w:color="auto" w:fill="auto"/>
            <w:noWrap/>
            <w:vAlign w:val="bottom"/>
          </w:tcPr>
          <w:p w14:paraId="4CA34603" w14:textId="77777777" w:rsidR="00744544" w:rsidRPr="00A66C9F" w:rsidRDefault="00744544" w:rsidP="00107D5D">
            <w:pPr>
              <w:suppressAutoHyphens/>
              <w:spacing w:before="40" w:after="40" w:line="210" w:lineRule="exact"/>
              <w:ind w:right="40"/>
              <w:jc w:val="right"/>
              <w:rPr>
                <w:b/>
                <w:sz w:val="17"/>
                <w:szCs w:val="17"/>
                <w:lang w:val="fr-FR"/>
              </w:rPr>
            </w:pPr>
            <w:r w:rsidRPr="00A66C9F">
              <w:rPr>
                <w:sz w:val="17"/>
                <w:szCs w:val="17"/>
                <w:lang w:val="fr-FR"/>
              </w:rPr>
              <w:t xml:space="preserve"> – </w:t>
            </w:r>
          </w:p>
        </w:tc>
        <w:tc>
          <w:tcPr>
            <w:tcW w:w="1143" w:type="dxa"/>
            <w:shd w:val="clear" w:color="auto" w:fill="auto"/>
            <w:noWrap/>
            <w:vAlign w:val="bottom"/>
          </w:tcPr>
          <w:p w14:paraId="2EC1ADAB" w14:textId="77777777" w:rsidR="00744544" w:rsidRPr="00A66C9F" w:rsidRDefault="00744544" w:rsidP="00107D5D">
            <w:pPr>
              <w:suppressAutoHyphens/>
              <w:spacing w:before="40" w:after="40" w:line="210" w:lineRule="exact"/>
              <w:ind w:right="40"/>
              <w:jc w:val="right"/>
              <w:rPr>
                <w:bCs/>
                <w:sz w:val="17"/>
                <w:szCs w:val="17"/>
                <w:lang w:val="fr-FR"/>
              </w:rPr>
            </w:pPr>
            <w:r w:rsidRPr="00A66C9F">
              <w:rPr>
                <w:sz w:val="17"/>
                <w:szCs w:val="17"/>
                <w:lang w:val="fr-FR"/>
              </w:rPr>
              <w:t xml:space="preserve"> 20 336 </w:t>
            </w:r>
          </w:p>
        </w:tc>
      </w:tr>
      <w:tr w:rsidR="00744544" w:rsidRPr="00A66C9F" w14:paraId="3F33380A" w14:textId="77777777" w:rsidTr="00107D5D">
        <w:trPr>
          <w:gridAfter w:val="1"/>
          <w:wAfter w:w="18" w:type="dxa"/>
        </w:trPr>
        <w:tc>
          <w:tcPr>
            <w:tcW w:w="3600" w:type="dxa"/>
            <w:shd w:val="clear" w:color="auto" w:fill="auto"/>
            <w:noWrap/>
            <w:vAlign w:val="bottom"/>
            <w:hideMark/>
          </w:tcPr>
          <w:p w14:paraId="71D4D117" w14:textId="77777777" w:rsidR="00744544" w:rsidRPr="00A66C9F" w:rsidRDefault="00744544" w:rsidP="00107D5D">
            <w:pPr>
              <w:suppressAutoHyphens/>
              <w:spacing w:before="40" w:after="40" w:line="210" w:lineRule="exact"/>
              <w:ind w:right="40"/>
              <w:rPr>
                <w:b/>
                <w:bCs/>
                <w:sz w:val="17"/>
                <w:szCs w:val="17"/>
                <w:lang w:val="fr-FR"/>
              </w:rPr>
            </w:pPr>
            <w:r w:rsidRPr="00A66C9F">
              <w:rPr>
                <w:b/>
                <w:bCs/>
                <w:sz w:val="17"/>
                <w:szCs w:val="17"/>
                <w:lang w:val="fr-FR"/>
              </w:rPr>
              <w:t>Cumul des amortissements</w:t>
            </w:r>
          </w:p>
        </w:tc>
        <w:tc>
          <w:tcPr>
            <w:tcW w:w="1350" w:type="dxa"/>
            <w:shd w:val="clear" w:color="auto" w:fill="auto"/>
            <w:noWrap/>
            <w:vAlign w:val="bottom"/>
          </w:tcPr>
          <w:p w14:paraId="0C665E5D" w14:textId="77777777" w:rsidR="00744544" w:rsidRPr="00A66C9F" w:rsidRDefault="00744544" w:rsidP="00107D5D">
            <w:pPr>
              <w:suppressAutoHyphens/>
              <w:spacing w:before="40" w:after="40" w:line="210" w:lineRule="exact"/>
              <w:ind w:right="40"/>
              <w:jc w:val="right"/>
              <w:rPr>
                <w:sz w:val="17"/>
                <w:szCs w:val="17"/>
                <w:lang w:val="fr-FR"/>
              </w:rPr>
            </w:pPr>
          </w:p>
        </w:tc>
        <w:tc>
          <w:tcPr>
            <w:tcW w:w="1260" w:type="dxa"/>
            <w:shd w:val="clear" w:color="auto" w:fill="auto"/>
            <w:noWrap/>
            <w:vAlign w:val="bottom"/>
          </w:tcPr>
          <w:p w14:paraId="4E3EC4C4" w14:textId="77777777" w:rsidR="00744544" w:rsidRPr="00A66C9F" w:rsidRDefault="00744544" w:rsidP="00107D5D">
            <w:pPr>
              <w:suppressAutoHyphens/>
              <w:spacing w:before="40" w:after="40" w:line="210" w:lineRule="exact"/>
              <w:ind w:right="40"/>
              <w:jc w:val="right"/>
              <w:rPr>
                <w:sz w:val="17"/>
                <w:szCs w:val="17"/>
                <w:lang w:val="fr-FR"/>
              </w:rPr>
            </w:pPr>
          </w:p>
        </w:tc>
        <w:tc>
          <w:tcPr>
            <w:tcW w:w="1143" w:type="dxa"/>
            <w:shd w:val="clear" w:color="auto" w:fill="auto"/>
            <w:noWrap/>
            <w:vAlign w:val="bottom"/>
          </w:tcPr>
          <w:p w14:paraId="590F68C5" w14:textId="77777777" w:rsidR="00744544" w:rsidRPr="00A66C9F" w:rsidRDefault="00744544" w:rsidP="00107D5D">
            <w:pPr>
              <w:suppressAutoHyphens/>
              <w:spacing w:before="40" w:after="40" w:line="210" w:lineRule="exact"/>
              <w:ind w:right="40"/>
              <w:jc w:val="right"/>
              <w:rPr>
                <w:bCs/>
                <w:sz w:val="17"/>
                <w:szCs w:val="17"/>
                <w:lang w:val="fr-FR"/>
              </w:rPr>
            </w:pPr>
          </w:p>
        </w:tc>
      </w:tr>
      <w:tr w:rsidR="00744544" w:rsidRPr="00A66C9F" w14:paraId="6A05D583" w14:textId="77777777" w:rsidTr="00107D5D">
        <w:trPr>
          <w:gridAfter w:val="1"/>
          <w:wAfter w:w="18" w:type="dxa"/>
        </w:trPr>
        <w:tc>
          <w:tcPr>
            <w:tcW w:w="3600" w:type="dxa"/>
            <w:shd w:val="clear" w:color="auto" w:fill="auto"/>
            <w:noWrap/>
            <w:vAlign w:val="bottom"/>
            <w:hideMark/>
          </w:tcPr>
          <w:p w14:paraId="2AF9B5BF" w14:textId="77777777" w:rsidR="00744544" w:rsidRPr="00A66C9F" w:rsidRDefault="00744544" w:rsidP="00107D5D">
            <w:pPr>
              <w:suppressAutoHyphens/>
              <w:spacing w:before="40" w:after="40" w:line="210" w:lineRule="exact"/>
              <w:ind w:right="40"/>
              <w:rPr>
                <w:sz w:val="17"/>
                <w:szCs w:val="17"/>
                <w:lang w:val="fr-FR"/>
              </w:rPr>
            </w:pPr>
            <w:r w:rsidRPr="00A66C9F">
              <w:rPr>
                <w:sz w:val="17"/>
                <w:szCs w:val="17"/>
                <w:lang w:val="fr-FR"/>
              </w:rPr>
              <w:t>1</w:t>
            </w:r>
            <w:r w:rsidRPr="00A66C9F">
              <w:rPr>
                <w:sz w:val="17"/>
                <w:szCs w:val="17"/>
                <w:vertAlign w:val="superscript"/>
                <w:lang w:val="fr-FR"/>
              </w:rPr>
              <w:t>er</w:t>
            </w:r>
            <w:r w:rsidRPr="00A66C9F">
              <w:rPr>
                <w:sz w:val="17"/>
                <w:szCs w:val="17"/>
                <w:lang w:val="fr-FR"/>
              </w:rPr>
              <w:t> janvier 2019</w:t>
            </w:r>
          </w:p>
        </w:tc>
        <w:tc>
          <w:tcPr>
            <w:tcW w:w="1350" w:type="dxa"/>
            <w:shd w:val="clear" w:color="auto" w:fill="auto"/>
            <w:noWrap/>
            <w:vAlign w:val="bottom"/>
          </w:tcPr>
          <w:p w14:paraId="48BE1942"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20 955 </w:t>
            </w:r>
          </w:p>
        </w:tc>
        <w:tc>
          <w:tcPr>
            <w:tcW w:w="1260" w:type="dxa"/>
            <w:shd w:val="clear" w:color="auto" w:fill="auto"/>
            <w:noWrap/>
            <w:vAlign w:val="bottom"/>
          </w:tcPr>
          <w:p w14:paraId="3FDBCDA5"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 </w:t>
            </w:r>
          </w:p>
        </w:tc>
        <w:tc>
          <w:tcPr>
            <w:tcW w:w="1143" w:type="dxa"/>
            <w:shd w:val="clear" w:color="auto" w:fill="auto"/>
            <w:noWrap/>
            <w:vAlign w:val="bottom"/>
          </w:tcPr>
          <w:p w14:paraId="6E6D1685" w14:textId="77777777" w:rsidR="00744544" w:rsidRPr="00A66C9F" w:rsidRDefault="00744544" w:rsidP="00107D5D">
            <w:pPr>
              <w:suppressAutoHyphens/>
              <w:spacing w:before="40" w:after="40" w:line="210" w:lineRule="exact"/>
              <w:ind w:right="40"/>
              <w:jc w:val="right"/>
              <w:rPr>
                <w:bCs/>
                <w:sz w:val="17"/>
                <w:szCs w:val="17"/>
                <w:lang w:val="fr-FR"/>
              </w:rPr>
            </w:pPr>
            <w:r w:rsidRPr="00A66C9F">
              <w:rPr>
                <w:sz w:val="17"/>
                <w:szCs w:val="17"/>
                <w:lang w:val="fr-FR"/>
              </w:rPr>
              <w:t xml:space="preserve"> 20 955 </w:t>
            </w:r>
          </w:p>
        </w:tc>
      </w:tr>
      <w:tr w:rsidR="00744544" w:rsidRPr="00A66C9F" w14:paraId="6FDA2FA3" w14:textId="77777777" w:rsidTr="00107D5D">
        <w:trPr>
          <w:gridAfter w:val="1"/>
          <w:wAfter w:w="18" w:type="dxa"/>
        </w:trPr>
        <w:tc>
          <w:tcPr>
            <w:tcW w:w="3600" w:type="dxa"/>
            <w:shd w:val="clear" w:color="auto" w:fill="auto"/>
            <w:noWrap/>
            <w:vAlign w:val="bottom"/>
            <w:hideMark/>
          </w:tcPr>
          <w:p w14:paraId="7CDD03B0" w14:textId="77777777" w:rsidR="00744544" w:rsidRPr="00A66C9F" w:rsidRDefault="00744544" w:rsidP="00107D5D">
            <w:pPr>
              <w:suppressAutoHyphens/>
              <w:spacing w:before="40" w:after="40" w:line="210" w:lineRule="exact"/>
              <w:ind w:right="40"/>
              <w:rPr>
                <w:sz w:val="17"/>
                <w:szCs w:val="17"/>
                <w:lang w:val="fr-FR"/>
              </w:rPr>
            </w:pPr>
            <w:r w:rsidRPr="00A66C9F">
              <w:rPr>
                <w:sz w:val="17"/>
                <w:szCs w:val="17"/>
                <w:lang w:val="fr-FR"/>
              </w:rPr>
              <w:t>Amortissement</w:t>
            </w:r>
          </w:p>
        </w:tc>
        <w:tc>
          <w:tcPr>
            <w:tcW w:w="1350" w:type="dxa"/>
            <w:shd w:val="clear" w:color="auto" w:fill="auto"/>
            <w:noWrap/>
            <w:vAlign w:val="bottom"/>
          </w:tcPr>
          <w:p w14:paraId="45E375DE"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25 </w:t>
            </w:r>
          </w:p>
        </w:tc>
        <w:tc>
          <w:tcPr>
            <w:tcW w:w="1260" w:type="dxa"/>
            <w:shd w:val="clear" w:color="auto" w:fill="auto"/>
            <w:noWrap/>
            <w:vAlign w:val="bottom"/>
          </w:tcPr>
          <w:p w14:paraId="422D9419"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 </w:t>
            </w:r>
          </w:p>
        </w:tc>
        <w:tc>
          <w:tcPr>
            <w:tcW w:w="1143" w:type="dxa"/>
            <w:shd w:val="clear" w:color="auto" w:fill="auto"/>
            <w:noWrap/>
            <w:vAlign w:val="bottom"/>
          </w:tcPr>
          <w:p w14:paraId="699763BD" w14:textId="77777777" w:rsidR="00744544" w:rsidRPr="00A66C9F" w:rsidRDefault="00744544" w:rsidP="00107D5D">
            <w:pPr>
              <w:suppressAutoHyphens/>
              <w:spacing w:before="40" w:after="40" w:line="210" w:lineRule="exact"/>
              <w:ind w:right="40"/>
              <w:jc w:val="right"/>
              <w:rPr>
                <w:bCs/>
                <w:sz w:val="17"/>
                <w:szCs w:val="17"/>
                <w:lang w:val="fr-FR"/>
              </w:rPr>
            </w:pPr>
            <w:r w:rsidRPr="00A66C9F">
              <w:rPr>
                <w:sz w:val="17"/>
                <w:szCs w:val="17"/>
                <w:lang w:val="fr-FR"/>
              </w:rPr>
              <w:t xml:space="preserve"> 25 </w:t>
            </w:r>
          </w:p>
        </w:tc>
      </w:tr>
      <w:tr w:rsidR="00744544" w:rsidRPr="00A66C9F" w14:paraId="0E1CE918" w14:textId="77777777" w:rsidTr="00107D5D">
        <w:trPr>
          <w:gridAfter w:val="1"/>
          <w:wAfter w:w="18" w:type="dxa"/>
        </w:trPr>
        <w:tc>
          <w:tcPr>
            <w:tcW w:w="3600" w:type="dxa"/>
            <w:shd w:val="clear" w:color="auto" w:fill="auto"/>
            <w:noWrap/>
            <w:vAlign w:val="bottom"/>
            <w:hideMark/>
          </w:tcPr>
          <w:p w14:paraId="20626239" w14:textId="77777777" w:rsidR="00744544" w:rsidRPr="00A66C9F" w:rsidRDefault="00744544" w:rsidP="00107D5D">
            <w:pPr>
              <w:suppressAutoHyphens/>
              <w:spacing w:before="40" w:after="40" w:line="210" w:lineRule="exact"/>
              <w:ind w:right="40"/>
              <w:rPr>
                <w:sz w:val="17"/>
                <w:szCs w:val="17"/>
                <w:lang w:val="fr-FR"/>
              </w:rPr>
            </w:pPr>
            <w:r w:rsidRPr="00A66C9F">
              <w:rPr>
                <w:sz w:val="17"/>
                <w:szCs w:val="17"/>
                <w:lang w:val="fr-FR"/>
              </w:rPr>
              <w:lastRenderedPageBreak/>
              <w:t>Sorties</w:t>
            </w:r>
          </w:p>
        </w:tc>
        <w:tc>
          <w:tcPr>
            <w:tcW w:w="1350" w:type="dxa"/>
            <w:shd w:val="clear" w:color="auto" w:fill="auto"/>
            <w:noWrap/>
            <w:vAlign w:val="bottom"/>
          </w:tcPr>
          <w:p w14:paraId="795EEEA8"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(644)</w:t>
            </w:r>
          </w:p>
        </w:tc>
        <w:tc>
          <w:tcPr>
            <w:tcW w:w="1260" w:type="dxa"/>
            <w:shd w:val="clear" w:color="auto" w:fill="auto"/>
            <w:noWrap/>
            <w:vAlign w:val="bottom"/>
          </w:tcPr>
          <w:p w14:paraId="49F6ADF3"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 </w:t>
            </w:r>
          </w:p>
        </w:tc>
        <w:tc>
          <w:tcPr>
            <w:tcW w:w="1143" w:type="dxa"/>
            <w:shd w:val="clear" w:color="auto" w:fill="auto"/>
            <w:noWrap/>
            <w:vAlign w:val="bottom"/>
          </w:tcPr>
          <w:p w14:paraId="177C1421" w14:textId="77777777" w:rsidR="00744544" w:rsidRPr="00A66C9F" w:rsidRDefault="00744544" w:rsidP="00107D5D">
            <w:pPr>
              <w:suppressAutoHyphens/>
              <w:spacing w:before="40" w:after="40" w:line="210" w:lineRule="exact"/>
              <w:ind w:right="40"/>
              <w:jc w:val="right"/>
              <w:rPr>
                <w:bCs/>
                <w:sz w:val="17"/>
                <w:szCs w:val="17"/>
                <w:lang w:val="fr-FR"/>
              </w:rPr>
            </w:pPr>
            <w:r w:rsidRPr="00A66C9F">
              <w:rPr>
                <w:sz w:val="17"/>
                <w:szCs w:val="17"/>
                <w:lang w:val="fr-FR"/>
              </w:rPr>
              <w:t xml:space="preserve"> (644)</w:t>
            </w:r>
          </w:p>
        </w:tc>
      </w:tr>
      <w:tr w:rsidR="00744544" w:rsidRPr="00A66C9F" w14:paraId="25762DA4" w14:textId="77777777" w:rsidTr="00107D5D">
        <w:trPr>
          <w:gridAfter w:val="1"/>
          <w:wAfter w:w="18" w:type="dxa"/>
        </w:trPr>
        <w:tc>
          <w:tcPr>
            <w:tcW w:w="3600" w:type="dxa"/>
            <w:tcBorders>
              <w:bottom w:val="single" w:sz="4" w:space="0" w:color="auto"/>
            </w:tcBorders>
            <w:shd w:val="clear" w:color="auto" w:fill="auto"/>
            <w:noWrap/>
            <w:vAlign w:val="bottom"/>
            <w:hideMark/>
          </w:tcPr>
          <w:p w14:paraId="0626EC8E" w14:textId="77777777" w:rsidR="00744544" w:rsidRPr="00A66C9F" w:rsidRDefault="00744544" w:rsidP="00107D5D">
            <w:pPr>
              <w:suppressAutoHyphens/>
              <w:spacing w:before="40" w:after="81" w:line="210" w:lineRule="exact"/>
              <w:ind w:right="40"/>
              <w:rPr>
                <w:sz w:val="17"/>
                <w:szCs w:val="17"/>
                <w:lang w:val="fr-FR"/>
              </w:rPr>
            </w:pPr>
            <w:r w:rsidRPr="00A66C9F">
              <w:rPr>
                <w:sz w:val="17"/>
                <w:szCs w:val="17"/>
                <w:lang w:val="fr-FR"/>
              </w:rPr>
              <w:t>31 décembre 2019</w:t>
            </w:r>
          </w:p>
        </w:tc>
        <w:tc>
          <w:tcPr>
            <w:tcW w:w="1350" w:type="dxa"/>
            <w:tcBorders>
              <w:bottom w:val="single" w:sz="4" w:space="0" w:color="auto"/>
            </w:tcBorders>
            <w:shd w:val="clear" w:color="auto" w:fill="auto"/>
            <w:noWrap/>
            <w:vAlign w:val="bottom"/>
          </w:tcPr>
          <w:p w14:paraId="1E4DA4DB" w14:textId="77777777" w:rsidR="00744544" w:rsidRPr="00A66C9F" w:rsidRDefault="00744544" w:rsidP="00107D5D">
            <w:pPr>
              <w:suppressAutoHyphens/>
              <w:spacing w:before="40" w:after="81" w:line="210" w:lineRule="exact"/>
              <w:ind w:right="40"/>
              <w:jc w:val="right"/>
              <w:rPr>
                <w:bCs/>
                <w:sz w:val="17"/>
                <w:szCs w:val="17"/>
                <w:lang w:val="fr-FR"/>
              </w:rPr>
            </w:pPr>
            <w:r w:rsidRPr="00A66C9F">
              <w:rPr>
                <w:bCs/>
                <w:sz w:val="17"/>
                <w:szCs w:val="17"/>
                <w:lang w:val="fr-FR"/>
              </w:rPr>
              <w:t xml:space="preserve"> 20 336 </w:t>
            </w:r>
          </w:p>
        </w:tc>
        <w:tc>
          <w:tcPr>
            <w:tcW w:w="1260" w:type="dxa"/>
            <w:tcBorders>
              <w:bottom w:val="single" w:sz="4" w:space="0" w:color="auto"/>
            </w:tcBorders>
            <w:shd w:val="clear" w:color="auto" w:fill="auto"/>
            <w:noWrap/>
            <w:vAlign w:val="bottom"/>
          </w:tcPr>
          <w:p w14:paraId="23BA31EA" w14:textId="77777777" w:rsidR="00744544" w:rsidRPr="00A66C9F" w:rsidRDefault="00744544" w:rsidP="00107D5D">
            <w:pPr>
              <w:suppressAutoHyphens/>
              <w:spacing w:before="40" w:after="81" w:line="210" w:lineRule="exact"/>
              <w:ind w:right="40"/>
              <w:jc w:val="right"/>
              <w:rPr>
                <w:bCs/>
                <w:sz w:val="17"/>
                <w:szCs w:val="17"/>
                <w:lang w:val="fr-FR"/>
              </w:rPr>
            </w:pPr>
            <w:r w:rsidRPr="00A66C9F">
              <w:rPr>
                <w:bCs/>
                <w:sz w:val="17"/>
                <w:szCs w:val="17"/>
                <w:lang w:val="fr-FR"/>
              </w:rPr>
              <w:t xml:space="preserve"> – </w:t>
            </w:r>
          </w:p>
        </w:tc>
        <w:tc>
          <w:tcPr>
            <w:tcW w:w="1143" w:type="dxa"/>
            <w:tcBorders>
              <w:bottom w:val="single" w:sz="4" w:space="0" w:color="auto"/>
            </w:tcBorders>
            <w:shd w:val="clear" w:color="auto" w:fill="auto"/>
            <w:noWrap/>
            <w:vAlign w:val="bottom"/>
          </w:tcPr>
          <w:p w14:paraId="39199502" w14:textId="77777777" w:rsidR="00744544" w:rsidRPr="00A66C9F" w:rsidRDefault="00744544" w:rsidP="00107D5D">
            <w:pPr>
              <w:suppressAutoHyphens/>
              <w:spacing w:before="40" w:after="81" w:line="210" w:lineRule="exact"/>
              <w:ind w:right="40"/>
              <w:jc w:val="right"/>
              <w:rPr>
                <w:bCs/>
                <w:sz w:val="17"/>
                <w:szCs w:val="17"/>
                <w:lang w:val="fr-FR"/>
              </w:rPr>
            </w:pPr>
            <w:r w:rsidRPr="00A66C9F">
              <w:rPr>
                <w:sz w:val="17"/>
                <w:szCs w:val="17"/>
                <w:lang w:val="fr-FR"/>
              </w:rPr>
              <w:t xml:space="preserve"> 20 336 </w:t>
            </w:r>
          </w:p>
        </w:tc>
      </w:tr>
      <w:tr w:rsidR="00744544" w:rsidRPr="00A66C9F" w14:paraId="03C2449E" w14:textId="77777777" w:rsidTr="00107D5D">
        <w:trPr>
          <w:gridAfter w:val="1"/>
          <w:wAfter w:w="18" w:type="dxa"/>
        </w:trPr>
        <w:tc>
          <w:tcPr>
            <w:tcW w:w="3600" w:type="dxa"/>
            <w:tcBorders>
              <w:top w:val="single" w:sz="4" w:space="0" w:color="auto"/>
              <w:bottom w:val="single" w:sz="12" w:space="0" w:color="auto"/>
            </w:tcBorders>
            <w:shd w:val="clear" w:color="auto" w:fill="auto"/>
            <w:noWrap/>
            <w:vAlign w:val="bottom"/>
            <w:hideMark/>
          </w:tcPr>
          <w:p w14:paraId="41C1C418" w14:textId="77777777" w:rsidR="00744544" w:rsidRPr="00A66C9F" w:rsidRDefault="00744544" w:rsidP="00107D5D">
            <w:pPr>
              <w:tabs>
                <w:tab w:val="left" w:pos="180"/>
              </w:tabs>
              <w:suppressAutoHyphens/>
              <w:spacing w:before="81" w:after="81" w:line="210" w:lineRule="exact"/>
              <w:ind w:right="43"/>
              <w:rPr>
                <w:b/>
                <w:bCs/>
                <w:sz w:val="17"/>
                <w:szCs w:val="17"/>
                <w:lang w:val="fr-FR"/>
              </w:rPr>
            </w:pPr>
            <w:r w:rsidRPr="00A66C9F">
              <w:rPr>
                <w:b/>
                <w:bCs/>
                <w:sz w:val="17"/>
                <w:szCs w:val="17"/>
                <w:lang w:val="fr-FR"/>
              </w:rPr>
              <w:tab/>
              <w:t>Valeur nette comptable,</w:t>
            </w:r>
            <w:r w:rsidRPr="00A66C9F">
              <w:rPr>
                <w:sz w:val="17"/>
                <w:szCs w:val="17"/>
                <w:lang w:val="fr-FR"/>
              </w:rPr>
              <w:t xml:space="preserve"> </w:t>
            </w:r>
            <w:r w:rsidRPr="00A66C9F">
              <w:rPr>
                <w:b/>
                <w:bCs/>
                <w:sz w:val="17"/>
                <w:szCs w:val="17"/>
                <w:lang w:val="fr-FR"/>
              </w:rPr>
              <w:t>31 décembre 2019</w:t>
            </w:r>
          </w:p>
        </w:tc>
        <w:tc>
          <w:tcPr>
            <w:tcW w:w="1350" w:type="dxa"/>
            <w:tcBorders>
              <w:top w:val="single" w:sz="4" w:space="0" w:color="auto"/>
              <w:bottom w:val="single" w:sz="12" w:space="0" w:color="auto"/>
            </w:tcBorders>
            <w:shd w:val="clear" w:color="auto" w:fill="auto"/>
            <w:noWrap/>
            <w:vAlign w:val="bottom"/>
          </w:tcPr>
          <w:p w14:paraId="418CAC8D" w14:textId="77777777" w:rsidR="00744544" w:rsidRPr="00A66C9F" w:rsidRDefault="00744544" w:rsidP="00107D5D">
            <w:pPr>
              <w:suppressAutoHyphens/>
              <w:spacing w:before="81" w:after="81" w:line="210" w:lineRule="exact"/>
              <w:ind w:right="40"/>
              <w:jc w:val="right"/>
              <w:rPr>
                <w:sz w:val="17"/>
                <w:szCs w:val="17"/>
                <w:lang w:val="fr-FR"/>
              </w:rPr>
            </w:pPr>
            <w:r w:rsidRPr="00A66C9F">
              <w:rPr>
                <w:b/>
                <w:sz w:val="17"/>
                <w:szCs w:val="17"/>
                <w:lang w:val="fr-FR"/>
              </w:rPr>
              <w:t>–</w:t>
            </w:r>
          </w:p>
        </w:tc>
        <w:tc>
          <w:tcPr>
            <w:tcW w:w="1260" w:type="dxa"/>
            <w:tcBorders>
              <w:top w:val="single" w:sz="4" w:space="0" w:color="auto"/>
              <w:bottom w:val="single" w:sz="12" w:space="0" w:color="auto"/>
            </w:tcBorders>
            <w:shd w:val="clear" w:color="auto" w:fill="auto"/>
            <w:noWrap/>
            <w:vAlign w:val="bottom"/>
          </w:tcPr>
          <w:p w14:paraId="4CC48346" w14:textId="77777777" w:rsidR="00744544" w:rsidRPr="00A66C9F" w:rsidRDefault="00744544" w:rsidP="00107D5D">
            <w:pPr>
              <w:suppressAutoHyphens/>
              <w:spacing w:before="81" w:after="81" w:line="210" w:lineRule="exact"/>
              <w:ind w:right="40"/>
              <w:jc w:val="right"/>
              <w:rPr>
                <w:sz w:val="17"/>
                <w:szCs w:val="17"/>
                <w:lang w:val="fr-FR"/>
              </w:rPr>
            </w:pPr>
            <w:r w:rsidRPr="00A66C9F">
              <w:rPr>
                <w:b/>
                <w:sz w:val="17"/>
                <w:szCs w:val="17"/>
                <w:lang w:val="fr-FR"/>
              </w:rPr>
              <w:t>–</w:t>
            </w:r>
          </w:p>
        </w:tc>
        <w:tc>
          <w:tcPr>
            <w:tcW w:w="1143" w:type="dxa"/>
            <w:tcBorders>
              <w:top w:val="single" w:sz="4" w:space="0" w:color="auto"/>
              <w:bottom w:val="single" w:sz="12" w:space="0" w:color="auto"/>
            </w:tcBorders>
            <w:shd w:val="clear" w:color="auto" w:fill="auto"/>
            <w:noWrap/>
            <w:vAlign w:val="bottom"/>
          </w:tcPr>
          <w:p w14:paraId="29ECFD68" w14:textId="77777777" w:rsidR="00744544" w:rsidRPr="00A66C9F" w:rsidRDefault="00744544" w:rsidP="00107D5D">
            <w:pPr>
              <w:suppressAutoHyphens/>
              <w:spacing w:before="81" w:after="81" w:line="210" w:lineRule="exact"/>
              <w:ind w:right="40"/>
              <w:jc w:val="right"/>
              <w:rPr>
                <w:b/>
                <w:sz w:val="17"/>
                <w:szCs w:val="17"/>
                <w:lang w:val="fr-FR"/>
              </w:rPr>
            </w:pPr>
            <w:r w:rsidRPr="00A66C9F">
              <w:rPr>
                <w:b/>
                <w:sz w:val="17"/>
                <w:szCs w:val="17"/>
                <w:lang w:val="fr-FR"/>
              </w:rPr>
              <w:t>–</w:t>
            </w:r>
          </w:p>
        </w:tc>
      </w:tr>
    </w:tbl>
    <w:p w14:paraId="4ECF1FF7" w14:textId="77777777" w:rsidR="00744544" w:rsidRPr="00A66C9F" w:rsidRDefault="00744544" w:rsidP="00744544">
      <w:pPr>
        <w:pStyle w:val="SingleTxt"/>
        <w:spacing w:after="0" w:line="120" w:lineRule="exact"/>
        <w:rPr>
          <w:sz w:val="10"/>
          <w:lang w:val="fr-FR"/>
        </w:rPr>
      </w:pPr>
    </w:p>
    <w:p w14:paraId="7B0A13E7" w14:textId="77777777" w:rsidR="00744544" w:rsidRPr="00A66C9F" w:rsidRDefault="00744544" w:rsidP="00744544">
      <w:pPr>
        <w:pStyle w:val="SingleTxt"/>
        <w:spacing w:after="0" w:line="120" w:lineRule="exact"/>
        <w:rPr>
          <w:sz w:val="10"/>
          <w:szCs w:val="20"/>
          <w:lang w:val="fr-FR"/>
        </w:rPr>
      </w:pPr>
    </w:p>
    <w:p w14:paraId="4CAA8891" w14:textId="77777777" w:rsidR="00744544" w:rsidRPr="00A66C9F" w:rsidRDefault="00744544" w:rsidP="00744544">
      <w:pPr>
        <w:pStyle w:val="SingleTxt"/>
        <w:spacing w:after="0" w:line="120" w:lineRule="exact"/>
        <w:rPr>
          <w:sz w:val="10"/>
          <w:szCs w:val="20"/>
          <w:lang w:val="fr-FR"/>
        </w:rPr>
      </w:pPr>
    </w:p>
    <w:p w14:paraId="4546020F" w14:textId="77777777" w:rsidR="00744544" w:rsidRPr="00A66C9F" w:rsidRDefault="00744544" w:rsidP="0074454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lang w:val="fr-FR"/>
        </w:rPr>
        <w:tab/>
      </w:r>
      <w:r w:rsidRPr="00A66C9F">
        <w:rPr>
          <w:lang w:val="fr-FR"/>
        </w:rPr>
        <w:tab/>
      </w:r>
      <w:r w:rsidRPr="00A66C9F">
        <w:rPr>
          <w:sz w:val="14"/>
          <w:szCs w:val="14"/>
          <w:lang w:val="fr-FR"/>
        </w:rPr>
        <w:t>(En milliers de dollars des États-Unis)</w:t>
      </w:r>
    </w:p>
    <w:p w14:paraId="29C9DC0E" w14:textId="77777777" w:rsidR="00744544" w:rsidRPr="00A66C9F" w:rsidRDefault="00744544" w:rsidP="00744544">
      <w:pPr>
        <w:pStyle w:val="SingleTxt"/>
        <w:spacing w:after="0" w:line="120" w:lineRule="exact"/>
        <w:rPr>
          <w:sz w:val="10"/>
          <w:szCs w:val="14"/>
          <w:lang w:val="fr-FR"/>
        </w:rPr>
      </w:pPr>
    </w:p>
    <w:p w14:paraId="400BE06D" w14:textId="77777777" w:rsidR="00744544" w:rsidRPr="00A66C9F" w:rsidRDefault="00744544" w:rsidP="00744544">
      <w:pPr>
        <w:pStyle w:val="SingleTxt"/>
        <w:spacing w:after="0" w:line="120" w:lineRule="exact"/>
        <w:rPr>
          <w:sz w:val="10"/>
          <w:szCs w:val="14"/>
          <w:lang w:val="fr-FR"/>
        </w:rPr>
      </w:pPr>
    </w:p>
    <w:tbl>
      <w:tblPr>
        <w:tblW w:w="7380" w:type="dxa"/>
        <w:tblInd w:w="1260" w:type="dxa"/>
        <w:tblLayout w:type="fixed"/>
        <w:tblCellMar>
          <w:left w:w="0" w:type="dxa"/>
          <w:right w:w="0" w:type="dxa"/>
        </w:tblCellMar>
        <w:tblLook w:val="04A0" w:firstRow="1" w:lastRow="0" w:firstColumn="1" w:lastColumn="0" w:noHBand="0" w:noVBand="1"/>
      </w:tblPr>
      <w:tblGrid>
        <w:gridCol w:w="3591"/>
        <w:gridCol w:w="9"/>
        <w:gridCol w:w="1332"/>
        <w:gridCol w:w="1269"/>
        <w:gridCol w:w="18"/>
        <w:gridCol w:w="1161"/>
      </w:tblGrid>
      <w:tr w:rsidR="00744544" w:rsidRPr="00A66C9F" w14:paraId="41677C91" w14:textId="77777777" w:rsidTr="00107D5D">
        <w:trPr>
          <w:trHeight w:val="315"/>
          <w:tblHeader/>
        </w:trPr>
        <w:tc>
          <w:tcPr>
            <w:tcW w:w="3600" w:type="dxa"/>
            <w:gridSpan w:val="2"/>
            <w:tcBorders>
              <w:top w:val="single" w:sz="4" w:space="0" w:color="auto"/>
            </w:tcBorders>
            <w:shd w:val="clear" w:color="auto" w:fill="auto"/>
            <w:noWrap/>
            <w:vAlign w:val="bottom"/>
          </w:tcPr>
          <w:p w14:paraId="22AD792F" w14:textId="77777777" w:rsidR="00744544" w:rsidRPr="00A66C9F" w:rsidRDefault="00744544" w:rsidP="00107D5D">
            <w:pPr>
              <w:keepNext/>
              <w:keepLines/>
              <w:suppressAutoHyphens/>
              <w:spacing w:before="81" w:after="81" w:line="160" w:lineRule="exact"/>
              <w:ind w:right="40"/>
              <w:jc w:val="center"/>
              <w:rPr>
                <w:b/>
                <w:bCs/>
                <w:i/>
                <w:sz w:val="14"/>
                <w:szCs w:val="24"/>
                <w:lang w:val="fr-FR"/>
              </w:rPr>
            </w:pPr>
          </w:p>
        </w:tc>
        <w:tc>
          <w:tcPr>
            <w:tcW w:w="2619" w:type="dxa"/>
            <w:gridSpan w:val="3"/>
            <w:tcBorders>
              <w:top w:val="single" w:sz="4" w:space="0" w:color="auto"/>
              <w:bottom w:val="single" w:sz="4" w:space="0" w:color="auto"/>
            </w:tcBorders>
            <w:shd w:val="clear" w:color="auto" w:fill="auto"/>
            <w:noWrap/>
            <w:vAlign w:val="bottom"/>
          </w:tcPr>
          <w:p w14:paraId="740ED3C4" w14:textId="77777777" w:rsidR="00744544" w:rsidRPr="00A66C9F" w:rsidRDefault="00744544" w:rsidP="00107D5D">
            <w:pPr>
              <w:keepNext/>
              <w:keepLines/>
              <w:suppressAutoHyphens/>
              <w:spacing w:before="81" w:after="81" w:line="160" w:lineRule="exact"/>
              <w:ind w:right="43"/>
              <w:jc w:val="center"/>
              <w:rPr>
                <w:i/>
                <w:iCs/>
                <w:sz w:val="14"/>
                <w:szCs w:val="24"/>
                <w:lang w:val="fr-FR"/>
              </w:rPr>
            </w:pPr>
            <w:r w:rsidRPr="00A66C9F">
              <w:rPr>
                <w:i/>
                <w:iCs/>
                <w:sz w:val="14"/>
                <w:lang w:val="fr-FR"/>
              </w:rPr>
              <w:t>Immobilisations incorporelles</w:t>
            </w:r>
          </w:p>
        </w:tc>
        <w:tc>
          <w:tcPr>
            <w:tcW w:w="1161" w:type="dxa"/>
            <w:tcBorders>
              <w:top w:val="single" w:sz="4" w:space="0" w:color="auto"/>
            </w:tcBorders>
            <w:shd w:val="clear" w:color="auto" w:fill="auto"/>
            <w:noWrap/>
            <w:vAlign w:val="bottom"/>
          </w:tcPr>
          <w:p w14:paraId="77DF0248" w14:textId="77777777" w:rsidR="00744544" w:rsidRPr="00A66C9F" w:rsidRDefault="00744544" w:rsidP="00107D5D">
            <w:pPr>
              <w:keepNext/>
              <w:keepLines/>
              <w:suppressAutoHyphens/>
              <w:spacing w:before="81" w:after="81" w:line="160" w:lineRule="exact"/>
              <w:ind w:right="43"/>
              <w:jc w:val="right"/>
              <w:rPr>
                <w:i/>
                <w:iCs/>
                <w:sz w:val="14"/>
                <w:szCs w:val="24"/>
                <w:lang w:val="fr-FR"/>
              </w:rPr>
            </w:pPr>
          </w:p>
        </w:tc>
      </w:tr>
      <w:tr w:rsidR="00744544" w:rsidRPr="00A66C9F" w14:paraId="5F02B746" w14:textId="77777777" w:rsidTr="00107D5D">
        <w:trPr>
          <w:trHeight w:val="315"/>
          <w:tblHeader/>
        </w:trPr>
        <w:tc>
          <w:tcPr>
            <w:tcW w:w="3591" w:type="dxa"/>
            <w:tcBorders>
              <w:bottom w:val="single" w:sz="12" w:space="0" w:color="auto"/>
            </w:tcBorders>
            <w:shd w:val="clear" w:color="auto" w:fill="auto"/>
            <w:noWrap/>
            <w:vAlign w:val="bottom"/>
            <w:hideMark/>
          </w:tcPr>
          <w:p w14:paraId="3A229C9F" w14:textId="77777777" w:rsidR="00744544" w:rsidRPr="00A66C9F" w:rsidRDefault="00744544" w:rsidP="00107D5D">
            <w:pPr>
              <w:keepNext/>
              <w:keepLines/>
              <w:suppressAutoHyphens/>
              <w:spacing w:before="81" w:after="81" w:line="160" w:lineRule="exact"/>
              <w:ind w:right="40"/>
              <w:jc w:val="center"/>
              <w:rPr>
                <w:i/>
                <w:iCs/>
                <w:sz w:val="14"/>
                <w:szCs w:val="24"/>
                <w:lang w:val="fr-FR"/>
              </w:rPr>
            </w:pPr>
            <w:r w:rsidRPr="00A66C9F">
              <w:rPr>
                <w:i/>
                <w:iCs/>
                <w:sz w:val="14"/>
                <w:szCs w:val="24"/>
                <w:lang w:val="fr-FR"/>
              </w:rPr>
              <w:t> </w:t>
            </w:r>
          </w:p>
        </w:tc>
        <w:tc>
          <w:tcPr>
            <w:tcW w:w="1341" w:type="dxa"/>
            <w:gridSpan w:val="2"/>
            <w:tcBorders>
              <w:bottom w:val="single" w:sz="12" w:space="0" w:color="auto"/>
            </w:tcBorders>
            <w:shd w:val="clear" w:color="auto" w:fill="auto"/>
            <w:noWrap/>
            <w:vAlign w:val="bottom"/>
            <w:hideMark/>
          </w:tcPr>
          <w:p w14:paraId="5CDF4059" w14:textId="77777777" w:rsidR="00744544" w:rsidRPr="00A66C9F" w:rsidRDefault="00744544" w:rsidP="00107D5D">
            <w:pPr>
              <w:keepNext/>
              <w:keepLines/>
              <w:suppressAutoHyphens/>
              <w:spacing w:before="81" w:after="81" w:line="160" w:lineRule="exact"/>
              <w:ind w:right="40"/>
              <w:jc w:val="right"/>
              <w:rPr>
                <w:i/>
                <w:iCs/>
                <w:sz w:val="14"/>
                <w:szCs w:val="24"/>
                <w:lang w:val="fr-FR"/>
              </w:rPr>
            </w:pPr>
            <w:r w:rsidRPr="00A66C9F">
              <w:rPr>
                <w:i/>
                <w:iCs/>
                <w:sz w:val="14"/>
                <w:lang w:val="fr-FR"/>
              </w:rPr>
              <w:t>En service</w:t>
            </w:r>
          </w:p>
        </w:tc>
        <w:tc>
          <w:tcPr>
            <w:tcW w:w="1269" w:type="dxa"/>
            <w:tcBorders>
              <w:bottom w:val="single" w:sz="12" w:space="0" w:color="auto"/>
            </w:tcBorders>
            <w:shd w:val="clear" w:color="auto" w:fill="auto"/>
            <w:noWrap/>
            <w:vAlign w:val="bottom"/>
            <w:hideMark/>
          </w:tcPr>
          <w:p w14:paraId="7BB48632" w14:textId="77777777" w:rsidR="00744544" w:rsidRPr="00A66C9F" w:rsidRDefault="00744544" w:rsidP="00107D5D">
            <w:pPr>
              <w:keepNext/>
              <w:keepLines/>
              <w:suppressAutoHyphens/>
              <w:spacing w:before="81" w:after="81" w:line="160" w:lineRule="exact"/>
              <w:ind w:right="40"/>
              <w:jc w:val="right"/>
              <w:rPr>
                <w:i/>
                <w:iCs/>
                <w:sz w:val="14"/>
                <w:szCs w:val="24"/>
                <w:lang w:val="fr-FR"/>
              </w:rPr>
            </w:pPr>
            <w:r w:rsidRPr="00A66C9F">
              <w:rPr>
                <w:i/>
                <w:iCs/>
                <w:sz w:val="14"/>
                <w:lang w:val="fr-FR"/>
              </w:rPr>
              <w:t>En construction</w:t>
            </w:r>
          </w:p>
        </w:tc>
        <w:tc>
          <w:tcPr>
            <w:tcW w:w="1179" w:type="dxa"/>
            <w:gridSpan w:val="2"/>
            <w:tcBorders>
              <w:bottom w:val="single" w:sz="12" w:space="0" w:color="auto"/>
            </w:tcBorders>
            <w:shd w:val="clear" w:color="auto" w:fill="auto"/>
            <w:noWrap/>
            <w:vAlign w:val="bottom"/>
            <w:hideMark/>
          </w:tcPr>
          <w:p w14:paraId="578D33A2" w14:textId="77777777" w:rsidR="00744544" w:rsidRPr="00A66C9F" w:rsidRDefault="00744544" w:rsidP="00107D5D">
            <w:pPr>
              <w:keepNext/>
              <w:keepLines/>
              <w:suppressAutoHyphens/>
              <w:spacing w:before="81" w:after="81" w:line="160" w:lineRule="exact"/>
              <w:ind w:right="40"/>
              <w:jc w:val="right"/>
              <w:rPr>
                <w:i/>
                <w:iCs/>
                <w:sz w:val="14"/>
                <w:szCs w:val="24"/>
                <w:lang w:val="fr-FR"/>
              </w:rPr>
            </w:pPr>
            <w:r w:rsidRPr="00A66C9F">
              <w:rPr>
                <w:i/>
                <w:iCs/>
                <w:sz w:val="14"/>
                <w:lang w:val="fr-FR"/>
              </w:rPr>
              <w:t>Total</w:t>
            </w:r>
            <w:r w:rsidRPr="00A66C9F">
              <w:rPr>
                <w:i/>
                <w:sz w:val="14"/>
                <w:lang w:val="fr-FR"/>
              </w:rPr>
              <w:t xml:space="preserve"> </w:t>
            </w:r>
          </w:p>
        </w:tc>
      </w:tr>
      <w:tr w:rsidR="00744544" w:rsidRPr="00A66C9F" w14:paraId="045B8C7D" w14:textId="77777777" w:rsidTr="00107D5D">
        <w:trPr>
          <w:trHeight w:hRule="exact" w:val="115"/>
          <w:tblHeader/>
        </w:trPr>
        <w:tc>
          <w:tcPr>
            <w:tcW w:w="3591" w:type="dxa"/>
            <w:tcBorders>
              <w:top w:val="single" w:sz="12" w:space="0" w:color="auto"/>
            </w:tcBorders>
            <w:shd w:val="clear" w:color="auto" w:fill="auto"/>
            <w:noWrap/>
            <w:vAlign w:val="bottom"/>
          </w:tcPr>
          <w:p w14:paraId="063DE814" w14:textId="77777777" w:rsidR="00744544" w:rsidRPr="00A66C9F" w:rsidRDefault="00744544" w:rsidP="00107D5D">
            <w:pPr>
              <w:keepNext/>
              <w:keepLines/>
              <w:suppressAutoHyphens/>
              <w:spacing w:before="40" w:after="40" w:line="210" w:lineRule="exact"/>
              <w:ind w:right="40"/>
              <w:rPr>
                <w:b/>
                <w:bCs/>
                <w:sz w:val="17"/>
                <w:lang w:val="fr-FR"/>
              </w:rPr>
            </w:pPr>
          </w:p>
        </w:tc>
        <w:tc>
          <w:tcPr>
            <w:tcW w:w="1341" w:type="dxa"/>
            <w:gridSpan w:val="2"/>
            <w:tcBorders>
              <w:top w:val="single" w:sz="12" w:space="0" w:color="auto"/>
            </w:tcBorders>
            <w:shd w:val="clear" w:color="auto" w:fill="auto"/>
            <w:noWrap/>
            <w:vAlign w:val="bottom"/>
          </w:tcPr>
          <w:p w14:paraId="0FFCED1C" w14:textId="77777777" w:rsidR="00744544" w:rsidRPr="00A66C9F" w:rsidRDefault="00744544" w:rsidP="00107D5D">
            <w:pPr>
              <w:keepNext/>
              <w:keepLines/>
              <w:suppressAutoHyphens/>
              <w:spacing w:before="40" w:after="40" w:line="210" w:lineRule="exact"/>
              <w:ind w:right="40"/>
              <w:rPr>
                <w:sz w:val="17"/>
                <w:szCs w:val="17"/>
                <w:lang w:val="fr-FR"/>
              </w:rPr>
            </w:pPr>
          </w:p>
        </w:tc>
        <w:tc>
          <w:tcPr>
            <w:tcW w:w="1269" w:type="dxa"/>
            <w:tcBorders>
              <w:top w:val="single" w:sz="12" w:space="0" w:color="auto"/>
            </w:tcBorders>
            <w:shd w:val="clear" w:color="auto" w:fill="auto"/>
            <w:noWrap/>
            <w:vAlign w:val="bottom"/>
          </w:tcPr>
          <w:p w14:paraId="7520F43B" w14:textId="77777777" w:rsidR="00744544" w:rsidRPr="00A66C9F" w:rsidRDefault="00744544" w:rsidP="00107D5D">
            <w:pPr>
              <w:keepNext/>
              <w:keepLines/>
              <w:suppressAutoHyphens/>
              <w:spacing w:before="40" w:after="40" w:line="210" w:lineRule="exact"/>
              <w:ind w:right="40"/>
              <w:rPr>
                <w:sz w:val="17"/>
                <w:szCs w:val="17"/>
                <w:lang w:val="fr-FR"/>
              </w:rPr>
            </w:pPr>
          </w:p>
        </w:tc>
        <w:tc>
          <w:tcPr>
            <w:tcW w:w="1179" w:type="dxa"/>
            <w:gridSpan w:val="2"/>
            <w:tcBorders>
              <w:top w:val="single" w:sz="12" w:space="0" w:color="auto"/>
            </w:tcBorders>
            <w:shd w:val="clear" w:color="auto" w:fill="auto"/>
            <w:noWrap/>
            <w:vAlign w:val="bottom"/>
          </w:tcPr>
          <w:p w14:paraId="0C4669F5" w14:textId="77777777" w:rsidR="00744544" w:rsidRPr="00A66C9F" w:rsidRDefault="00744544" w:rsidP="00107D5D">
            <w:pPr>
              <w:keepNext/>
              <w:keepLines/>
              <w:suppressAutoHyphens/>
              <w:spacing w:before="40" w:after="40" w:line="210" w:lineRule="exact"/>
              <w:ind w:right="40"/>
              <w:rPr>
                <w:sz w:val="17"/>
                <w:szCs w:val="17"/>
                <w:lang w:val="fr-FR"/>
              </w:rPr>
            </w:pPr>
          </w:p>
        </w:tc>
      </w:tr>
      <w:tr w:rsidR="00744544" w:rsidRPr="00A66C9F" w14:paraId="141DA9B2" w14:textId="77777777" w:rsidTr="00107D5D">
        <w:tc>
          <w:tcPr>
            <w:tcW w:w="3591" w:type="dxa"/>
            <w:shd w:val="clear" w:color="auto" w:fill="auto"/>
            <w:noWrap/>
            <w:vAlign w:val="bottom"/>
            <w:hideMark/>
          </w:tcPr>
          <w:p w14:paraId="47293887"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rPr>
                <w:b/>
                <w:bCs/>
                <w:sz w:val="17"/>
                <w:szCs w:val="17"/>
                <w:lang w:val="fr-FR"/>
              </w:rPr>
            </w:pPr>
            <w:r w:rsidRPr="00A66C9F">
              <w:rPr>
                <w:b/>
                <w:bCs/>
                <w:sz w:val="17"/>
                <w:lang w:val="fr-FR"/>
              </w:rPr>
              <w:t>Coût</w:t>
            </w:r>
          </w:p>
        </w:tc>
        <w:tc>
          <w:tcPr>
            <w:tcW w:w="1341" w:type="dxa"/>
            <w:gridSpan w:val="2"/>
            <w:shd w:val="clear" w:color="auto" w:fill="auto"/>
            <w:noWrap/>
            <w:vAlign w:val="bottom"/>
            <w:hideMark/>
          </w:tcPr>
          <w:p w14:paraId="136A77D3"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szCs w:val="17"/>
                <w:lang w:val="fr-FR"/>
              </w:rPr>
              <w:t> </w:t>
            </w:r>
          </w:p>
        </w:tc>
        <w:tc>
          <w:tcPr>
            <w:tcW w:w="1269" w:type="dxa"/>
            <w:shd w:val="clear" w:color="auto" w:fill="auto"/>
            <w:noWrap/>
            <w:vAlign w:val="bottom"/>
            <w:hideMark/>
          </w:tcPr>
          <w:p w14:paraId="768398E4"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szCs w:val="17"/>
                <w:lang w:val="fr-FR"/>
              </w:rPr>
              <w:t> </w:t>
            </w:r>
          </w:p>
        </w:tc>
        <w:tc>
          <w:tcPr>
            <w:tcW w:w="1179" w:type="dxa"/>
            <w:gridSpan w:val="2"/>
            <w:shd w:val="clear" w:color="auto" w:fill="auto"/>
            <w:noWrap/>
            <w:vAlign w:val="bottom"/>
            <w:hideMark/>
          </w:tcPr>
          <w:p w14:paraId="318D485B"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szCs w:val="17"/>
                <w:lang w:val="fr-FR"/>
              </w:rPr>
              <w:t> </w:t>
            </w:r>
          </w:p>
        </w:tc>
      </w:tr>
      <w:tr w:rsidR="00744544" w:rsidRPr="00A66C9F" w14:paraId="55CB3FF2" w14:textId="77777777" w:rsidTr="00107D5D">
        <w:tc>
          <w:tcPr>
            <w:tcW w:w="3591" w:type="dxa"/>
            <w:shd w:val="clear" w:color="auto" w:fill="auto"/>
            <w:noWrap/>
            <w:vAlign w:val="bottom"/>
            <w:hideMark/>
          </w:tcPr>
          <w:p w14:paraId="5103D4F3"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1</w:t>
            </w:r>
            <w:r w:rsidRPr="00A66C9F">
              <w:rPr>
                <w:sz w:val="17"/>
                <w:vertAlign w:val="superscript"/>
                <w:lang w:val="fr-FR"/>
              </w:rPr>
              <w:t>er</w:t>
            </w:r>
            <w:r w:rsidRPr="00A66C9F">
              <w:rPr>
                <w:sz w:val="17"/>
                <w:lang w:val="fr-FR"/>
              </w:rPr>
              <w:t> janvier 2018</w:t>
            </w:r>
          </w:p>
        </w:tc>
        <w:tc>
          <w:tcPr>
            <w:tcW w:w="1341" w:type="dxa"/>
            <w:gridSpan w:val="2"/>
            <w:shd w:val="clear" w:color="auto" w:fill="auto"/>
            <w:noWrap/>
            <w:vAlign w:val="bottom"/>
          </w:tcPr>
          <w:p w14:paraId="1B0D4C77"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21 722 </w:t>
            </w:r>
          </w:p>
        </w:tc>
        <w:tc>
          <w:tcPr>
            <w:tcW w:w="1269" w:type="dxa"/>
            <w:shd w:val="clear" w:color="auto" w:fill="auto"/>
            <w:noWrap/>
            <w:vAlign w:val="bottom"/>
          </w:tcPr>
          <w:p w14:paraId="683B3111"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 </w:t>
            </w:r>
          </w:p>
        </w:tc>
        <w:tc>
          <w:tcPr>
            <w:tcW w:w="1179" w:type="dxa"/>
            <w:gridSpan w:val="2"/>
            <w:shd w:val="clear" w:color="auto" w:fill="auto"/>
            <w:noWrap/>
            <w:vAlign w:val="bottom"/>
          </w:tcPr>
          <w:p w14:paraId="41D65016"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bCs/>
                <w:sz w:val="17"/>
                <w:szCs w:val="17"/>
                <w:lang w:val="fr-FR"/>
              </w:rPr>
            </w:pPr>
            <w:r w:rsidRPr="00A66C9F">
              <w:rPr>
                <w:sz w:val="17"/>
                <w:lang w:val="fr-FR"/>
              </w:rPr>
              <w:t xml:space="preserve"> 21 722 </w:t>
            </w:r>
          </w:p>
        </w:tc>
      </w:tr>
      <w:tr w:rsidR="00744544" w:rsidRPr="00A66C9F" w14:paraId="5FB87F90" w14:textId="77777777" w:rsidTr="00107D5D">
        <w:tc>
          <w:tcPr>
            <w:tcW w:w="3591" w:type="dxa"/>
            <w:shd w:val="clear" w:color="auto" w:fill="auto"/>
            <w:noWrap/>
            <w:vAlign w:val="bottom"/>
            <w:hideMark/>
          </w:tcPr>
          <w:p w14:paraId="71610C97"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Entrées</w:t>
            </w:r>
          </w:p>
        </w:tc>
        <w:tc>
          <w:tcPr>
            <w:tcW w:w="1341" w:type="dxa"/>
            <w:gridSpan w:val="2"/>
            <w:shd w:val="clear" w:color="auto" w:fill="auto"/>
            <w:noWrap/>
            <w:vAlign w:val="bottom"/>
          </w:tcPr>
          <w:p w14:paraId="332CE95A"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 </w:t>
            </w:r>
          </w:p>
        </w:tc>
        <w:tc>
          <w:tcPr>
            <w:tcW w:w="1269" w:type="dxa"/>
            <w:shd w:val="clear" w:color="auto" w:fill="auto"/>
            <w:noWrap/>
            <w:vAlign w:val="bottom"/>
          </w:tcPr>
          <w:p w14:paraId="5D00FC22"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 </w:t>
            </w:r>
          </w:p>
        </w:tc>
        <w:tc>
          <w:tcPr>
            <w:tcW w:w="1179" w:type="dxa"/>
            <w:gridSpan w:val="2"/>
            <w:shd w:val="clear" w:color="auto" w:fill="auto"/>
            <w:noWrap/>
            <w:vAlign w:val="bottom"/>
          </w:tcPr>
          <w:p w14:paraId="09D58769"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bCs/>
                <w:sz w:val="17"/>
                <w:szCs w:val="17"/>
                <w:lang w:val="fr-FR"/>
              </w:rPr>
            </w:pPr>
            <w:r w:rsidRPr="00A66C9F">
              <w:rPr>
                <w:bCs/>
                <w:sz w:val="17"/>
                <w:szCs w:val="17"/>
                <w:lang w:val="fr-FR"/>
              </w:rPr>
              <w:t xml:space="preserve"> – </w:t>
            </w:r>
          </w:p>
        </w:tc>
      </w:tr>
      <w:tr w:rsidR="00744544" w:rsidRPr="00A66C9F" w14:paraId="56A17E07" w14:textId="77777777" w:rsidTr="00107D5D">
        <w:tc>
          <w:tcPr>
            <w:tcW w:w="3591" w:type="dxa"/>
            <w:shd w:val="clear" w:color="auto" w:fill="auto"/>
            <w:noWrap/>
            <w:vAlign w:val="bottom"/>
          </w:tcPr>
          <w:p w14:paraId="4402AEE6"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Transferts</w:t>
            </w:r>
          </w:p>
        </w:tc>
        <w:tc>
          <w:tcPr>
            <w:tcW w:w="1341" w:type="dxa"/>
            <w:gridSpan w:val="2"/>
            <w:shd w:val="clear" w:color="auto" w:fill="auto"/>
            <w:noWrap/>
            <w:vAlign w:val="bottom"/>
          </w:tcPr>
          <w:p w14:paraId="35FC8380"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 </w:t>
            </w:r>
          </w:p>
        </w:tc>
        <w:tc>
          <w:tcPr>
            <w:tcW w:w="1269" w:type="dxa"/>
            <w:shd w:val="clear" w:color="auto" w:fill="auto"/>
            <w:noWrap/>
            <w:vAlign w:val="bottom"/>
          </w:tcPr>
          <w:p w14:paraId="334D8617"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 </w:t>
            </w:r>
          </w:p>
        </w:tc>
        <w:tc>
          <w:tcPr>
            <w:tcW w:w="1179" w:type="dxa"/>
            <w:gridSpan w:val="2"/>
            <w:shd w:val="clear" w:color="auto" w:fill="auto"/>
            <w:noWrap/>
            <w:vAlign w:val="bottom"/>
          </w:tcPr>
          <w:p w14:paraId="401DE9DC"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bCs/>
                <w:sz w:val="17"/>
                <w:szCs w:val="17"/>
                <w:lang w:val="fr-FR"/>
              </w:rPr>
            </w:pPr>
            <w:r w:rsidRPr="00A66C9F">
              <w:rPr>
                <w:bCs/>
                <w:sz w:val="17"/>
                <w:szCs w:val="17"/>
                <w:lang w:val="fr-FR"/>
              </w:rPr>
              <w:t xml:space="preserve"> – </w:t>
            </w:r>
          </w:p>
        </w:tc>
      </w:tr>
      <w:tr w:rsidR="00744544" w:rsidRPr="00A66C9F" w14:paraId="4E577575" w14:textId="77777777" w:rsidTr="00107D5D">
        <w:tc>
          <w:tcPr>
            <w:tcW w:w="3591" w:type="dxa"/>
            <w:shd w:val="clear" w:color="auto" w:fill="auto"/>
            <w:noWrap/>
            <w:vAlign w:val="bottom"/>
            <w:hideMark/>
          </w:tcPr>
          <w:p w14:paraId="0C6CBBF8"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Sorties</w:t>
            </w:r>
          </w:p>
        </w:tc>
        <w:tc>
          <w:tcPr>
            <w:tcW w:w="1341" w:type="dxa"/>
            <w:gridSpan w:val="2"/>
            <w:shd w:val="clear" w:color="auto" w:fill="auto"/>
            <w:noWrap/>
            <w:vAlign w:val="bottom"/>
          </w:tcPr>
          <w:p w14:paraId="4273E260"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(742)</w:t>
            </w:r>
          </w:p>
        </w:tc>
        <w:tc>
          <w:tcPr>
            <w:tcW w:w="1269" w:type="dxa"/>
            <w:shd w:val="clear" w:color="auto" w:fill="auto"/>
            <w:noWrap/>
            <w:vAlign w:val="bottom"/>
          </w:tcPr>
          <w:p w14:paraId="72C04913"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 </w:t>
            </w:r>
          </w:p>
        </w:tc>
        <w:tc>
          <w:tcPr>
            <w:tcW w:w="1179" w:type="dxa"/>
            <w:gridSpan w:val="2"/>
            <w:shd w:val="clear" w:color="auto" w:fill="auto"/>
            <w:noWrap/>
            <w:vAlign w:val="bottom"/>
          </w:tcPr>
          <w:p w14:paraId="55C053B0"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bCs/>
                <w:sz w:val="17"/>
                <w:szCs w:val="17"/>
                <w:lang w:val="fr-FR"/>
              </w:rPr>
            </w:pPr>
            <w:r w:rsidRPr="00A66C9F">
              <w:rPr>
                <w:sz w:val="17"/>
                <w:lang w:val="fr-FR"/>
              </w:rPr>
              <w:t xml:space="preserve"> (742)</w:t>
            </w:r>
          </w:p>
        </w:tc>
      </w:tr>
      <w:tr w:rsidR="00744544" w:rsidRPr="00A66C9F" w14:paraId="6BD4D369" w14:textId="77777777" w:rsidTr="00107D5D">
        <w:tc>
          <w:tcPr>
            <w:tcW w:w="3591" w:type="dxa"/>
            <w:shd w:val="clear" w:color="auto" w:fill="auto"/>
            <w:noWrap/>
            <w:vAlign w:val="bottom"/>
            <w:hideMark/>
          </w:tcPr>
          <w:p w14:paraId="0C41E046"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31 décembre 2018</w:t>
            </w:r>
          </w:p>
        </w:tc>
        <w:tc>
          <w:tcPr>
            <w:tcW w:w="1341" w:type="dxa"/>
            <w:gridSpan w:val="2"/>
            <w:shd w:val="clear" w:color="auto" w:fill="auto"/>
            <w:noWrap/>
            <w:vAlign w:val="bottom"/>
          </w:tcPr>
          <w:p w14:paraId="56459DF1"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20 980 </w:t>
            </w:r>
          </w:p>
        </w:tc>
        <w:tc>
          <w:tcPr>
            <w:tcW w:w="1269" w:type="dxa"/>
            <w:shd w:val="clear" w:color="auto" w:fill="auto"/>
            <w:noWrap/>
            <w:vAlign w:val="bottom"/>
          </w:tcPr>
          <w:p w14:paraId="47C90F73"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b/>
                <w:sz w:val="17"/>
                <w:szCs w:val="17"/>
                <w:lang w:val="fr-FR"/>
              </w:rPr>
              <w:t xml:space="preserve"> – </w:t>
            </w:r>
          </w:p>
        </w:tc>
        <w:tc>
          <w:tcPr>
            <w:tcW w:w="1179" w:type="dxa"/>
            <w:gridSpan w:val="2"/>
            <w:shd w:val="clear" w:color="auto" w:fill="auto"/>
            <w:noWrap/>
            <w:vAlign w:val="bottom"/>
          </w:tcPr>
          <w:p w14:paraId="07629402"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bCs/>
                <w:sz w:val="17"/>
                <w:szCs w:val="17"/>
                <w:lang w:val="fr-FR"/>
              </w:rPr>
            </w:pPr>
            <w:r w:rsidRPr="00A66C9F">
              <w:rPr>
                <w:sz w:val="17"/>
                <w:lang w:val="fr-FR"/>
              </w:rPr>
              <w:t xml:space="preserve"> 20 980</w:t>
            </w:r>
          </w:p>
        </w:tc>
      </w:tr>
      <w:tr w:rsidR="00744544" w:rsidRPr="00A66C9F" w14:paraId="6D27276E" w14:textId="77777777" w:rsidTr="00107D5D">
        <w:tc>
          <w:tcPr>
            <w:tcW w:w="3591" w:type="dxa"/>
            <w:shd w:val="clear" w:color="auto" w:fill="auto"/>
            <w:noWrap/>
            <w:vAlign w:val="bottom"/>
            <w:hideMark/>
          </w:tcPr>
          <w:p w14:paraId="5EBF564F"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rPr>
                <w:b/>
                <w:bCs/>
                <w:sz w:val="17"/>
                <w:szCs w:val="17"/>
                <w:lang w:val="fr-FR"/>
              </w:rPr>
            </w:pPr>
            <w:r w:rsidRPr="00A66C9F">
              <w:rPr>
                <w:b/>
                <w:bCs/>
                <w:sz w:val="17"/>
                <w:lang w:val="fr-FR"/>
              </w:rPr>
              <w:t>Cumul des amortissements</w:t>
            </w:r>
          </w:p>
        </w:tc>
        <w:tc>
          <w:tcPr>
            <w:tcW w:w="1341" w:type="dxa"/>
            <w:gridSpan w:val="2"/>
            <w:shd w:val="clear" w:color="auto" w:fill="auto"/>
            <w:noWrap/>
            <w:vAlign w:val="bottom"/>
          </w:tcPr>
          <w:p w14:paraId="6D5EF594"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p>
        </w:tc>
        <w:tc>
          <w:tcPr>
            <w:tcW w:w="1269" w:type="dxa"/>
            <w:shd w:val="clear" w:color="auto" w:fill="auto"/>
            <w:noWrap/>
            <w:vAlign w:val="bottom"/>
          </w:tcPr>
          <w:p w14:paraId="6F0029A5"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p>
        </w:tc>
        <w:tc>
          <w:tcPr>
            <w:tcW w:w="1179" w:type="dxa"/>
            <w:gridSpan w:val="2"/>
            <w:shd w:val="clear" w:color="auto" w:fill="auto"/>
            <w:noWrap/>
            <w:vAlign w:val="bottom"/>
          </w:tcPr>
          <w:p w14:paraId="744A9AF2"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bCs/>
                <w:sz w:val="17"/>
                <w:szCs w:val="17"/>
                <w:lang w:val="fr-FR"/>
              </w:rPr>
            </w:pPr>
          </w:p>
        </w:tc>
      </w:tr>
      <w:tr w:rsidR="00744544" w:rsidRPr="00A66C9F" w14:paraId="386D04B0" w14:textId="77777777" w:rsidTr="00107D5D">
        <w:tc>
          <w:tcPr>
            <w:tcW w:w="3591" w:type="dxa"/>
            <w:shd w:val="clear" w:color="auto" w:fill="auto"/>
            <w:noWrap/>
            <w:vAlign w:val="bottom"/>
            <w:hideMark/>
          </w:tcPr>
          <w:p w14:paraId="122087FF"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1</w:t>
            </w:r>
            <w:r w:rsidRPr="00A66C9F">
              <w:rPr>
                <w:sz w:val="17"/>
                <w:vertAlign w:val="superscript"/>
                <w:lang w:val="fr-FR"/>
              </w:rPr>
              <w:t>er</w:t>
            </w:r>
            <w:r w:rsidRPr="00A66C9F">
              <w:rPr>
                <w:sz w:val="17"/>
                <w:lang w:val="fr-FR"/>
              </w:rPr>
              <w:t> janvier 2018</w:t>
            </w:r>
          </w:p>
        </w:tc>
        <w:tc>
          <w:tcPr>
            <w:tcW w:w="1341" w:type="dxa"/>
            <w:gridSpan w:val="2"/>
            <w:shd w:val="clear" w:color="auto" w:fill="auto"/>
            <w:noWrap/>
            <w:vAlign w:val="bottom"/>
          </w:tcPr>
          <w:p w14:paraId="050DFDCF"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18 073 </w:t>
            </w:r>
          </w:p>
        </w:tc>
        <w:tc>
          <w:tcPr>
            <w:tcW w:w="1269" w:type="dxa"/>
            <w:shd w:val="clear" w:color="auto" w:fill="auto"/>
            <w:noWrap/>
            <w:vAlign w:val="bottom"/>
          </w:tcPr>
          <w:p w14:paraId="04CE9C36"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 </w:t>
            </w:r>
          </w:p>
        </w:tc>
        <w:tc>
          <w:tcPr>
            <w:tcW w:w="1179" w:type="dxa"/>
            <w:gridSpan w:val="2"/>
            <w:shd w:val="clear" w:color="auto" w:fill="auto"/>
            <w:noWrap/>
            <w:vAlign w:val="bottom"/>
          </w:tcPr>
          <w:p w14:paraId="054B64F7"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bCs/>
                <w:sz w:val="17"/>
                <w:szCs w:val="17"/>
                <w:lang w:val="fr-FR"/>
              </w:rPr>
            </w:pPr>
            <w:r w:rsidRPr="00A66C9F">
              <w:rPr>
                <w:sz w:val="17"/>
                <w:lang w:val="fr-FR"/>
              </w:rPr>
              <w:t xml:space="preserve"> 18 073 </w:t>
            </w:r>
          </w:p>
        </w:tc>
      </w:tr>
      <w:tr w:rsidR="00744544" w:rsidRPr="00A66C9F" w14:paraId="26CF8436" w14:textId="77777777" w:rsidTr="00107D5D">
        <w:tc>
          <w:tcPr>
            <w:tcW w:w="3591" w:type="dxa"/>
            <w:shd w:val="clear" w:color="auto" w:fill="auto"/>
            <w:noWrap/>
            <w:vAlign w:val="bottom"/>
            <w:hideMark/>
          </w:tcPr>
          <w:p w14:paraId="4959AD2D"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Amortissement</w:t>
            </w:r>
          </w:p>
        </w:tc>
        <w:tc>
          <w:tcPr>
            <w:tcW w:w="1341" w:type="dxa"/>
            <w:gridSpan w:val="2"/>
            <w:shd w:val="clear" w:color="auto" w:fill="auto"/>
            <w:noWrap/>
            <w:vAlign w:val="bottom"/>
          </w:tcPr>
          <w:p w14:paraId="10557E01"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3 624 </w:t>
            </w:r>
          </w:p>
        </w:tc>
        <w:tc>
          <w:tcPr>
            <w:tcW w:w="1269" w:type="dxa"/>
            <w:shd w:val="clear" w:color="auto" w:fill="auto"/>
            <w:noWrap/>
            <w:vAlign w:val="bottom"/>
          </w:tcPr>
          <w:p w14:paraId="3ACF99FF"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 </w:t>
            </w:r>
          </w:p>
        </w:tc>
        <w:tc>
          <w:tcPr>
            <w:tcW w:w="1179" w:type="dxa"/>
            <w:gridSpan w:val="2"/>
            <w:shd w:val="clear" w:color="auto" w:fill="auto"/>
            <w:noWrap/>
            <w:vAlign w:val="bottom"/>
          </w:tcPr>
          <w:p w14:paraId="495396DD"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bCs/>
                <w:sz w:val="17"/>
                <w:szCs w:val="17"/>
                <w:lang w:val="fr-FR"/>
              </w:rPr>
            </w:pPr>
            <w:r w:rsidRPr="00A66C9F">
              <w:rPr>
                <w:sz w:val="17"/>
                <w:lang w:val="fr-FR"/>
              </w:rPr>
              <w:t xml:space="preserve"> 3 624 </w:t>
            </w:r>
          </w:p>
        </w:tc>
      </w:tr>
      <w:tr w:rsidR="00744544" w:rsidRPr="00A66C9F" w14:paraId="3E776B7D" w14:textId="77777777" w:rsidTr="00107D5D">
        <w:tc>
          <w:tcPr>
            <w:tcW w:w="3591" w:type="dxa"/>
            <w:shd w:val="clear" w:color="auto" w:fill="auto"/>
            <w:noWrap/>
            <w:vAlign w:val="bottom"/>
            <w:hideMark/>
          </w:tcPr>
          <w:p w14:paraId="020FE2FD"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Sorties</w:t>
            </w:r>
          </w:p>
        </w:tc>
        <w:tc>
          <w:tcPr>
            <w:tcW w:w="1341" w:type="dxa"/>
            <w:gridSpan w:val="2"/>
            <w:shd w:val="clear" w:color="auto" w:fill="auto"/>
            <w:noWrap/>
            <w:vAlign w:val="bottom"/>
          </w:tcPr>
          <w:p w14:paraId="3683AF72"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(742)</w:t>
            </w:r>
          </w:p>
        </w:tc>
        <w:tc>
          <w:tcPr>
            <w:tcW w:w="1269" w:type="dxa"/>
            <w:shd w:val="clear" w:color="auto" w:fill="auto"/>
            <w:noWrap/>
            <w:vAlign w:val="bottom"/>
          </w:tcPr>
          <w:p w14:paraId="74EE7058"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szCs w:val="17"/>
                <w:lang w:val="fr-FR"/>
              </w:rPr>
              <w:t xml:space="preserve"> – </w:t>
            </w:r>
          </w:p>
        </w:tc>
        <w:tc>
          <w:tcPr>
            <w:tcW w:w="1179" w:type="dxa"/>
            <w:gridSpan w:val="2"/>
            <w:shd w:val="clear" w:color="auto" w:fill="auto"/>
            <w:noWrap/>
            <w:vAlign w:val="bottom"/>
          </w:tcPr>
          <w:p w14:paraId="7A58DF32"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bCs/>
                <w:sz w:val="17"/>
                <w:szCs w:val="17"/>
                <w:lang w:val="fr-FR"/>
              </w:rPr>
            </w:pPr>
            <w:r w:rsidRPr="00A66C9F">
              <w:rPr>
                <w:sz w:val="17"/>
                <w:lang w:val="fr-FR"/>
              </w:rPr>
              <w:t xml:space="preserve"> (742)</w:t>
            </w:r>
          </w:p>
        </w:tc>
      </w:tr>
      <w:tr w:rsidR="00744544" w:rsidRPr="00A66C9F" w14:paraId="32E047B8" w14:textId="77777777" w:rsidTr="00107D5D">
        <w:tc>
          <w:tcPr>
            <w:tcW w:w="3591" w:type="dxa"/>
            <w:tcBorders>
              <w:bottom w:val="single" w:sz="4" w:space="0" w:color="auto"/>
            </w:tcBorders>
            <w:shd w:val="clear" w:color="auto" w:fill="auto"/>
            <w:noWrap/>
            <w:vAlign w:val="bottom"/>
            <w:hideMark/>
          </w:tcPr>
          <w:p w14:paraId="06636AAA" w14:textId="77777777" w:rsidR="00744544" w:rsidRPr="00A66C9F" w:rsidRDefault="00744544" w:rsidP="00107D5D">
            <w:pPr>
              <w:keepNext/>
              <w:keepLines/>
              <w:tabs>
                <w:tab w:val="left" w:pos="288"/>
                <w:tab w:val="left" w:pos="576"/>
                <w:tab w:val="left" w:pos="864"/>
                <w:tab w:val="left" w:pos="1152"/>
              </w:tabs>
              <w:suppressAutoHyphens/>
              <w:spacing w:before="40" w:after="81" w:line="210" w:lineRule="exact"/>
              <w:ind w:right="40"/>
              <w:rPr>
                <w:sz w:val="17"/>
                <w:szCs w:val="17"/>
                <w:lang w:val="fr-FR"/>
              </w:rPr>
            </w:pPr>
            <w:r w:rsidRPr="00A66C9F">
              <w:rPr>
                <w:sz w:val="17"/>
                <w:lang w:val="fr-FR"/>
              </w:rPr>
              <w:t>31 décembre 2018</w:t>
            </w:r>
          </w:p>
        </w:tc>
        <w:tc>
          <w:tcPr>
            <w:tcW w:w="1341" w:type="dxa"/>
            <w:gridSpan w:val="2"/>
            <w:tcBorders>
              <w:bottom w:val="single" w:sz="4" w:space="0" w:color="auto"/>
            </w:tcBorders>
            <w:shd w:val="clear" w:color="auto" w:fill="auto"/>
            <w:noWrap/>
            <w:vAlign w:val="bottom"/>
          </w:tcPr>
          <w:p w14:paraId="2EFF9D7A" w14:textId="77777777" w:rsidR="00744544" w:rsidRPr="00A66C9F" w:rsidRDefault="00744544" w:rsidP="00107D5D">
            <w:pPr>
              <w:keepNext/>
              <w:keepLines/>
              <w:tabs>
                <w:tab w:val="left" w:pos="288"/>
                <w:tab w:val="left" w:pos="576"/>
                <w:tab w:val="left" w:pos="864"/>
                <w:tab w:val="left" w:pos="1152"/>
              </w:tabs>
              <w:suppressAutoHyphens/>
              <w:spacing w:before="40" w:after="81" w:line="210" w:lineRule="exact"/>
              <w:ind w:right="40"/>
              <w:jc w:val="right"/>
              <w:rPr>
                <w:sz w:val="17"/>
                <w:szCs w:val="17"/>
                <w:lang w:val="fr-FR"/>
              </w:rPr>
            </w:pPr>
            <w:r w:rsidRPr="00A66C9F">
              <w:rPr>
                <w:sz w:val="17"/>
                <w:lang w:val="fr-FR"/>
              </w:rPr>
              <w:t xml:space="preserve"> 20 955 </w:t>
            </w:r>
          </w:p>
        </w:tc>
        <w:tc>
          <w:tcPr>
            <w:tcW w:w="1269" w:type="dxa"/>
            <w:tcBorders>
              <w:bottom w:val="single" w:sz="4" w:space="0" w:color="auto"/>
            </w:tcBorders>
            <w:shd w:val="clear" w:color="auto" w:fill="auto"/>
            <w:noWrap/>
            <w:vAlign w:val="bottom"/>
          </w:tcPr>
          <w:p w14:paraId="1F49211F" w14:textId="77777777" w:rsidR="00744544" w:rsidRPr="00A66C9F" w:rsidRDefault="00744544" w:rsidP="00107D5D">
            <w:pPr>
              <w:keepNext/>
              <w:keepLines/>
              <w:tabs>
                <w:tab w:val="left" w:pos="288"/>
                <w:tab w:val="left" w:pos="576"/>
                <w:tab w:val="left" w:pos="864"/>
                <w:tab w:val="left" w:pos="1152"/>
              </w:tabs>
              <w:suppressAutoHyphens/>
              <w:spacing w:before="40" w:after="81" w:line="210" w:lineRule="exact"/>
              <w:ind w:right="40"/>
              <w:jc w:val="right"/>
              <w:rPr>
                <w:sz w:val="17"/>
                <w:szCs w:val="17"/>
                <w:lang w:val="fr-FR"/>
              </w:rPr>
            </w:pPr>
            <w:r w:rsidRPr="00A66C9F">
              <w:rPr>
                <w:sz w:val="17"/>
                <w:szCs w:val="17"/>
                <w:lang w:val="fr-FR"/>
              </w:rPr>
              <w:t xml:space="preserve"> – </w:t>
            </w:r>
          </w:p>
        </w:tc>
        <w:tc>
          <w:tcPr>
            <w:tcW w:w="1179" w:type="dxa"/>
            <w:gridSpan w:val="2"/>
            <w:tcBorders>
              <w:bottom w:val="single" w:sz="4" w:space="0" w:color="auto"/>
            </w:tcBorders>
            <w:shd w:val="clear" w:color="auto" w:fill="auto"/>
            <w:noWrap/>
            <w:vAlign w:val="bottom"/>
          </w:tcPr>
          <w:p w14:paraId="538866E5" w14:textId="77777777" w:rsidR="00744544" w:rsidRPr="00A66C9F" w:rsidRDefault="00744544" w:rsidP="00107D5D">
            <w:pPr>
              <w:keepNext/>
              <w:keepLines/>
              <w:tabs>
                <w:tab w:val="left" w:pos="288"/>
                <w:tab w:val="left" w:pos="576"/>
                <w:tab w:val="left" w:pos="864"/>
                <w:tab w:val="left" w:pos="1152"/>
              </w:tabs>
              <w:suppressAutoHyphens/>
              <w:spacing w:before="40" w:after="81" w:line="210" w:lineRule="exact"/>
              <w:ind w:right="40"/>
              <w:jc w:val="right"/>
              <w:rPr>
                <w:bCs/>
                <w:sz w:val="17"/>
                <w:szCs w:val="17"/>
                <w:lang w:val="fr-FR"/>
              </w:rPr>
            </w:pPr>
            <w:r w:rsidRPr="00A66C9F">
              <w:rPr>
                <w:sz w:val="17"/>
                <w:lang w:val="fr-FR"/>
              </w:rPr>
              <w:t xml:space="preserve"> 20 955 </w:t>
            </w:r>
          </w:p>
        </w:tc>
      </w:tr>
      <w:tr w:rsidR="00744544" w:rsidRPr="00A66C9F" w14:paraId="5A8DDB12" w14:textId="77777777" w:rsidTr="00107D5D">
        <w:tc>
          <w:tcPr>
            <w:tcW w:w="3591" w:type="dxa"/>
            <w:tcBorders>
              <w:top w:val="single" w:sz="4" w:space="0" w:color="auto"/>
              <w:bottom w:val="single" w:sz="12" w:space="0" w:color="auto"/>
            </w:tcBorders>
            <w:shd w:val="clear" w:color="auto" w:fill="auto"/>
            <w:noWrap/>
            <w:vAlign w:val="bottom"/>
            <w:hideMark/>
          </w:tcPr>
          <w:p w14:paraId="612C203B" w14:textId="77777777" w:rsidR="00744544" w:rsidRPr="00A66C9F" w:rsidRDefault="00744544" w:rsidP="00107D5D">
            <w:pPr>
              <w:keepNext/>
              <w:keepLines/>
              <w:tabs>
                <w:tab w:val="left" w:pos="288"/>
                <w:tab w:val="left" w:pos="576"/>
                <w:tab w:val="left" w:pos="864"/>
                <w:tab w:val="left" w:pos="1152"/>
              </w:tabs>
              <w:suppressAutoHyphens/>
              <w:spacing w:before="81" w:after="81" w:line="210" w:lineRule="exact"/>
              <w:ind w:left="288" w:right="43" w:hanging="288"/>
              <w:rPr>
                <w:b/>
                <w:bCs/>
                <w:sz w:val="17"/>
                <w:szCs w:val="17"/>
                <w:lang w:val="fr-FR"/>
              </w:rPr>
            </w:pPr>
            <w:r w:rsidRPr="00A66C9F">
              <w:rPr>
                <w:b/>
                <w:bCs/>
                <w:sz w:val="17"/>
                <w:lang w:val="fr-FR"/>
              </w:rPr>
              <w:tab/>
              <w:t>Valeur nette comptable,</w:t>
            </w:r>
            <w:r w:rsidRPr="00A66C9F">
              <w:rPr>
                <w:b/>
                <w:sz w:val="17"/>
                <w:lang w:val="fr-FR"/>
              </w:rPr>
              <w:t xml:space="preserve"> </w:t>
            </w:r>
            <w:r w:rsidRPr="00A66C9F">
              <w:rPr>
                <w:b/>
                <w:bCs/>
                <w:sz w:val="17"/>
                <w:lang w:val="fr-FR"/>
              </w:rPr>
              <w:t>31 décembre 2018</w:t>
            </w:r>
          </w:p>
        </w:tc>
        <w:tc>
          <w:tcPr>
            <w:tcW w:w="1341" w:type="dxa"/>
            <w:gridSpan w:val="2"/>
            <w:tcBorders>
              <w:top w:val="single" w:sz="4" w:space="0" w:color="auto"/>
              <w:bottom w:val="single" w:sz="12" w:space="0" w:color="auto"/>
            </w:tcBorders>
            <w:shd w:val="clear" w:color="auto" w:fill="auto"/>
            <w:noWrap/>
            <w:vAlign w:val="bottom"/>
          </w:tcPr>
          <w:p w14:paraId="74DD4EB9" w14:textId="77777777" w:rsidR="00744544" w:rsidRPr="00A66C9F" w:rsidRDefault="00744544" w:rsidP="00107D5D">
            <w:pPr>
              <w:keepNext/>
              <w:keepLines/>
              <w:tabs>
                <w:tab w:val="left" w:pos="288"/>
                <w:tab w:val="left" w:pos="576"/>
                <w:tab w:val="left" w:pos="864"/>
                <w:tab w:val="left" w:pos="1152"/>
              </w:tabs>
              <w:suppressAutoHyphens/>
              <w:spacing w:before="81" w:after="81" w:line="210" w:lineRule="exact"/>
              <w:ind w:right="40"/>
              <w:jc w:val="right"/>
              <w:rPr>
                <w:b/>
                <w:sz w:val="17"/>
                <w:szCs w:val="17"/>
                <w:lang w:val="fr-FR"/>
              </w:rPr>
            </w:pPr>
            <w:r w:rsidRPr="00A66C9F">
              <w:rPr>
                <w:b/>
                <w:sz w:val="17"/>
                <w:lang w:val="fr-FR"/>
              </w:rPr>
              <w:t xml:space="preserve"> </w:t>
            </w:r>
            <w:r w:rsidRPr="00A66C9F">
              <w:rPr>
                <w:b/>
                <w:bCs/>
                <w:sz w:val="17"/>
                <w:lang w:val="fr-FR"/>
              </w:rPr>
              <w:t>25</w:t>
            </w:r>
            <w:r w:rsidRPr="00A66C9F">
              <w:rPr>
                <w:b/>
                <w:sz w:val="17"/>
                <w:lang w:val="fr-FR"/>
              </w:rPr>
              <w:t xml:space="preserve"> </w:t>
            </w:r>
          </w:p>
        </w:tc>
        <w:tc>
          <w:tcPr>
            <w:tcW w:w="1269" w:type="dxa"/>
            <w:tcBorders>
              <w:top w:val="single" w:sz="4" w:space="0" w:color="auto"/>
              <w:bottom w:val="single" w:sz="12" w:space="0" w:color="auto"/>
            </w:tcBorders>
            <w:shd w:val="clear" w:color="auto" w:fill="auto"/>
            <w:noWrap/>
            <w:vAlign w:val="bottom"/>
          </w:tcPr>
          <w:p w14:paraId="6922007F" w14:textId="77777777" w:rsidR="00744544" w:rsidRPr="00A66C9F" w:rsidRDefault="00744544" w:rsidP="00107D5D">
            <w:pPr>
              <w:keepNext/>
              <w:keepLines/>
              <w:tabs>
                <w:tab w:val="left" w:pos="288"/>
                <w:tab w:val="left" w:pos="576"/>
                <w:tab w:val="left" w:pos="864"/>
                <w:tab w:val="left" w:pos="1152"/>
              </w:tabs>
              <w:suppressAutoHyphens/>
              <w:spacing w:before="81" w:after="81" w:line="210" w:lineRule="exact"/>
              <w:ind w:right="40"/>
              <w:jc w:val="right"/>
              <w:rPr>
                <w:b/>
                <w:sz w:val="17"/>
                <w:szCs w:val="17"/>
                <w:lang w:val="fr-FR"/>
              </w:rPr>
            </w:pPr>
            <w:r w:rsidRPr="00A66C9F">
              <w:rPr>
                <w:b/>
                <w:sz w:val="17"/>
                <w:szCs w:val="17"/>
                <w:lang w:val="fr-FR"/>
              </w:rPr>
              <w:t xml:space="preserve"> – </w:t>
            </w:r>
          </w:p>
        </w:tc>
        <w:tc>
          <w:tcPr>
            <w:tcW w:w="1179" w:type="dxa"/>
            <w:gridSpan w:val="2"/>
            <w:tcBorders>
              <w:top w:val="single" w:sz="4" w:space="0" w:color="auto"/>
              <w:bottom w:val="single" w:sz="12" w:space="0" w:color="auto"/>
            </w:tcBorders>
            <w:shd w:val="clear" w:color="auto" w:fill="auto"/>
            <w:noWrap/>
            <w:vAlign w:val="bottom"/>
          </w:tcPr>
          <w:p w14:paraId="5879FA8D" w14:textId="77777777" w:rsidR="00744544" w:rsidRPr="00A66C9F" w:rsidRDefault="00744544" w:rsidP="00107D5D">
            <w:pPr>
              <w:keepNext/>
              <w:keepLines/>
              <w:tabs>
                <w:tab w:val="left" w:pos="288"/>
                <w:tab w:val="left" w:pos="576"/>
                <w:tab w:val="left" w:pos="864"/>
                <w:tab w:val="left" w:pos="1152"/>
              </w:tabs>
              <w:suppressAutoHyphens/>
              <w:spacing w:before="81" w:after="81" w:line="210" w:lineRule="exact"/>
              <w:ind w:right="40"/>
              <w:jc w:val="right"/>
              <w:rPr>
                <w:b/>
                <w:sz w:val="17"/>
                <w:szCs w:val="17"/>
                <w:lang w:val="fr-FR"/>
              </w:rPr>
            </w:pPr>
            <w:r w:rsidRPr="00A66C9F">
              <w:rPr>
                <w:b/>
                <w:sz w:val="17"/>
                <w:lang w:val="fr-FR"/>
              </w:rPr>
              <w:t xml:space="preserve"> </w:t>
            </w:r>
            <w:r w:rsidRPr="00A66C9F">
              <w:rPr>
                <w:b/>
                <w:bCs/>
                <w:sz w:val="17"/>
                <w:lang w:val="fr-FR"/>
              </w:rPr>
              <w:t>25</w:t>
            </w:r>
            <w:r w:rsidRPr="00A66C9F">
              <w:rPr>
                <w:b/>
                <w:sz w:val="17"/>
                <w:lang w:val="fr-FR"/>
              </w:rPr>
              <w:t xml:space="preserve"> </w:t>
            </w:r>
          </w:p>
        </w:tc>
      </w:tr>
    </w:tbl>
    <w:p w14:paraId="0F1A384E" w14:textId="77777777" w:rsidR="00744544" w:rsidRPr="00A66C9F" w:rsidRDefault="00744544" w:rsidP="00744544">
      <w:pPr>
        <w:pStyle w:val="SingleTxt"/>
        <w:spacing w:after="0" w:line="120" w:lineRule="exact"/>
        <w:rPr>
          <w:sz w:val="10"/>
          <w:lang w:val="fr-FR"/>
        </w:rPr>
      </w:pPr>
    </w:p>
    <w:p w14:paraId="7BEEB7FD" w14:textId="77777777" w:rsidR="00744544" w:rsidRPr="00A66C9F" w:rsidRDefault="00744544" w:rsidP="00744544">
      <w:pPr>
        <w:pStyle w:val="SingleTxt"/>
        <w:spacing w:after="0" w:line="120" w:lineRule="exact"/>
        <w:rPr>
          <w:sz w:val="10"/>
          <w:lang w:val="fr-FR"/>
        </w:rPr>
      </w:pPr>
    </w:p>
    <w:p w14:paraId="101552D5" w14:textId="77777777" w:rsidR="00744544" w:rsidRPr="00A66C9F" w:rsidRDefault="00744544" w:rsidP="00744544">
      <w:pPr>
        <w:pStyle w:val="SingleTxt"/>
        <w:spacing w:after="0" w:line="120" w:lineRule="exact"/>
        <w:rPr>
          <w:sz w:val="10"/>
          <w:lang w:val="fr-FR"/>
        </w:rPr>
      </w:pPr>
    </w:p>
    <w:p w14:paraId="1D177AD7"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Note 10</w:t>
      </w:r>
      <w:r w:rsidRPr="00A66C9F">
        <w:rPr>
          <w:lang w:val="fr-FR"/>
        </w:rPr>
        <w:br/>
      </w:r>
      <w:bookmarkStart w:id="233" w:name="_MON_1490107581"/>
      <w:bookmarkStart w:id="234" w:name="_Toc511808311"/>
      <w:bookmarkStart w:id="235" w:name="_Toc511808479"/>
      <w:bookmarkStart w:id="236" w:name="_Toc511808647"/>
      <w:bookmarkStart w:id="237" w:name="_Toc511813467"/>
      <w:bookmarkStart w:id="238" w:name="_Toc511813637"/>
      <w:bookmarkStart w:id="239" w:name="_Toc511831748"/>
      <w:bookmarkStart w:id="240" w:name="_Toc511903223"/>
      <w:bookmarkStart w:id="241" w:name="_Toc511920523"/>
      <w:bookmarkStart w:id="242" w:name="_Toc339633689"/>
      <w:bookmarkStart w:id="243" w:name="_Toc339634024"/>
      <w:bookmarkStart w:id="244" w:name="_Toc339633690"/>
      <w:bookmarkStart w:id="245" w:name="_Toc339634025"/>
      <w:bookmarkStart w:id="246" w:name="_Toc339633692"/>
      <w:bookmarkStart w:id="247" w:name="_Toc339634027"/>
      <w:bookmarkStart w:id="248" w:name="_Toc339633694"/>
      <w:bookmarkStart w:id="249" w:name="_Toc339634029"/>
      <w:bookmarkStart w:id="250" w:name="_Toc339633710"/>
      <w:bookmarkStart w:id="251" w:name="_Toc339634045"/>
      <w:bookmarkStart w:id="252" w:name="_Toc339633711"/>
      <w:bookmarkStart w:id="253" w:name="_Toc339634046"/>
      <w:bookmarkStart w:id="254" w:name="_Toc339633712"/>
      <w:bookmarkStart w:id="255" w:name="_Toc339634047"/>
      <w:bookmarkStart w:id="256" w:name="_Toc339633714"/>
      <w:bookmarkStart w:id="257" w:name="_Toc339634049"/>
      <w:bookmarkStart w:id="258" w:name="_Toc339633715"/>
      <w:bookmarkStart w:id="259" w:name="_Toc339634050"/>
      <w:bookmarkStart w:id="260" w:name="_Toc339633737"/>
      <w:bookmarkStart w:id="261" w:name="_Toc339634072"/>
      <w:bookmarkStart w:id="262" w:name="_Toc339633739"/>
      <w:bookmarkStart w:id="263" w:name="_Toc339634074"/>
      <w:bookmarkStart w:id="264" w:name="_Toc339633740"/>
      <w:bookmarkStart w:id="265" w:name="_Toc339634075"/>
      <w:bookmarkStart w:id="266" w:name="_Toc339633741"/>
      <w:bookmarkStart w:id="267" w:name="_Toc339634076"/>
      <w:bookmarkStart w:id="268" w:name="_Toc339633742"/>
      <w:bookmarkStart w:id="269" w:name="_Toc339634077"/>
      <w:bookmarkStart w:id="270" w:name="_Toc339633743"/>
      <w:bookmarkStart w:id="271" w:name="_Toc339634078"/>
      <w:bookmarkStart w:id="272" w:name="_Toc339633744"/>
      <w:bookmarkStart w:id="273" w:name="_Toc339634079"/>
      <w:bookmarkStart w:id="274" w:name="_Toc339633745"/>
      <w:bookmarkStart w:id="275" w:name="_Toc339634080"/>
      <w:bookmarkStart w:id="276" w:name="_Toc511808312"/>
      <w:bookmarkStart w:id="277" w:name="_Toc511808480"/>
      <w:bookmarkStart w:id="278" w:name="_Toc511808648"/>
      <w:bookmarkStart w:id="279" w:name="_Toc511813468"/>
      <w:bookmarkStart w:id="280" w:name="_Toc511813638"/>
      <w:bookmarkStart w:id="281" w:name="_Toc511831749"/>
      <w:bookmarkStart w:id="282" w:name="_Toc511903224"/>
      <w:bookmarkStart w:id="283" w:name="_Toc511920524"/>
      <w:bookmarkStart w:id="284" w:name="_Toc339633746"/>
      <w:bookmarkStart w:id="285" w:name="_Toc339634081"/>
      <w:bookmarkStart w:id="286" w:name="_Toc514396683"/>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A66C9F">
        <w:rPr>
          <w:lang w:val="fr-FR"/>
        </w:rPr>
        <w:t>Prestations à payer</w:t>
      </w:r>
      <w:bookmarkEnd w:id="284"/>
      <w:bookmarkEnd w:id="285"/>
      <w:bookmarkEnd w:id="286"/>
    </w:p>
    <w:p w14:paraId="28D04C32" w14:textId="77777777" w:rsidR="00744544" w:rsidRPr="00A66C9F" w:rsidRDefault="00744544" w:rsidP="00744544">
      <w:pPr>
        <w:pStyle w:val="SingleTxt"/>
        <w:spacing w:after="0" w:line="120" w:lineRule="exact"/>
        <w:rPr>
          <w:sz w:val="10"/>
          <w:lang w:val="fr-FR"/>
        </w:rPr>
      </w:pPr>
    </w:p>
    <w:p w14:paraId="5A07D595" w14:textId="77777777" w:rsidR="00744544" w:rsidRPr="00A66C9F" w:rsidRDefault="00744544" w:rsidP="00753AB8">
      <w:pPr>
        <w:pStyle w:val="SingleTxt"/>
        <w:numPr>
          <w:ilvl w:val="0"/>
          <w:numId w:val="16"/>
        </w:numPr>
        <w:spacing w:line="240" w:lineRule="exact"/>
        <w:rPr>
          <w:lang w:val="fr-FR"/>
        </w:rPr>
      </w:pPr>
      <w:r w:rsidRPr="00A66C9F">
        <w:rPr>
          <w:lang w:val="fr-FR"/>
        </w:rPr>
        <w:t xml:space="preserve">Le montant inscrit dans l’état de l’actif net se décompose comme suit : </w:t>
      </w:r>
    </w:p>
    <w:p w14:paraId="7999908A" w14:textId="77777777" w:rsidR="00744544" w:rsidRPr="00A66C9F" w:rsidRDefault="00744544" w:rsidP="0074454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2534" w:right="1267" w:hanging="1267"/>
        <w:rPr>
          <w:sz w:val="10"/>
          <w:lang w:val="fr-FR"/>
        </w:rPr>
      </w:pPr>
    </w:p>
    <w:p w14:paraId="134AEF0E" w14:textId="77777777" w:rsidR="00744544" w:rsidRPr="00A66C9F" w:rsidRDefault="00744544" w:rsidP="0074454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lang w:val="fr-FR"/>
        </w:rPr>
        <w:tab/>
      </w:r>
      <w:r w:rsidRPr="00A66C9F">
        <w:rPr>
          <w:lang w:val="fr-FR"/>
        </w:rPr>
        <w:tab/>
      </w:r>
      <w:r w:rsidRPr="00A66C9F">
        <w:rPr>
          <w:sz w:val="14"/>
          <w:szCs w:val="14"/>
          <w:lang w:val="fr-FR"/>
        </w:rPr>
        <w:t>(En milliers de dollars des États-Unis)</w:t>
      </w:r>
    </w:p>
    <w:p w14:paraId="3CC1955F" w14:textId="77777777" w:rsidR="00744544" w:rsidRPr="00A66C9F" w:rsidRDefault="00744544" w:rsidP="00744544">
      <w:pPr>
        <w:pStyle w:val="SingleTxt"/>
        <w:spacing w:after="0" w:line="120" w:lineRule="exact"/>
        <w:rPr>
          <w:sz w:val="10"/>
          <w:lang w:val="fr-FR"/>
        </w:rPr>
      </w:pPr>
    </w:p>
    <w:p w14:paraId="698C3A92" w14:textId="77777777" w:rsidR="00744544" w:rsidRPr="00A66C9F" w:rsidRDefault="00744544" w:rsidP="00744544">
      <w:pPr>
        <w:pStyle w:val="SingleTxt"/>
        <w:spacing w:after="0" w:line="120" w:lineRule="exact"/>
        <w:rPr>
          <w:sz w:val="10"/>
          <w:lang w:val="fr-FR"/>
        </w:rPr>
      </w:pPr>
    </w:p>
    <w:tbl>
      <w:tblPr>
        <w:tblW w:w="0" w:type="auto"/>
        <w:tblInd w:w="1260" w:type="dxa"/>
        <w:tblLayout w:type="fixed"/>
        <w:tblCellMar>
          <w:left w:w="0" w:type="dxa"/>
          <w:right w:w="0" w:type="dxa"/>
        </w:tblCellMar>
        <w:tblLook w:val="04A0" w:firstRow="1" w:lastRow="0" w:firstColumn="1" w:lastColumn="0" w:noHBand="0" w:noVBand="1"/>
      </w:tblPr>
      <w:tblGrid>
        <w:gridCol w:w="4302"/>
        <w:gridCol w:w="1485"/>
        <w:gridCol w:w="1533"/>
      </w:tblGrid>
      <w:tr w:rsidR="00744544" w:rsidRPr="00A66C9F" w14:paraId="5B56E20A" w14:textId="77777777" w:rsidTr="00107D5D">
        <w:trPr>
          <w:tblHeader/>
        </w:trPr>
        <w:tc>
          <w:tcPr>
            <w:tcW w:w="4302" w:type="dxa"/>
            <w:tcBorders>
              <w:top w:val="single" w:sz="4" w:space="0" w:color="auto"/>
              <w:bottom w:val="single" w:sz="12" w:space="0" w:color="auto"/>
            </w:tcBorders>
            <w:shd w:val="clear" w:color="auto" w:fill="auto"/>
            <w:noWrap/>
            <w:vAlign w:val="bottom"/>
            <w:hideMark/>
          </w:tcPr>
          <w:p w14:paraId="43AFE3CE" w14:textId="77777777" w:rsidR="00744544" w:rsidRPr="00A66C9F" w:rsidRDefault="00744544" w:rsidP="00107D5D">
            <w:pPr>
              <w:suppressAutoHyphens/>
              <w:spacing w:before="81" w:after="81" w:line="160" w:lineRule="exact"/>
              <w:ind w:right="40"/>
              <w:rPr>
                <w:i/>
                <w:sz w:val="14"/>
                <w:lang w:val="fr-FR"/>
              </w:rPr>
            </w:pPr>
            <w:r w:rsidRPr="00A66C9F">
              <w:rPr>
                <w:i/>
                <w:sz w:val="14"/>
                <w:lang w:val="fr-FR"/>
              </w:rPr>
              <w:t> </w:t>
            </w:r>
          </w:p>
        </w:tc>
        <w:tc>
          <w:tcPr>
            <w:tcW w:w="1485" w:type="dxa"/>
            <w:tcBorders>
              <w:top w:val="single" w:sz="4" w:space="0" w:color="auto"/>
              <w:bottom w:val="single" w:sz="12" w:space="0" w:color="auto"/>
            </w:tcBorders>
            <w:shd w:val="clear" w:color="auto" w:fill="auto"/>
            <w:vAlign w:val="bottom"/>
            <w:hideMark/>
          </w:tcPr>
          <w:p w14:paraId="4DC33DD6"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31 décembre 2019</w:t>
            </w:r>
          </w:p>
        </w:tc>
        <w:tc>
          <w:tcPr>
            <w:tcW w:w="1533" w:type="dxa"/>
            <w:tcBorders>
              <w:top w:val="single" w:sz="4" w:space="0" w:color="auto"/>
              <w:bottom w:val="single" w:sz="12" w:space="0" w:color="auto"/>
            </w:tcBorders>
            <w:shd w:val="clear" w:color="auto" w:fill="auto"/>
            <w:vAlign w:val="bottom"/>
            <w:hideMark/>
          </w:tcPr>
          <w:p w14:paraId="56281913"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31 décembre 2018</w:t>
            </w:r>
          </w:p>
        </w:tc>
      </w:tr>
      <w:tr w:rsidR="00744544" w:rsidRPr="00A66C9F" w14:paraId="59D21D55" w14:textId="77777777" w:rsidTr="00107D5D">
        <w:trPr>
          <w:trHeight w:hRule="exact" w:val="115"/>
          <w:tblHeader/>
        </w:trPr>
        <w:tc>
          <w:tcPr>
            <w:tcW w:w="4302" w:type="dxa"/>
            <w:tcBorders>
              <w:top w:val="single" w:sz="12" w:space="0" w:color="auto"/>
            </w:tcBorders>
            <w:shd w:val="clear" w:color="auto" w:fill="auto"/>
            <w:noWrap/>
            <w:vAlign w:val="bottom"/>
          </w:tcPr>
          <w:p w14:paraId="2F2A884E" w14:textId="77777777" w:rsidR="00744544" w:rsidRPr="00A66C9F" w:rsidRDefault="00744544" w:rsidP="00107D5D">
            <w:pPr>
              <w:suppressAutoHyphens/>
              <w:spacing w:before="40" w:after="40" w:line="210" w:lineRule="exact"/>
              <w:ind w:right="40"/>
              <w:rPr>
                <w:sz w:val="17"/>
                <w:lang w:val="fr-FR"/>
              </w:rPr>
            </w:pPr>
          </w:p>
        </w:tc>
        <w:tc>
          <w:tcPr>
            <w:tcW w:w="1485" w:type="dxa"/>
            <w:tcBorders>
              <w:top w:val="single" w:sz="12" w:space="0" w:color="auto"/>
            </w:tcBorders>
            <w:shd w:val="clear" w:color="auto" w:fill="auto"/>
            <w:noWrap/>
            <w:vAlign w:val="bottom"/>
          </w:tcPr>
          <w:p w14:paraId="0DBBD6AE" w14:textId="77777777" w:rsidR="00744544" w:rsidRPr="00A66C9F" w:rsidRDefault="00744544" w:rsidP="00107D5D">
            <w:pPr>
              <w:suppressAutoHyphens/>
              <w:spacing w:before="40" w:after="40" w:line="210" w:lineRule="exact"/>
              <w:ind w:left="144" w:right="43"/>
              <w:jc w:val="right"/>
              <w:rPr>
                <w:sz w:val="17"/>
                <w:lang w:val="fr-FR"/>
              </w:rPr>
            </w:pPr>
          </w:p>
        </w:tc>
        <w:tc>
          <w:tcPr>
            <w:tcW w:w="1533" w:type="dxa"/>
            <w:tcBorders>
              <w:top w:val="single" w:sz="12" w:space="0" w:color="auto"/>
            </w:tcBorders>
            <w:shd w:val="clear" w:color="auto" w:fill="auto"/>
            <w:vAlign w:val="bottom"/>
          </w:tcPr>
          <w:p w14:paraId="7A27897B" w14:textId="77777777" w:rsidR="00744544" w:rsidRPr="00A66C9F" w:rsidRDefault="00744544" w:rsidP="00107D5D">
            <w:pPr>
              <w:suppressAutoHyphens/>
              <w:spacing w:before="40" w:after="40" w:line="210" w:lineRule="exact"/>
              <w:ind w:left="144" w:right="43"/>
              <w:jc w:val="right"/>
              <w:rPr>
                <w:sz w:val="17"/>
                <w:lang w:val="fr-FR"/>
              </w:rPr>
            </w:pPr>
          </w:p>
        </w:tc>
      </w:tr>
      <w:tr w:rsidR="00744544" w:rsidRPr="00A66C9F" w14:paraId="79322619" w14:textId="77777777" w:rsidTr="00107D5D">
        <w:tc>
          <w:tcPr>
            <w:tcW w:w="4302" w:type="dxa"/>
            <w:shd w:val="clear" w:color="auto" w:fill="auto"/>
            <w:noWrap/>
            <w:vAlign w:val="bottom"/>
            <w:hideMark/>
          </w:tcPr>
          <w:p w14:paraId="6CBC243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 xml:space="preserve">Versements de départ au titre de la liquidation des droits </w:t>
            </w:r>
          </w:p>
        </w:tc>
        <w:tc>
          <w:tcPr>
            <w:tcW w:w="1485" w:type="dxa"/>
            <w:shd w:val="clear" w:color="auto" w:fill="auto"/>
            <w:noWrap/>
            <w:vAlign w:val="bottom"/>
            <w:hideMark/>
          </w:tcPr>
          <w:p w14:paraId="08C61FC2" w14:textId="77777777" w:rsidR="00744544" w:rsidRPr="00A66C9F" w:rsidRDefault="00744544" w:rsidP="00107D5D">
            <w:pPr>
              <w:tabs>
                <w:tab w:val="left" w:pos="288"/>
                <w:tab w:val="left" w:pos="576"/>
                <w:tab w:val="left" w:pos="864"/>
                <w:tab w:val="left" w:pos="1152"/>
              </w:tabs>
              <w:suppressAutoHyphens/>
              <w:spacing w:before="40" w:after="40" w:line="210" w:lineRule="exact"/>
              <w:ind w:left="144" w:right="43"/>
              <w:jc w:val="right"/>
              <w:rPr>
                <w:sz w:val="17"/>
                <w:lang w:val="fr-FR"/>
              </w:rPr>
            </w:pPr>
            <w:r w:rsidRPr="00A66C9F">
              <w:rPr>
                <w:sz w:val="17"/>
                <w:szCs w:val="17"/>
                <w:lang w:val="fr-FR"/>
              </w:rPr>
              <w:t>59 490</w:t>
            </w:r>
          </w:p>
        </w:tc>
        <w:tc>
          <w:tcPr>
            <w:tcW w:w="1533" w:type="dxa"/>
            <w:shd w:val="clear" w:color="auto" w:fill="auto"/>
            <w:vAlign w:val="bottom"/>
            <w:hideMark/>
          </w:tcPr>
          <w:p w14:paraId="33BD1DEF" w14:textId="77777777" w:rsidR="00744544" w:rsidRPr="00A66C9F" w:rsidRDefault="00744544" w:rsidP="00107D5D">
            <w:pPr>
              <w:tabs>
                <w:tab w:val="left" w:pos="288"/>
                <w:tab w:val="left" w:pos="576"/>
                <w:tab w:val="left" w:pos="864"/>
                <w:tab w:val="left" w:pos="1152"/>
              </w:tabs>
              <w:suppressAutoHyphens/>
              <w:spacing w:before="40" w:after="40" w:line="210" w:lineRule="exact"/>
              <w:ind w:left="144" w:right="43"/>
              <w:jc w:val="right"/>
              <w:rPr>
                <w:sz w:val="17"/>
                <w:lang w:val="fr-FR"/>
              </w:rPr>
            </w:pPr>
            <w:r w:rsidRPr="00A66C9F">
              <w:rPr>
                <w:sz w:val="17"/>
                <w:szCs w:val="17"/>
                <w:lang w:val="fr-FR"/>
              </w:rPr>
              <w:t>54 842</w:t>
            </w:r>
          </w:p>
        </w:tc>
      </w:tr>
      <w:tr w:rsidR="00744544" w:rsidRPr="00A66C9F" w14:paraId="3DE80697" w14:textId="77777777" w:rsidTr="00107D5D">
        <w:tc>
          <w:tcPr>
            <w:tcW w:w="4302" w:type="dxa"/>
            <w:shd w:val="clear" w:color="auto" w:fill="auto"/>
            <w:noWrap/>
            <w:vAlign w:val="bottom"/>
            <w:hideMark/>
          </w:tcPr>
          <w:p w14:paraId="13EC89D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 xml:space="preserve">Versements forfaitaires </w:t>
            </w:r>
          </w:p>
        </w:tc>
        <w:tc>
          <w:tcPr>
            <w:tcW w:w="1485" w:type="dxa"/>
            <w:shd w:val="clear" w:color="auto" w:fill="auto"/>
            <w:noWrap/>
            <w:vAlign w:val="bottom"/>
            <w:hideMark/>
          </w:tcPr>
          <w:p w14:paraId="7470C136" w14:textId="77777777" w:rsidR="00744544" w:rsidRPr="00A66C9F" w:rsidRDefault="00744544" w:rsidP="00107D5D">
            <w:pPr>
              <w:tabs>
                <w:tab w:val="left" w:pos="288"/>
                <w:tab w:val="left" w:pos="576"/>
                <w:tab w:val="left" w:pos="864"/>
                <w:tab w:val="left" w:pos="1152"/>
              </w:tabs>
              <w:suppressAutoHyphens/>
              <w:spacing w:before="40" w:after="40" w:line="210" w:lineRule="exact"/>
              <w:ind w:left="144" w:right="43"/>
              <w:jc w:val="right"/>
              <w:rPr>
                <w:sz w:val="17"/>
                <w:lang w:val="fr-FR"/>
              </w:rPr>
            </w:pPr>
            <w:r w:rsidRPr="00A66C9F">
              <w:rPr>
                <w:sz w:val="17"/>
                <w:szCs w:val="17"/>
                <w:lang w:val="fr-FR"/>
              </w:rPr>
              <w:t>12 146</w:t>
            </w:r>
          </w:p>
        </w:tc>
        <w:tc>
          <w:tcPr>
            <w:tcW w:w="1533" w:type="dxa"/>
            <w:shd w:val="clear" w:color="auto" w:fill="auto"/>
            <w:vAlign w:val="bottom"/>
            <w:hideMark/>
          </w:tcPr>
          <w:p w14:paraId="24B13918" w14:textId="77777777" w:rsidR="00744544" w:rsidRPr="00A66C9F" w:rsidRDefault="00744544" w:rsidP="00107D5D">
            <w:pPr>
              <w:tabs>
                <w:tab w:val="left" w:pos="288"/>
                <w:tab w:val="left" w:pos="576"/>
                <w:tab w:val="left" w:pos="864"/>
                <w:tab w:val="left" w:pos="1152"/>
              </w:tabs>
              <w:suppressAutoHyphens/>
              <w:spacing w:before="40" w:after="40" w:line="210" w:lineRule="exact"/>
              <w:ind w:left="144" w:right="43"/>
              <w:jc w:val="right"/>
              <w:rPr>
                <w:sz w:val="17"/>
                <w:lang w:val="fr-FR"/>
              </w:rPr>
            </w:pPr>
            <w:r w:rsidRPr="00A66C9F">
              <w:rPr>
                <w:sz w:val="17"/>
                <w:szCs w:val="17"/>
                <w:lang w:val="fr-FR"/>
              </w:rPr>
              <w:t>19 486</w:t>
            </w:r>
          </w:p>
        </w:tc>
      </w:tr>
      <w:tr w:rsidR="00744544" w:rsidRPr="00A66C9F" w14:paraId="4FB4F916" w14:textId="77777777" w:rsidTr="00107D5D">
        <w:tc>
          <w:tcPr>
            <w:tcW w:w="4302" w:type="dxa"/>
            <w:shd w:val="clear" w:color="auto" w:fill="auto"/>
            <w:noWrap/>
            <w:vAlign w:val="bottom"/>
            <w:hideMark/>
          </w:tcPr>
          <w:p w14:paraId="0951A38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Prestations périodiques exigibles</w:t>
            </w:r>
          </w:p>
        </w:tc>
        <w:tc>
          <w:tcPr>
            <w:tcW w:w="1485" w:type="dxa"/>
            <w:shd w:val="clear" w:color="auto" w:fill="auto"/>
            <w:noWrap/>
            <w:vAlign w:val="bottom"/>
            <w:hideMark/>
          </w:tcPr>
          <w:p w14:paraId="1BFB2F43" w14:textId="77777777" w:rsidR="00744544" w:rsidRPr="00A66C9F" w:rsidRDefault="00744544" w:rsidP="00107D5D">
            <w:pPr>
              <w:tabs>
                <w:tab w:val="left" w:pos="288"/>
                <w:tab w:val="left" w:pos="576"/>
                <w:tab w:val="left" w:pos="864"/>
                <w:tab w:val="left" w:pos="1152"/>
              </w:tabs>
              <w:suppressAutoHyphens/>
              <w:spacing w:before="40" w:after="40" w:line="210" w:lineRule="exact"/>
              <w:ind w:left="144" w:right="43"/>
              <w:jc w:val="right"/>
              <w:rPr>
                <w:sz w:val="17"/>
                <w:lang w:val="fr-FR"/>
              </w:rPr>
            </w:pPr>
            <w:r w:rsidRPr="00A66C9F">
              <w:rPr>
                <w:sz w:val="17"/>
                <w:szCs w:val="17"/>
                <w:lang w:val="fr-FR"/>
              </w:rPr>
              <w:t>34 297</w:t>
            </w:r>
          </w:p>
        </w:tc>
        <w:tc>
          <w:tcPr>
            <w:tcW w:w="1533" w:type="dxa"/>
            <w:shd w:val="clear" w:color="auto" w:fill="auto"/>
            <w:vAlign w:val="bottom"/>
            <w:hideMark/>
          </w:tcPr>
          <w:p w14:paraId="0E50E02E" w14:textId="77777777" w:rsidR="00744544" w:rsidRPr="00A66C9F" w:rsidRDefault="00744544" w:rsidP="00107D5D">
            <w:pPr>
              <w:tabs>
                <w:tab w:val="left" w:pos="288"/>
                <w:tab w:val="left" w:pos="576"/>
                <w:tab w:val="left" w:pos="864"/>
                <w:tab w:val="left" w:pos="1152"/>
              </w:tabs>
              <w:suppressAutoHyphens/>
              <w:spacing w:before="40" w:after="40" w:line="210" w:lineRule="exact"/>
              <w:ind w:left="144" w:right="43"/>
              <w:jc w:val="right"/>
              <w:rPr>
                <w:sz w:val="17"/>
                <w:lang w:val="fr-FR"/>
              </w:rPr>
            </w:pPr>
            <w:r w:rsidRPr="00A66C9F">
              <w:rPr>
                <w:sz w:val="17"/>
                <w:szCs w:val="17"/>
                <w:lang w:val="fr-FR"/>
              </w:rPr>
              <w:t>27 573</w:t>
            </w:r>
          </w:p>
        </w:tc>
      </w:tr>
      <w:tr w:rsidR="00744544" w:rsidRPr="00A66C9F" w14:paraId="707B362E" w14:textId="77777777" w:rsidTr="00107D5D">
        <w:tc>
          <w:tcPr>
            <w:tcW w:w="4302" w:type="dxa"/>
            <w:tcBorders>
              <w:bottom w:val="single" w:sz="4" w:space="0" w:color="auto"/>
            </w:tcBorders>
            <w:shd w:val="clear" w:color="auto" w:fill="auto"/>
            <w:noWrap/>
            <w:vAlign w:val="bottom"/>
            <w:hideMark/>
          </w:tcPr>
          <w:p w14:paraId="6CC4998E" w14:textId="77777777" w:rsidR="00744544" w:rsidRPr="00A66C9F" w:rsidRDefault="00744544" w:rsidP="00107D5D">
            <w:pPr>
              <w:tabs>
                <w:tab w:val="left" w:pos="288"/>
                <w:tab w:val="left" w:pos="576"/>
                <w:tab w:val="left" w:pos="864"/>
                <w:tab w:val="left" w:pos="1152"/>
              </w:tabs>
              <w:suppressAutoHyphens/>
              <w:spacing w:before="40" w:after="81" w:line="210" w:lineRule="exact"/>
              <w:ind w:right="40"/>
              <w:rPr>
                <w:sz w:val="17"/>
                <w:lang w:val="fr-FR"/>
              </w:rPr>
            </w:pPr>
            <w:r w:rsidRPr="00A66C9F">
              <w:rPr>
                <w:sz w:val="17"/>
                <w:lang w:val="fr-FR"/>
              </w:rPr>
              <w:t>Autres prestations à payer/ajustements</w:t>
            </w:r>
          </w:p>
        </w:tc>
        <w:tc>
          <w:tcPr>
            <w:tcW w:w="1485" w:type="dxa"/>
            <w:tcBorders>
              <w:bottom w:val="single" w:sz="4" w:space="0" w:color="auto"/>
            </w:tcBorders>
            <w:shd w:val="clear" w:color="auto" w:fill="auto"/>
            <w:noWrap/>
            <w:vAlign w:val="bottom"/>
            <w:hideMark/>
          </w:tcPr>
          <w:p w14:paraId="4D43D140" w14:textId="77777777" w:rsidR="00744544" w:rsidRPr="00A66C9F" w:rsidRDefault="00744544" w:rsidP="00107D5D">
            <w:pPr>
              <w:tabs>
                <w:tab w:val="left" w:pos="288"/>
                <w:tab w:val="left" w:pos="576"/>
                <w:tab w:val="left" w:pos="864"/>
                <w:tab w:val="left" w:pos="1152"/>
              </w:tabs>
              <w:suppressAutoHyphens/>
              <w:spacing w:before="40" w:after="81" w:line="210" w:lineRule="exact"/>
              <w:ind w:left="144" w:right="43"/>
              <w:jc w:val="right"/>
              <w:rPr>
                <w:sz w:val="17"/>
                <w:lang w:val="fr-FR"/>
              </w:rPr>
            </w:pPr>
            <w:r w:rsidRPr="00A66C9F">
              <w:rPr>
                <w:sz w:val="17"/>
                <w:szCs w:val="17"/>
                <w:lang w:val="fr-FR"/>
              </w:rPr>
              <w:t>37</w:t>
            </w:r>
          </w:p>
        </w:tc>
        <w:tc>
          <w:tcPr>
            <w:tcW w:w="1533" w:type="dxa"/>
            <w:tcBorders>
              <w:bottom w:val="single" w:sz="4" w:space="0" w:color="auto"/>
            </w:tcBorders>
            <w:shd w:val="clear" w:color="auto" w:fill="auto"/>
            <w:vAlign w:val="bottom"/>
            <w:hideMark/>
          </w:tcPr>
          <w:p w14:paraId="3DBF570C" w14:textId="77777777" w:rsidR="00744544" w:rsidRPr="00A66C9F" w:rsidRDefault="00744544" w:rsidP="00107D5D">
            <w:pPr>
              <w:tabs>
                <w:tab w:val="left" w:pos="288"/>
                <w:tab w:val="left" w:pos="576"/>
                <w:tab w:val="left" w:pos="864"/>
                <w:tab w:val="left" w:pos="1152"/>
              </w:tabs>
              <w:suppressAutoHyphens/>
              <w:spacing w:before="40" w:after="81" w:line="210" w:lineRule="exact"/>
              <w:ind w:left="144" w:right="43"/>
              <w:jc w:val="right"/>
              <w:rPr>
                <w:sz w:val="17"/>
                <w:lang w:val="fr-FR"/>
              </w:rPr>
            </w:pPr>
            <w:r w:rsidRPr="00A66C9F">
              <w:rPr>
                <w:sz w:val="17"/>
                <w:szCs w:val="17"/>
                <w:lang w:val="fr-FR"/>
              </w:rPr>
              <w:t>587</w:t>
            </w:r>
          </w:p>
        </w:tc>
      </w:tr>
      <w:tr w:rsidR="00744544" w:rsidRPr="00A66C9F" w14:paraId="33FACD22" w14:textId="77777777" w:rsidTr="00107D5D">
        <w:tc>
          <w:tcPr>
            <w:tcW w:w="4302" w:type="dxa"/>
            <w:tcBorders>
              <w:top w:val="single" w:sz="4" w:space="0" w:color="auto"/>
              <w:bottom w:val="single" w:sz="12" w:space="0" w:color="auto"/>
            </w:tcBorders>
            <w:shd w:val="clear" w:color="auto" w:fill="auto"/>
            <w:noWrap/>
            <w:vAlign w:val="bottom"/>
            <w:hideMark/>
          </w:tcPr>
          <w:p w14:paraId="41DA8636" w14:textId="77777777" w:rsidR="00744544" w:rsidRPr="00A66C9F" w:rsidRDefault="00744544" w:rsidP="00107D5D">
            <w:pPr>
              <w:tabs>
                <w:tab w:val="left" w:pos="288"/>
                <w:tab w:val="left" w:pos="576"/>
                <w:tab w:val="left" w:pos="864"/>
                <w:tab w:val="left" w:pos="1152"/>
              </w:tabs>
              <w:suppressAutoHyphens/>
              <w:spacing w:before="81" w:after="81" w:line="210" w:lineRule="exact"/>
              <w:ind w:right="40"/>
              <w:rPr>
                <w:b/>
                <w:sz w:val="17"/>
                <w:lang w:val="fr-FR"/>
              </w:rPr>
            </w:pPr>
            <w:r w:rsidRPr="00A66C9F">
              <w:rPr>
                <w:b/>
                <w:sz w:val="17"/>
                <w:lang w:val="fr-FR"/>
              </w:rPr>
              <w:tab/>
              <w:t>Total</w:t>
            </w:r>
          </w:p>
        </w:tc>
        <w:tc>
          <w:tcPr>
            <w:tcW w:w="1485" w:type="dxa"/>
            <w:tcBorders>
              <w:top w:val="single" w:sz="4" w:space="0" w:color="auto"/>
              <w:bottom w:val="single" w:sz="12" w:space="0" w:color="auto"/>
            </w:tcBorders>
            <w:shd w:val="clear" w:color="auto" w:fill="auto"/>
            <w:vAlign w:val="bottom"/>
            <w:hideMark/>
          </w:tcPr>
          <w:p w14:paraId="775B9710" w14:textId="77777777" w:rsidR="00744544" w:rsidRPr="00A66C9F" w:rsidRDefault="00744544" w:rsidP="00107D5D">
            <w:pPr>
              <w:tabs>
                <w:tab w:val="left" w:pos="288"/>
                <w:tab w:val="left" w:pos="576"/>
                <w:tab w:val="left" w:pos="864"/>
                <w:tab w:val="left" w:pos="1152"/>
              </w:tabs>
              <w:suppressAutoHyphens/>
              <w:spacing w:before="81" w:after="81" w:line="210" w:lineRule="exact"/>
              <w:ind w:left="144" w:right="43"/>
              <w:jc w:val="right"/>
              <w:rPr>
                <w:b/>
                <w:sz w:val="17"/>
                <w:lang w:val="fr-FR"/>
              </w:rPr>
            </w:pPr>
            <w:r w:rsidRPr="00A66C9F">
              <w:rPr>
                <w:b/>
                <w:bCs/>
                <w:sz w:val="17"/>
                <w:szCs w:val="17"/>
                <w:lang w:val="fr-FR"/>
              </w:rPr>
              <w:t>105 970</w:t>
            </w:r>
          </w:p>
        </w:tc>
        <w:tc>
          <w:tcPr>
            <w:tcW w:w="1533" w:type="dxa"/>
            <w:tcBorders>
              <w:top w:val="single" w:sz="4" w:space="0" w:color="auto"/>
              <w:bottom w:val="single" w:sz="12" w:space="0" w:color="auto"/>
            </w:tcBorders>
            <w:shd w:val="clear" w:color="auto" w:fill="auto"/>
            <w:vAlign w:val="bottom"/>
            <w:hideMark/>
          </w:tcPr>
          <w:p w14:paraId="0FBF2BAA" w14:textId="77777777" w:rsidR="00744544" w:rsidRPr="00A66C9F" w:rsidRDefault="00744544" w:rsidP="00107D5D">
            <w:pPr>
              <w:tabs>
                <w:tab w:val="left" w:pos="288"/>
                <w:tab w:val="left" w:pos="576"/>
                <w:tab w:val="left" w:pos="864"/>
                <w:tab w:val="left" w:pos="1152"/>
              </w:tabs>
              <w:suppressAutoHyphens/>
              <w:spacing w:before="81" w:after="81" w:line="210" w:lineRule="exact"/>
              <w:ind w:left="144" w:right="43"/>
              <w:jc w:val="right"/>
              <w:rPr>
                <w:b/>
                <w:sz w:val="17"/>
                <w:lang w:val="fr-FR"/>
              </w:rPr>
            </w:pPr>
            <w:r w:rsidRPr="00A66C9F">
              <w:rPr>
                <w:b/>
                <w:bCs/>
                <w:sz w:val="17"/>
                <w:szCs w:val="17"/>
                <w:lang w:val="fr-FR"/>
              </w:rPr>
              <w:t>102 488</w:t>
            </w:r>
          </w:p>
        </w:tc>
      </w:tr>
    </w:tbl>
    <w:p w14:paraId="379C69EB" w14:textId="77777777" w:rsidR="00744544" w:rsidRPr="00A66C9F" w:rsidRDefault="00744544" w:rsidP="00744544">
      <w:pPr>
        <w:pStyle w:val="SingleTxt"/>
        <w:spacing w:after="0" w:line="120" w:lineRule="exact"/>
        <w:rPr>
          <w:sz w:val="10"/>
          <w:lang w:val="fr-FR"/>
        </w:rPr>
      </w:pPr>
    </w:p>
    <w:p w14:paraId="06982AAD" w14:textId="77777777" w:rsidR="00744544" w:rsidRPr="00A66C9F" w:rsidRDefault="00744544" w:rsidP="00744544">
      <w:pPr>
        <w:pStyle w:val="SingleTxt"/>
        <w:spacing w:after="0" w:line="120" w:lineRule="exact"/>
        <w:rPr>
          <w:sz w:val="10"/>
          <w:lang w:val="fr-FR"/>
        </w:rPr>
      </w:pPr>
    </w:p>
    <w:p w14:paraId="16A9DB35" w14:textId="77777777" w:rsidR="00744544" w:rsidRPr="00A66C9F" w:rsidRDefault="00744544" w:rsidP="00744544">
      <w:pPr>
        <w:pStyle w:val="SingleTxt"/>
        <w:spacing w:after="0" w:line="120" w:lineRule="exact"/>
        <w:rPr>
          <w:sz w:val="10"/>
          <w:lang w:val="fr-FR"/>
        </w:rPr>
      </w:pPr>
    </w:p>
    <w:p w14:paraId="0D4B481D"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87" w:name="_Toc339633747"/>
      <w:bookmarkStart w:id="288" w:name="_Toc339634082"/>
      <w:r w:rsidRPr="00A66C9F">
        <w:rPr>
          <w:lang w:val="fr-FR"/>
        </w:rPr>
        <w:tab/>
      </w:r>
      <w:r w:rsidRPr="00A66C9F">
        <w:rPr>
          <w:lang w:val="fr-FR"/>
        </w:rPr>
        <w:tab/>
        <w:t>Note 11</w:t>
      </w:r>
    </w:p>
    <w:p w14:paraId="1C1A3B6E"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Assurance maladie après la cessation de service et autres avantages du personnel</w:t>
      </w:r>
    </w:p>
    <w:p w14:paraId="3566BBF6" w14:textId="77777777" w:rsidR="00744544" w:rsidRPr="00A66C9F" w:rsidRDefault="00744544" w:rsidP="00744544">
      <w:pPr>
        <w:pStyle w:val="SingleTxt"/>
        <w:spacing w:after="0" w:line="120" w:lineRule="exact"/>
        <w:rPr>
          <w:sz w:val="10"/>
          <w:lang w:val="fr-FR"/>
        </w:rPr>
      </w:pPr>
    </w:p>
    <w:p w14:paraId="41458D68" w14:textId="77777777" w:rsidR="00744544" w:rsidRPr="00A66C9F" w:rsidRDefault="00744544" w:rsidP="00753AB8">
      <w:pPr>
        <w:pStyle w:val="SingleTxt"/>
        <w:numPr>
          <w:ilvl w:val="0"/>
          <w:numId w:val="17"/>
        </w:numPr>
        <w:tabs>
          <w:tab w:val="num" w:pos="2804"/>
        </w:tabs>
        <w:spacing w:line="240" w:lineRule="exact"/>
        <w:rPr>
          <w:szCs w:val="20"/>
          <w:lang w:val="fr-FR"/>
        </w:rPr>
      </w:pPr>
      <w:bookmarkStart w:id="289" w:name="_Toc480546491"/>
      <w:bookmarkStart w:id="290" w:name="_Toc480546492"/>
      <w:bookmarkStart w:id="291" w:name="_Toc339633748"/>
      <w:bookmarkStart w:id="292" w:name="_Toc339634083"/>
      <w:bookmarkEnd w:id="287"/>
      <w:bookmarkEnd w:id="288"/>
      <w:bookmarkEnd w:id="289"/>
      <w:bookmarkEnd w:id="290"/>
      <w:r w:rsidRPr="00A66C9F">
        <w:rPr>
          <w:lang w:val="fr-FR"/>
        </w:rPr>
        <w:t>Le montant de l’assurance maladie après la cessation de service et des autres prestations à payer inscrit dans l’état de l’actif net se décompose comme suit :</w:t>
      </w:r>
    </w:p>
    <w:p w14:paraId="244E9BBC" w14:textId="77777777" w:rsidR="00744544" w:rsidRPr="00A66C9F" w:rsidRDefault="00744544" w:rsidP="00744544">
      <w:pPr>
        <w:pStyle w:val="SingleTxt"/>
        <w:spacing w:after="0" w:line="120" w:lineRule="exact"/>
        <w:rPr>
          <w:sz w:val="10"/>
          <w:lang w:val="fr-FR"/>
        </w:rPr>
      </w:pPr>
    </w:p>
    <w:p w14:paraId="76B943AD" w14:textId="77777777" w:rsidR="00744544" w:rsidRPr="00A66C9F" w:rsidRDefault="00744544" w:rsidP="0074454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lang w:val="fr-FR"/>
        </w:rPr>
        <w:lastRenderedPageBreak/>
        <w:tab/>
      </w:r>
      <w:r w:rsidRPr="00A66C9F">
        <w:rPr>
          <w:lang w:val="fr-FR"/>
        </w:rPr>
        <w:tab/>
      </w:r>
      <w:r w:rsidRPr="00A66C9F">
        <w:rPr>
          <w:sz w:val="14"/>
          <w:szCs w:val="14"/>
          <w:lang w:val="fr-FR"/>
        </w:rPr>
        <w:t>(En milliers de dollars des États-Unis)</w:t>
      </w:r>
    </w:p>
    <w:p w14:paraId="3C662F85" w14:textId="77777777" w:rsidR="00744544" w:rsidRPr="00A66C9F" w:rsidRDefault="00744544" w:rsidP="00744544">
      <w:pPr>
        <w:pStyle w:val="SingleTxt"/>
        <w:spacing w:after="0" w:line="120" w:lineRule="exact"/>
        <w:rPr>
          <w:sz w:val="10"/>
          <w:lang w:val="fr-FR"/>
        </w:rPr>
      </w:pPr>
    </w:p>
    <w:p w14:paraId="3739DBE8" w14:textId="77777777" w:rsidR="00744544" w:rsidRPr="00A66C9F" w:rsidRDefault="00744544" w:rsidP="00744544">
      <w:pPr>
        <w:pStyle w:val="SingleTxt"/>
        <w:spacing w:after="0" w:line="120" w:lineRule="exact"/>
        <w:rPr>
          <w:sz w:val="10"/>
          <w:lang w:val="fr-FR"/>
        </w:rPr>
      </w:pPr>
    </w:p>
    <w:tbl>
      <w:tblPr>
        <w:tblW w:w="7320" w:type="dxa"/>
        <w:tblInd w:w="1260" w:type="dxa"/>
        <w:tblLayout w:type="fixed"/>
        <w:tblCellMar>
          <w:left w:w="0" w:type="dxa"/>
          <w:right w:w="0" w:type="dxa"/>
        </w:tblCellMar>
        <w:tblLook w:val="04A0" w:firstRow="1" w:lastRow="0" w:firstColumn="1" w:lastColumn="0" w:noHBand="0" w:noVBand="1"/>
      </w:tblPr>
      <w:tblGrid>
        <w:gridCol w:w="4320"/>
        <w:gridCol w:w="1485"/>
        <w:gridCol w:w="1515"/>
      </w:tblGrid>
      <w:tr w:rsidR="00744544" w:rsidRPr="00A66C9F" w14:paraId="7905BC0B" w14:textId="77777777" w:rsidTr="00107D5D">
        <w:trPr>
          <w:trHeight w:val="318"/>
          <w:tblHeader/>
        </w:trPr>
        <w:tc>
          <w:tcPr>
            <w:tcW w:w="4320" w:type="dxa"/>
            <w:tcBorders>
              <w:top w:val="single" w:sz="4" w:space="0" w:color="auto"/>
              <w:bottom w:val="single" w:sz="12" w:space="0" w:color="auto"/>
            </w:tcBorders>
            <w:shd w:val="clear" w:color="auto" w:fill="auto"/>
            <w:noWrap/>
            <w:vAlign w:val="bottom"/>
            <w:hideMark/>
          </w:tcPr>
          <w:p w14:paraId="41B61DE9" w14:textId="77777777" w:rsidR="00744544" w:rsidRPr="00A66C9F" w:rsidRDefault="00744544" w:rsidP="00107D5D">
            <w:pPr>
              <w:keepNext/>
              <w:keepLines/>
              <w:suppressAutoHyphens/>
              <w:spacing w:before="81" w:after="81" w:line="160" w:lineRule="exact"/>
              <w:ind w:right="40"/>
              <w:rPr>
                <w:bCs/>
                <w:i/>
                <w:iCs/>
                <w:sz w:val="14"/>
                <w:szCs w:val="20"/>
                <w:lang w:val="fr-FR"/>
              </w:rPr>
            </w:pPr>
            <w:r w:rsidRPr="00A66C9F">
              <w:rPr>
                <w:bCs/>
                <w:i/>
                <w:iCs/>
                <w:sz w:val="14"/>
                <w:szCs w:val="20"/>
                <w:lang w:val="fr-FR"/>
              </w:rPr>
              <w:t> </w:t>
            </w:r>
          </w:p>
        </w:tc>
        <w:tc>
          <w:tcPr>
            <w:tcW w:w="1485" w:type="dxa"/>
            <w:tcBorders>
              <w:top w:val="single" w:sz="4" w:space="0" w:color="auto"/>
              <w:bottom w:val="single" w:sz="12" w:space="0" w:color="auto"/>
            </w:tcBorders>
            <w:shd w:val="clear" w:color="auto" w:fill="auto"/>
            <w:vAlign w:val="bottom"/>
          </w:tcPr>
          <w:p w14:paraId="02A64A31" w14:textId="77777777" w:rsidR="00744544" w:rsidRPr="00A66C9F" w:rsidDel="005F43B7" w:rsidRDefault="00744544" w:rsidP="00107D5D">
            <w:pPr>
              <w:keepNext/>
              <w:keepLines/>
              <w:suppressAutoHyphens/>
              <w:spacing w:before="81" w:after="81" w:line="160" w:lineRule="exact"/>
              <w:ind w:right="43"/>
              <w:jc w:val="right"/>
              <w:rPr>
                <w:bCs/>
                <w:i/>
                <w:iCs/>
                <w:sz w:val="14"/>
                <w:szCs w:val="20"/>
                <w:lang w:val="fr-FR"/>
              </w:rPr>
            </w:pPr>
            <w:r w:rsidRPr="00A66C9F">
              <w:rPr>
                <w:i/>
                <w:iCs/>
                <w:sz w:val="14"/>
                <w:lang w:val="fr-FR"/>
              </w:rPr>
              <w:t>Au 31 décembre 2019</w:t>
            </w:r>
          </w:p>
        </w:tc>
        <w:tc>
          <w:tcPr>
            <w:tcW w:w="1515" w:type="dxa"/>
            <w:tcBorders>
              <w:top w:val="single" w:sz="4" w:space="0" w:color="auto"/>
              <w:bottom w:val="single" w:sz="12" w:space="0" w:color="auto"/>
            </w:tcBorders>
            <w:shd w:val="clear" w:color="auto" w:fill="auto"/>
            <w:vAlign w:val="bottom"/>
          </w:tcPr>
          <w:p w14:paraId="4078E569" w14:textId="77777777" w:rsidR="00744544" w:rsidRPr="00A66C9F" w:rsidRDefault="00744544" w:rsidP="00107D5D">
            <w:pPr>
              <w:keepNext/>
              <w:keepLines/>
              <w:suppressAutoHyphens/>
              <w:spacing w:before="81" w:after="81" w:line="160" w:lineRule="exact"/>
              <w:ind w:right="43"/>
              <w:jc w:val="right"/>
              <w:rPr>
                <w:bCs/>
                <w:i/>
                <w:iCs/>
                <w:sz w:val="14"/>
                <w:szCs w:val="20"/>
                <w:lang w:val="fr-FR"/>
              </w:rPr>
            </w:pPr>
            <w:r w:rsidRPr="00A66C9F">
              <w:rPr>
                <w:i/>
                <w:iCs/>
                <w:sz w:val="14"/>
                <w:lang w:val="fr-FR"/>
              </w:rPr>
              <w:t>Au 31 décembre 2018</w:t>
            </w:r>
          </w:p>
        </w:tc>
      </w:tr>
      <w:tr w:rsidR="00744544" w:rsidRPr="00A66C9F" w14:paraId="59ADCA91" w14:textId="77777777" w:rsidTr="00107D5D">
        <w:trPr>
          <w:trHeight w:hRule="exact" w:val="115"/>
          <w:tblHeader/>
        </w:trPr>
        <w:tc>
          <w:tcPr>
            <w:tcW w:w="4320" w:type="dxa"/>
            <w:tcBorders>
              <w:top w:val="single" w:sz="12" w:space="0" w:color="auto"/>
            </w:tcBorders>
            <w:shd w:val="clear" w:color="auto" w:fill="auto"/>
            <w:vAlign w:val="bottom"/>
          </w:tcPr>
          <w:p w14:paraId="6C0BED1A" w14:textId="77777777" w:rsidR="00744544" w:rsidRPr="00A66C9F" w:rsidRDefault="00744544" w:rsidP="00107D5D">
            <w:pPr>
              <w:keepNext/>
              <w:keepLines/>
              <w:suppressAutoHyphens/>
              <w:spacing w:before="40" w:beforeAutospacing="1" w:after="40" w:afterAutospacing="1" w:line="210" w:lineRule="exact"/>
              <w:ind w:right="40"/>
              <w:rPr>
                <w:sz w:val="17"/>
                <w:lang w:val="fr-FR"/>
              </w:rPr>
            </w:pPr>
          </w:p>
        </w:tc>
        <w:tc>
          <w:tcPr>
            <w:tcW w:w="1485" w:type="dxa"/>
            <w:tcBorders>
              <w:top w:val="single" w:sz="12" w:space="0" w:color="auto"/>
            </w:tcBorders>
            <w:shd w:val="clear" w:color="auto" w:fill="auto"/>
            <w:vAlign w:val="bottom"/>
          </w:tcPr>
          <w:p w14:paraId="2093E912" w14:textId="77777777" w:rsidR="00744544" w:rsidRPr="00A66C9F" w:rsidRDefault="00744544" w:rsidP="00107D5D">
            <w:pPr>
              <w:keepNext/>
              <w:keepLines/>
              <w:suppressAutoHyphens/>
              <w:spacing w:before="40" w:after="40" w:line="210" w:lineRule="exact"/>
              <w:ind w:right="43"/>
              <w:jc w:val="right"/>
              <w:rPr>
                <w:sz w:val="17"/>
                <w:lang w:val="fr-FR"/>
              </w:rPr>
            </w:pPr>
          </w:p>
        </w:tc>
        <w:tc>
          <w:tcPr>
            <w:tcW w:w="1515" w:type="dxa"/>
            <w:tcBorders>
              <w:top w:val="single" w:sz="12" w:space="0" w:color="auto"/>
            </w:tcBorders>
            <w:shd w:val="clear" w:color="auto" w:fill="auto"/>
            <w:vAlign w:val="bottom"/>
          </w:tcPr>
          <w:p w14:paraId="65611D4C" w14:textId="77777777" w:rsidR="00744544" w:rsidRPr="00A66C9F" w:rsidRDefault="00744544" w:rsidP="00107D5D">
            <w:pPr>
              <w:keepNext/>
              <w:keepLines/>
              <w:suppressAutoHyphens/>
              <w:spacing w:before="40" w:after="40" w:line="210" w:lineRule="exact"/>
              <w:ind w:right="43"/>
              <w:jc w:val="right"/>
              <w:rPr>
                <w:sz w:val="17"/>
                <w:lang w:val="fr-FR"/>
              </w:rPr>
            </w:pPr>
          </w:p>
        </w:tc>
      </w:tr>
      <w:tr w:rsidR="00744544" w:rsidRPr="00A66C9F" w14:paraId="7E79DCE0" w14:textId="77777777" w:rsidTr="00107D5D">
        <w:tc>
          <w:tcPr>
            <w:tcW w:w="4320" w:type="dxa"/>
            <w:shd w:val="clear" w:color="auto" w:fill="auto"/>
            <w:vAlign w:val="bottom"/>
            <w:hideMark/>
          </w:tcPr>
          <w:p w14:paraId="7B411455"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3"/>
              <w:rPr>
                <w:sz w:val="17"/>
                <w:szCs w:val="17"/>
                <w:lang w:val="fr-FR"/>
              </w:rPr>
            </w:pPr>
            <w:r w:rsidRPr="00A66C9F">
              <w:rPr>
                <w:sz w:val="17"/>
                <w:lang w:val="fr-FR"/>
              </w:rPr>
              <w:t>Assurance maladie après la cessation de service</w:t>
            </w:r>
          </w:p>
        </w:tc>
        <w:tc>
          <w:tcPr>
            <w:tcW w:w="1485" w:type="dxa"/>
            <w:shd w:val="clear" w:color="auto" w:fill="auto"/>
            <w:vAlign w:val="bottom"/>
          </w:tcPr>
          <w:p w14:paraId="0AB60428"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93 611 </w:t>
            </w:r>
          </w:p>
        </w:tc>
        <w:tc>
          <w:tcPr>
            <w:tcW w:w="1515" w:type="dxa"/>
            <w:shd w:val="clear" w:color="auto" w:fill="auto"/>
            <w:vAlign w:val="bottom"/>
          </w:tcPr>
          <w:p w14:paraId="03CA2F01"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80 477 </w:t>
            </w:r>
          </w:p>
        </w:tc>
      </w:tr>
      <w:tr w:rsidR="00744544" w:rsidRPr="00A66C9F" w14:paraId="08FC6386" w14:textId="77777777" w:rsidTr="00107D5D">
        <w:tc>
          <w:tcPr>
            <w:tcW w:w="4320" w:type="dxa"/>
            <w:shd w:val="clear" w:color="auto" w:fill="auto"/>
            <w:vAlign w:val="bottom"/>
            <w:hideMark/>
          </w:tcPr>
          <w:p w14:paraId="241B8153"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3"/>
              <w:rPr>
                <w:sz w:val="17"/>
                <w:szCs w:val="17"/>
                <w:lang w:val="fr-FR"/>
              </w:rPr>
            </w:pPr>
            <w:r w:rsidRPr="00A66C9F">
              <w:rPr>
                <w:sz w:val="17"/>
                <w:lang w:val="fr-FR"/>
              </w:rPr>
              <w:t>Prime de rapatriement et frais connexes</w:t>
            </w:r>
          </w:p>
        </w:tc>
        <w:tc>
          <w:tcPr>
            <w:tcW w:w="1485" w:type="dxa"/>
            <w:shd w:val="clear" w:color="auto" w:fill="auto"/>
            <w:vAlign w:val="bottom"/>
          </w:tcPr>
          <w:p w14:paraId="4E3D220C"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4 977 </w:t>
            </w:r>
          </w:p>
        </w:tc>
        <w:tc>
          <w:tcPr>
            <w:tcW w:w="1515" w:type="dxa"/>
            <w:shd w:val="clear" w:color="auto" w:fill="auto"/>
            <w:vAlign w:val="bottom"/>
          </w:tcPr>
          <w:p w14:paraId="1A4FF87C"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3 271 </w:t>
            </w:r>
          </w:p>
        </w:tc>
      </w:tr>
      <w:tr w:rsidR="00744544" w:rsidRPr="00A66C9F" w14:paraId="6E16ACDB" w14:textId="77777777" w:rsidTr="00107D5D">
        <w:tc>
          <w:tcPr>
            <w:tcW w:w="4320" w:type="dxa"/>
            <w:shd w:val="clear" w:color="auto" w:fill="auto"/>
            <w:vAlign w:val="bottom"/>
            <w:hideMark/>
          </w:tcPr>
          <w:p w14:paraId="5582C12D"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3"/>
              <w:rPr>
                <w:sz w:val="17"/>
                <w:szCs w:val="17"/>
                <w:lang w:val="fr-FR"/>
              </w:rPr>
            </w:pPr>
            <w:r w:rsidRPr="00A66C9F">
              <w:rPr>
                <w:sz w:val="17"/>
                <w:lang w:val="fr-FR"/>
              </w:rPr>
              <w:t>Indemnité pour frais d’études et frais connexes</w:t>
            </w:r>
          </w:p>
        </w:tc>
        <w:tc>
          <w:tcPr>
            <w:tcW w:w="1485" w:type="dxa"/>
            <w:shd w:val="clear" w:color="auto" w:fill="auto"/>
            <w:vAlign w:val="bottom"/>
          </w:tcPr>
          <w:p w14:paraId="1439CFB7"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381 </w:t>
            </w:r>
          </w:p>
        </w:tc>
        <w:tc>
          <w:tcPr>
            <w:tcW w:w="1515" w:type="dxa"/>
            <w:shd w:val="clear" w:color="auto" w:fill="auto"/>
            <w:vAlign w:val="bottom"/>
          </w:tcPr>
          <w:p w14:paraId="08E25655"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360 </w:t>
            </w:r>
          </w:p>
        </w:tc>
      </w:tr>
      <w:tr w:rsidR="00744544" w:rsidRPr="00A66C9F" w14:paraId="79DE2442" w14:textId="77777777" w:rsidTr="00107D5D">
        <w:tc>
          <w:tcPr>
            <w:tcW w:w="4320" w:type="dxa"/>
            <w:shd w:val="clear" w:color="auto" w:fill="auto"/>
            <w:vAlign w:val="bottom"/>
            <w:hideMark/>
          </w:tcPr>
          <w:p w14:paraId="76F22D50"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3"/>
              <w:rPr>
                <w:sz w:val="17"/>
                <w:szCs w:val="17"/>
                <w:lang w:val="fr-FR"/>
              </w:rPr>
            </w:pPr>
            <w:r w:rsidRPr="00A66C9F">
              <w:rPr>
                <w:sz w:val="17"/>
                <w:lang w:val="fr-FR"/>
              </w:rPr>
              <w:t>Congé annuel</w:t>
            </w:r>
          </w:p>
        </w:tc>
        <w:tc>
          <w:tcPr>
            <w:tcW w:w="1485" w:type="dxa"/>
            <w:shd w:val="clear" w:color="auto" w:fill="auto"/>
            <w:vAlign w:val="bottom"/>
          </w:tcPr>
          <w:p w14:paraId="43C15BA9"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4 686 </w:t>
            </w:r>
          </w:p>
        </w:tc>
        <w:tc>
          <w:tcPr>
            <w:tcW w:w="1515" w:type="dxa"/>
            <w:shd w:val="clear" w:color="auto" w:fill="auto"/>
            <w:vAlign w:val="bottom"/>
          </w:tcPr>
          <w:p w14:paraId="6BE63723"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3 468 </w:t>
            </w:r>
          </w:p>
        </w:tc>
      </w:tr>
      <w:tr w:rsidR="00744544" w:rsidRPr="00A66C9F" w14:paraId="3C3B0D36" w14:textId="77777777" w:rsidTr="00107D5D">
        <w:tc>
          <w:tcPr>
            <w:tcW w:w="4320" w:type="dxa"/>
            <w:tcBorders>
              <w:bottom w:val="single" w:sz="4" w:space="0" w:color="auto"/>
            </w:tcBorders>
            <w:shd w:val="clear" w:color="auto" w:fill="auto"/>
            <w:vAlign w:val="bottom"/>
            <w:hideMark/>
          </w:tcPr>
          <w:p w14:paraId="5A220391" w14:textId="77777777" w:rsidR="00744544" w:rsidRPr="00A66C9F" w:rsidRDefault="00744544" w:rsidP="00107D5D">
            <w:pPr>
              <w:keepNext/>
              <w:keepLines/>
              <w:tabs>
                <w:tab w:val="left" w:pos="288"/>
                <w:tab w:val="left" w:pos="576"/>
                <w:tab w:val="left" w:pos="864"/>
                <w:tab w:val="left" w:pos="1152"/>
              </w:tabs>
              <w:suppressAutoHyphens/>
              <w:spacing w:before="40" w:after="81" w:line="210" w:lineRule="exact"/>
              <w:ind w:right="43"/>
              <w:rPr>
                <w:sz w:val="17"/>
                <w:szCs w:val="17"/>
                <w:lang w:val="fr-FR"/>
              </w:rPr>
            </w:pPr>
            <w:r w:rsidRPr="00A66C9F">
              <w:rPr>
                <w:sz w:val="17"/>
                <w:lang w:val="fr-FR"/>
              </w:rPr>
              <w:t>Congé dans les foyers</w:t>
            </w:r>
          </w:p>
        </w:tc>
        <w:tc>
          <w:tcPr>
            <w:tcW w:w="1485" w:type="dxa"/>
            <w:tcBorders>
              <w:bottom w:val="single" w:sz="4" w:space="0" w:color="auto"/>
            </w:tcBorders>
            <w:shd w:val="clear" w:color="auto" w:fill="auto"/>
            <w:vAlign w:val="bottom"/>
          </w:tcPr>
          <w:p w14:paraId="65EFBACC" w14:textId="77777777" w:rsidR="00744544" w:rsidRPr="00A66C9F" w:rsidRDefault="00744544" w:rsidP="00107D5D">
            <w:pPr>
              <w:keepNext/>
              <w:keepLines/>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lang w:val="fr-FR"/>
              </w:rPr>
              <w:t xml:space="preserve"> 334 </w:t>
            </w:r>
          </w:p>
        </w:tc>
        <w:tc>
          <w:tcPr>
            <w:tcW w:w="1515" w:type="dxa"/>
            <w:tcBorders>
              <w:bottom w:val="single" w:sz="4" w:space="0" w:color="auto"/>
            </w:tcBorders>
            <w:shd w:val="clear" w:color="auto" w:fill="auto"/>
            <w:vAlign w:val="bottom"/>
          </w:tcPr>
          <w:p w14:paraId="38DE1E3E" w14:textId="77777777" w:rsidR="00744544" w:rsidRPr="00A66C9F" w:rsidRDefault="00744544" w:rsidP="00107D5D">
            <w:pPr>
              <w:keepNext/>
              <w:keepLines/>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lang w:val="fr-FR"/>
              </w:rPr>
              <w:t xml:space="preserve"> 315 </w:t>
            </w:r>
          </w:p>
        </w:tc>
      </w:tr>
      <w:tr w:rsidR="00744544" w:rsidRPr="00A66C9F" w14:paraId="3BB327A5" w14:textId="77777777" w:rsidTr="00107D5D">
        <w:tc>
          <w:tcPr>
            <w:tcW w:w="4320" w:type="dxa"/>
            <w:tcBorders>
              <w:top w:val="single" w:sz="4" w:space="0" w:color="auto"/>
              <w:bottom w:val="single" w:sz="12" w:space="0" w:color="auto"/>
            </w:tcBorders>
            <w:shd w:val="clear" w:color="auto" w:fill="auto"/>
            <w:vAlign w:val="bottom"/>
            <w:hideMark/>
          </w:tcPr>
          <w:p w14:paraId="40769E8B" w14:textId="77777777" w:rsidR="00744544" w:rsidRPr="00A66C9F" w:rsidRDefault="00744544" w:rsidP="00107D5D">
            <w:pPr>
              <w:keepNext/>
              <w:keepLines/>
              <w:tabs>
                <w:tab w:val="left" w:pos="288"/>
                <w:tab w:val="left" w:pos="576"/>
                <w:tab w:val="left" w:pos="864"/>
                <w:tab w:val="left" w:pos="1152"/>
              </w:tabs>
              <w:suppressAutoHyphens/>
              <w:spacing w:before="81" w:after="81" w:line="210" w:lineRule="exact"/>
              <w:ind w:right="43"/>
              <w:rPr>
                <w:b/>
                <w:bCs/>
                <w:sz w:val="17"/>
                <w:szCs w:val="17"/>
                <w:lang w:val="fr-FR"/>
              </w:rPr>
            </w:pPr>
            <w:r w:rsidRPr="00A66C9F">
              <w:rPr>
                <w:b/>
                <w:bCs/>
                <w:sz w:val="17"/>
                <w:lang w:val="fr-FR"/>
              </w:rPr>
              <w:tab/>
              <w:t>Total</w:t>
            </w:r>
          </w:p>
        </w:tc>
        <w:tc>
          <w:tcPr>
            <w:tcW w:w="1485" w:type="dxa"/>
            <w:tcBorders>
              <w:top w:val="single" w:sz="4" w:space="0" w:color="auto"/>
              <w:bottom w:val="single" w:sz="12" w:space="0" w:color="auto"/>
            </w:tcBorders>
            <w:shd w:val="clear" w:color="auto" w:fill="auto"/>
            <w:vAlign w:val="bottom"/>
          </w:tcPr>
          <w:p w14:paraId="21AD10BE" w14:textId="77777777" w:rsidR="00744544" w:rsidRPr="00A66C9F" w:rsidRDefault="00744544" w:rsidP="00107D5D">
            <w:pPr>
              <w:keepNext/>
              <w:keepLines/>
              <w:tabs>
                <w:tab w:val="left" w:pos="288"/>
                <w:tab w:val="left" w:pos="576"/>
                <w:tab w:val="left" w:pos="864"/>
                <w:tab w:val="left" w:pos="1152"/>
              </w:tabs>
              <w:suppressAutoHyphens/>
              <w:spacing w:before="81" w:after="81" w:line="210" w:lineRule="exact"/>
              <w:ind w:right="43"/>
              <w:jc w:val="right"/>
              <w:rPr>
                <w:b/>
                <w:sz w:val="17"/>
                <w:szCs w:val="17"/>
                <w:lang w:val="fr-FR"/>
              </w:rPr>
            </w:pPr>
            <w:r w:rsidRPr="00A66C9F">
              <w:rPr>
                <w:b/>
                <w:sz w:val="17"/>
                <w:lang w:val="fr-FR"/>
              </w:rPr>
              <w:t xml:space="preserve"> </w:t>
            </w:r>
            <w:r w:rsidRPr="00A66C9F">
              <w:rPr>
                <w:b/>
                <w:bCs/>
                <w:sz w:val="17"/>
                <w:lang w:val="fr-FR"/>
              </w:rPr>
              <w:t>103 989</w:t>
            </w:r>
            <w:r w:rsidRPr="00A66C9F">
              <w:rPr>
                <w:b/>
                <w:sz w:val="17"/>
                <w:lang w:val="fr-FR"/>
              </w:rPr>
              <w:t xml:space="preserve"> </w:t>
            </w:r>
          </w:p>
        </w:tc>
        <w:tc>
          <w:tcPr>
            <w:tcW w:w="1515" w:type="dxa"/>
            <w:tcBorders>
              <w:top w:val="single" w:sz="4" w:space="0" w:color="auto"/>
              <w:bottom w:val="single" w:sz="12" w:space="0" w:color="auto"/>
            </w:tcBorders>
            <w:shd w:val="clear" w:color="auto" w:fill="auto"/>
            <w:vAlign w:val="bottom"/>
          </w:tcPr>
          <w:p w14:paraId="0767FF20" w14:textId="77777777" w:rsidR="00744544" w:rsidRPr="00A66C9F" w:rsidRDefault="00744544" w:rsidP="00107D5D">
            <w:pPr>
              <w:keepNext/>
              <w:keepLines/>
              <w:tabs>
                <w:tab w:val="left" w:pos="288"/>
                <w:tab w:val="left" w:pos="576"/>
                <w:tab w:val="left" w:pos="864"/>
                <w:tab w:val="left" w:pos="1152"/>
              </w:tabs>
              <w:suppressAutoHyphens/>
              <w:spacing w:before="81" w:after="81" w:line="210" w:lineRule="exact"/>
              <w:ind w:right="43"/>
              <w:jc w:val="right"/>
              <w:rPr>
                <w:b/>
                <w:sz w:val="17"/>
                <w:szCs w:val="17"/>
                <w:lang w:val="fr-FR"/>
              </w:rPr>
            </w:pPr>
            <w:r w:rsidRPr="00A66C9F">
              <w:rPr>
                <w:b/>
                <w:sz w:val="17"/>
                <w:lang w:val="fr-FR"/>
              </w:rPr>
              <w:t xml:space="preserve"> </w:t>
            </w:r>
            <w:r w:rsidRPr="00A66C9F">
              <w:rPr>
                <w:b/>
                <w:bCs/>
                <w:sz w:val="17"/>
                <w:lang w:val="fr-FR"/>
              </w:rPr>
              <w:t>87 891</w:t>
            </w:r>
            <w:r w:rsidRPr="00A66C9F">
              <w:rPr>
                <w:b/>
                <w:sz w:val="17"/>
                <w:lang w:val="fr-FR"/>
              </w:rPr>
              <w:t xml:space="preserve"> </w:t>
            </w:r>
          </w:p>
        </w:tc>
      </w:tr>
    </w:tbl>
    <w:p w14:paraId="6304C78C" w14:textId="77777777" w:rsidR="00744544" w:rsidRPr="00A66C9F" w:rsidRDefault="00744544" w:rsidP="00744544">
      <w:pPr>
        <w:pStyle w:val="SingleTxt"/>
        <w:spacing w:after="0" w:line="120" w:lineRule="exact"/>
        <w:rPr>
          <w:sz w:val="10"/>
          <w:lang w:val="fr-FR"/>
        </w:rPr>
      </w:pPr>
    </w:p>
    <w:p w14:paraId="49682132" w14:textId="77777777" w:rsidR="00744544" w:rsidRPr="00A66C9F" w:rsidRDefault="00744544" w:rsidP="00744544">
      <w:pPr>
        <w:pStyle w:val="SingleTxt"/>
        <w:spacing w:after="0" w:line="120" w:lineRule="exact"/>
        <w:rPr>
          <w:sz w:val="10"/>
          <w:lang w:val="fr-FR"/>
        </w:rPr>
      </w:pPr>
    </w:p>
    <w:p w14:paraId="3ACE651D" w14:textId="77777777" w:rsidR="00744544" w:rsidRPr="00A66C9F" w:rsidRDefault="00744544" w:rsidP="00744544">
      <w:pPr>
        <w:pStyle w:val="SingleTxt"/>
        <w:spacing w:after="0" w:line="120" w:lineRule="exact"/>
        <w:rPr>
          <w:sz w:val="10"/>
          <w:lang w:val="fr-FR"/>
        </w:rPr>
      </w:pPr>
    </w:p>
    <w:p w14:paraId="1B09DD3C" w14:textId="77777777" w:rsidR="00744544" w:rsidRPr="00A66C9F" w:rsidRDefault="00744544" w:rsidP="0074454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Assurance maladie après la cessation de service, congé annuel et prime de rapatriement</w:t>
      </w:r>
    </w:p>
    <w:p w14:paraId="6478F626" w14:textId="77777777" w:rsidR="00744544" w:rsidRPr="00A66C9F" w:rsidRDefault="00744544" w:rsidP="00744544">
      <w:pPr>
        <w:pStyle w:val="SingleTxt"/>
        <w:spacing w:after="0" w:line="120" w:lineRule="exact"/>
        <w:rPr>
          <w:sz w:val="10"/>
          <w:lang w:val="fr-FR"/>
        </w:rPr>
      </w:pPr>
    </w:p>
    <w:p w14:paraId="0F880838" w14:textId="77777777" w:rsidR="00744544" w:rsidRPr="00A66C9F" w:rsidRDefault="00744544" w:rsidP="00753AB8">
      <w:pPr>
        <w:pStyle w:val="SingleTxt"/>
        <w:numPr>
          <w:ilvl w:val="0"/>
          <w:numId w:val="18"/>
        </w:numPr>
        <w:spacing w:line="240" w:lineRule="exact"/>
        <w:rPr>
          <w:szCs w:val="20"/>
          <w:lang w:val="fr-FR"/>
        </w:rPr>
      </w:pPr>
      <w:r w:rsidRPr="00A66C9F">
        <w:rPr>
          <w:lang w:val="fr-FR"/>
        </w:rPr>
        <w:t>La Caisse assure à ceux de ses employés qui remplissent certaines conditions les prestations liées à la cessation de service qui suivent :</w:t>
      </w:r>
    </w:p>
    <w:p w14:paraId="70AFFBD8" w14:textId="77777777" w:rsidR="00744544" w:rsidRPr="00A66C9F" w:rsidRDefault="00744544" w:rsidP="00744544">
      <w:pPr>
        <w:pStyle w:val="SingleTxt"/>
        <w:tabs>
          <w:tab w:val="right" w:pos="1685"/>
        </w:tabs>
        <w:ind w:left="1742" w:hanging="475"/>
        <w:rPr>
          <w:lang w:val="fr-FR"/>
        </w:rPr>
      </w:pPr>
      <w:r w:rsidRPr="00A66C9F">
        <w:rPr>
          <w:lang w:val="fr-FR"/>
        </w:rPr>
        <w:tab/>
        <w:t>•</w:t>
      </w:r>
      <w:r w:rsidRPr="00A66C9F">
        <w:rPr>
          <w:lang w:val="fr-FR"/>
        </w:rPr>
        <w:tab/>
        <w:t>Assurance maladie après le départ à la retraite, dénommée « assurance maladie après la cessation de service » ;</w:t>
      </w:r>
    </w:p>
    <w:p w14:paraId="2A5D93D1" w14:textId="77777777" w:rsidR="00744544" w:rsidRPr="00A66C9F" w:rsidRDefault="00744544" w:rsidP="00744544">
      <w:pPr>
        <w:pStyle w:val="SingleTxt"/>
        <w:tabs>
          <w:tab w:val="right" w:pos="1685"/>
        </w:tabs>
        <w:ind w:left="1742" w:hanging="475"/>
        <w:rPr>
          <w:lang w:val="fr-FR"/>
        </w:rPr>
      </w:pPr>
      <w:r w:rsidRPr="00A66C9F">
        <w:rPr>
          <w:lang w:val="fr-FR"/>
        </w:rPr>
        <w:tab/>
        <w:t>•</w:t>
      </w:r>
      <w:r w:rsidRPr="00A66C9F">
        <w:rPr>
          <w:lang w:val="fr-FR"/>
        </w:rPr>
        <w:tab/>
        <w:t>Prestations liées au rapatriement, destinées à faciliter la réinstallation des fonctionnaires expatriés ;</w:t>
      </w:r>
    </w:p>
    <w:p w14:paraId="62FC86A0" w14:textId="77777777" w:rsidR="00744544" w:rsidRPr="00A66C9F" w:rsidRDefault="00744544" w:rsidP="00744544">
      <w:pPr>
        <w:pStyle w:val="SingleTxt"/>
        <w:tabs>
          <w:tab w:val="right" w:pos="1685"/>
        </w:tabs>
        <w:ind w:left="1742" w:hanging="475"/>
        <w:rPr>
          <w:szCs w:val="24"/>
          <w:lang w:val="fr-FR"/>
        </w:rPr>
      </w:pPr>
      <w:r w:rsidRPr="00A66C9F">
        <w:rPr>
          <w:lang w:val="fr-FR"/>
        </w:rPr>
        <w:tab/>
        <w:t>•</w:t>
      </w:r>
      <w:r w:rsidRPr="00A66C9F">
        <w:rPr>
          <w:lang w:val="fr-FR"/>
        </w:rPr>
        <w:tab/>
        <w:t>Prestations de congé annuel, destinées à permettre aux fonctionnaires de s’absenter (avec traitement plein) pour convenance personnelle ou pour s’occuper de leur santé, se reposer ou se détendre. À la cessation de service, les fonctionnaires ont droit au paiement des jours de congé annuel qu’ils ont accumulés, à concurrence de 60 jours.</w:t>
      </w:r>
    </w:p>
    <w:p w14:paraId="0CC58FD4" w14:textId="77777777" w:rsidR="00744544" w:rsidRPr="00A66C9F" w:rsidRDefault="00744544" w:rsidP="00753AB8">
      <w:pPr>
        <w:pStyle w:val="SingleTxt"/>
        <w:numPr>
          <w:ilvl w:val="0"/>
          <w:numId w:val="18"/>
        </w:numPr>
        <w:spacing w:line="240" w:lineRule="exact"/>
        <w:rPr>
          <w:szCs w:val="20"/>
          <w:lang w:val="fr-FR"/>
        </w:rPr>
      </w:pPr>
      <w:r w:rsidRPr="00A66C9F">
        <w:rPr>
          <w:lang w:val="fr-FR"/>
        </w:rPr>
        <w:t>Les engagements au 31 décembre 2019 ont été calculés en reportant à cette date les engagements au titre des prestations dues à la cessation de service tels qu’arrêtés au 31 décembre 2018 par l’actuaire-conseil. Les données ci-après ont également été utilisées :</w:t>
      </w:r>
    </w:p>
    <w:p w14:paraId="122B7A7B" w14:textId="77777777" w:rsidR="00744544" w:rsidRPr="00A66C9F" w:rsidRDefault="00744544" w:rsidP="00744544">
      <w:pPr>
        <w:pStyle w:val="SingleTxt"/>
        <w:tabs>
          <w:tab w:val="right" w:pos="1685"/>
        </w:tabs>
        <w:ind w:left="1742" w:hanging="475"/>
        <w:rPr>
          <w:lang w:val="fr-FR"/>
        </w:rPr>
      </w:pPr>
      <w:r w:rsidRPr="00A66C9F">
        <w:rPr>
          <w:lang w:val="fr-FR"/>
        </w:rPr>
        <w:tab/>
        <w:t>•</w:t>
      </w:r>
      <w:r w:rsidRPr="00A66C9F">
        <w:rPr>
          <w:lang w:val="fr-FR"/>
        </w:rPr>
        <w:tab/>
        <w:t>Données sur les primes et cotisations d’assurance maladie communiquées par l’ONU ;</w:t>
      </w:r>
    </w:p>
    <w:p w14:paraId="29067895" w14:textId="77777777" w:rsidR="00744544" w:rsidRPr="00A66C9F" w:rsidRDefault="00744544" w:rsidP="00744544">
      <w:pPr>
        <w:pStyle w:val="SingleTxt"/>
        <w:tabs>
          <w:tab w:val="right" w:pos="1685"/>
        </w:tabs>
        <w:ind w:left="1742" w:hanging="475"/>
        <w:rPr>
          <w:lang w:val="fr-FR"/>
        </w:rPr>
      </w:pPr>
      <w:r w:rsidRPr="00A66C9F">
        <w:rPr>
          <w:lang w:val="fr-FR"/>
        </w:rPr>
        <w:tab/>
        <w:t>•</w:t>
      </w:r>
      <w:r w:rsidRPr="00A66C9F">
        <w:rPr>
          <w:lang w:val="fr-FR"/>
        </w:rPr>
        <w:tab/>
        <w:t>Données sur les sommes effectivement remboursées aux retraités dans le cadre de régimes d’assurance maladie ;</w:t>
      </w:r>
    </w:p>
    <w:p w14:paraId="784CB2EF" w14:textId="77777777" w:rsidR="00744544" w:rsidRPr="00A66C9F" w:rsidRDefault="00744544" w:rsidP="00744544">
      <w:pPr>
        <w:pStyle w:val="SingleTxt"/>
        <w:tabs>
          <w:tab w:val="right" w:pos="1685"/>
        </w:tabs>
        <w:ind w:left="1742" w:hanging="475"/>
        <w:rPr>
          <w:lang w:val="fr-FR"/>
        </w:rPr>
      </w:pPr>
      <w:r w:rsidRPr="00A66C9F">
        <w:rPr>
          <w:lang w:val="fr-FR"/>
        </w:rPr>
        <w:tab/>
        <w:t>•</w:t>
      </w:r>
      <w:r w:rsidRPr="00A66C9F">
        <w:rPr>
          <w:lang w:val="fr-FR"/>
        </w:rPr>
        <w:tab/>
        <w:t>Estimation des frais de voyage et de déménagement, ainsi que des reliquats de congé annuel, accompagnant les données démographiques communiquées par l’ONU ;</w:t>
      </w:r>
    </w:p>
    <w:p w14:paraId="31796D9E" w14:textId="77777777" w:rsidR="00744544" w:rsidRPr="00A66C9F" w:rsidRDefault="00744544" w:rsidP="00744544">
      <w:pPr>
        <w:pStyle w:val="SingleTxt"/>
        <w:tabs>
          <w:tab w:val="right" w:pos="1685"/>
        </w:tabs>
        <w:ind w:left="1742" w:hanging="475"/>
        <w:rPr>
          <w:lang w:val="fr-FR"/>
        </w:rPr>
      </w:pPr>
      <w:r w:rsidRPr="00A66C9F">
        <w:rPr>
          <w:lang w:val="fr-FR"/>
        </w:rPr>
        <w:tab/>
        <w:t>•</w:t>
      </w:r>
      <w:r w:rsidRPr="00A66C9F">
        <w:rPr>
          <w:lang w:val="fr-FR"/>
        </w:rPr>
        <w:tab/>
        <w:t>Diverses hypothèses économiques, démographiques et autres hypothèses actuarielles ;</w:t>
      </w:r>
    </w:p>
    <w:p w14:paraId="1A6F045E" w14:textId="77777777" w:rsidR="00744544" w:rsidRPr="00A66C9F" w:rsidRDefault="00744544" w:rsidP="00744544">
      <w:pPr>
        <w:pStyle w:val="SingleTxt"/>
        <w:tabs>
          <w:tab w:val="right" w:pos="1685"/>
        </w:tabs>
        <w:ind w:left="1742" w:hanging="475"/>
        <w:rPr>
          <w:szCs w:val="24"/>
          <w:lang w:val="fr-FR"/>
        </w:rPr>
      </w:pPr>
      <w:r w:rsidRPr="00A66C9F">
        <w:rPr>
          <w:lang w:val="fr-FR"/>
        </w:rPr>
        <w:tab/>
        <w:t>•</w:t>
      </w:r>
      <w:r w:rsidRPr="00A66C9F">
        <w:rPr>
          <w:lang w:val="fr-FR"/>
        </w:rPr>
        <w:tab/>
        <w:t>Méthodes et pratiques actuarielles généralement admises.</w:t>
      </w:r>
    </w:p>
    <w:p w14:paraId="300745F1" w14:textId="77777777" w:rsidR="00744544" w:rsidRPr="00A66C9F" w:rsidRDefault="00744544" w:rsidP="00753AB8">
      <w:pPr>
        <w:pStyle w:val="SingleTxt"/>
        <w:numPr>
          <w:ilvl w:val="0"/>
          <w:numId w:val="18"/>
        </w:numPr>
        <w:spacing w:line="240" w:lineRule="exact"/>
        <w:rPr>
          <w:szCs w:val="20"/>
          <w:lang w:val="fr-FR"/>
        </w:rPr>
      </w:pPr>
      <w:r w:rsidRPr="00A66C9F">
        <w:rPr>
          <w:lang w:val="fr-FR"/>
        </w:rPr>
        <w:t>Lors du report des données au 31 décembre 2019, seules les hypothèses financières telles que les taux d’actualisation, l’inflation et le taux tendanciel de variation des frais médicaux ont été revues et actualisées en tant que de besoin. Toutes les autres hypothèses sont restées inchangées par rapport à celles qui avaient été utilisées pour l’évaluation complète arrêtée au 31 décembre 2018.</w:t>
      </w:r>
    </w:p>
    <w:p w14:paraId="22130672" w14:textId="77777777" w:rsidR="00744544" w:rsidRPr="00A66C9F" w:rsidRDefault="00744544" w:rsidP="00753AB8">
      <w:pPr>
        <w:pStyle w:val="SingleTxt"/>
        <w:numPr>
          <w:ilvl w:val="0"/>
          <w:numId w:val="18"/>
        </w:numPr>
        <w:spacing w:line="240" w:lineRule="exact"/>
        <w:rPr>
          <w:szCs w:val="20"/>
          <w:lang w:val="fr-FR"/>
        </w:rPr>
      </w:pPr>
      <w:r w:rsidRPr="00A66C9F">
        <w:rPr>
          <w:lang w:val="fr-FR"/>
        </w:rPr>
        <w:t xml:space="preserve">Les principales hypothèses retenues pour calculer les engagements après la cessation de service sont le taux d’actualisation et le taux tendanciel de variation des frais médicaux. Le taux d’actualisation repose sur le cours au comptant (d’obligations </w:t>
      </w:r>
      <w:r w:rsidRPr="00A66C9F">
        <w:rPr>
          <w:lang w:val="fr-FR"/>
        </w:rPr>
        <w:lastRenderedPageBreak/>
        <w:t>de sociétés de premier rang), qui traduit les attentes du marché au moment des calculs effectués en vue de déterminer les futurs versements prévus. Il s’agit alors du taux unique équivalent qui produirait le même passif que la courbe au comptant complète utilisant les multiples obligations nécessaires pour faire face aux flux de trésorerie futurs.</w:t>
      </w:r>
    </w:p>
    <w:p w14:paraId="4EEAF95D" w14:textId="77777777" w:rsidR="00744544" w:rsidRPr="00A66C9F" w:rsidRDefault="00744544" w:rsidP="00753AB8">
      <w:pPr>
        <w:pStyle w:val="SingleTxt"/>
        <w:numPr>
          <w:ilvl w:val="0"/>
          <w:numId w:val="18"/>
        </w:numPr>
        <w:spacing w:line="240" w:lineRule="exact"/>
        <w:rPr>
          <w:szCs w:val="20"/>
          <w:lang w:val="fr-FR"/>
        </w:rPr>
      </w:pPr>
      <w:r w:rsidRPr="00A66C9F">
        <w:rPr>
          <w:lang w:val="fr-FR"/>
        </w:rPr>
        <w:t>Aux fins des calculs au 31 décembre 2019, la Caisse a retenu un taux unique équivalent pour chaque régime de prestations, comme suit :</w:t>
      </w:r>
    </w:p>
    <w:p w14:paraId="276D363C" w14:textId="77777777" w:rsidR="00744544" w:rsidRPr="00A66C9F" w:rsidRDefault="00744544" w:rsidP="00744544">
      <w:pPr>
        <w:pStyle w:val="SingleTxt"/>
        <w:tabs>
          <w:tab w:val="right" w:pos="1685"/>
        </w:tabs>
        <w:ind w:left="1742" w:hanging="475"/>
        <w:rPr>
          <w:lang w:val="fr-FR"/>
        </w:rPr>
      </w:pPr>
      <w:r w:rsidRPr="00A66C9F">
        <w:rPr>
          <w:lang w:val="fr-FR"/>
        </w:rPr>
        <w:tab/>
        <w:t>•</w:t>
      </w:r>
      <w:r w:rsidRPr="00A66C9F">
        <w:rPr>
          <w:lang w:val="fr-FR"/>
        </w:rPr>
        <w:tab/>
        <w:t>Taux d’actualisation de 2,84 % pour le régime de l’assurance maladie après la cessation de service ;</w:t>
      </w:r>
    </w:p>
    <w:p w14:paraId="23C66049" w14:textId="77777777" w:rsidR="00744544" w:rsidRPr="00A66C9F" w:rsidRDefault="00744544" w:rsidP="00744544">
      <w:pPr>
        <w:pStyle w:val="SingleTxt"/>
        <w:tabs>
          <w:tab w:val="right" w:pos="1685"/>
        </w:tabs>
        <w:ind w:left="1742" w:hanging="475"/>
        <w:rPr>
          <w:lang w:val="fr-FR"/>
        </w:rPr>
      </w:pPr>
      <w:r w:rsidRPr="00A66C9F">
        <w:rPr>
          <w:lang w:val="fr-FR"/>
        </w:rPr>
        <w:tab/>
        <w:t>•</w:t>
      </w:r>
      <w:r w:rsidRPr="00A66C9F">
        <w:rPr>
          <w:lang w:val="fr-FR"/>
        </w:rPr>
        <w:tab/>
        <w:t>Taux d’actualisation de 2,99 % pour les prestations liées au rapatriement ;</w:t>
      </w:r>
    </w:p>
    <w:p w14:paraId="0C6884BF" w14:textId="77777777" w:rsidR="00744544" w:rsidRPr="00A66C9F" w:rsidRDefault="00744544" w:rsidP="00744544">
      <w:pPr>
        <w:pStyle w:val="SingleTxt"/>
        <w:tabs>
          <w:tab w:val="right" w:pos="1685"/>
        </w:tabs>
        <w:ind w:left="1742" w:hanging="475"/>
        <w:rPr>
          <w:szCs w:val="24"/>
          <w:lang w:val="fr-FR"/>
        </w:rPr>
      </w:pPr>
      <w:r w:rsidRPr="00A66C9F">
        <w:rPr>
          <w:lang w:val="fr-FR"/>
        </w:rPr>
        <w:tab/>
        <w:t>•</w:t>
      </w:r>
      <w:r w:rsidRPr="00A66C9F">
        <w:rPr>
          <w:lang w:val="fr-FR"/>
        </w:rPr>
        <w:tab/>
        <w:t>Taux d’actualisation de 2,50 % pour les prestations liées au congé annuel.</w:t>
      </w:r>
    </w:p>
    <w:p w14:paraId="20B95E04" w14:textId="77777777" w:rsidR="00744544" w:rsidRPr="00A66C9F" w:rsidRDefault="00744544" w:rsidP="00753AB8">
      <w:pPr>
        <w:pStyle w:val="SingleTxt"/>
        <w:numPr>
          <w:ilvl w:val="0"/>
          <w:numId w:val="18"/>
        </w:numPr>
        <w:spacing w:line="240" w:lineRule="exact"/>
        <w:rPr>
          <w:szCs w:val="20"/>
          <w:lang w:val="fr-FR"/>
        </w:rPr>
      </w:pPr>
      <w:r w:rsidRPr="00A66C9F">
        <w:rPr>
          <w:lang w:val="fr-FR"/>
        </w:rPr>
        <w:t>Aux fins des calculs au 31 décembre 2018, la Caisse avait retenu un taux unique équivalent pour chaque régime de prestations, comme suit :</w:t>
      </w:r>
    </w:p>
    <w:p w14:paraId="02589600" w14:textId="77777777" w:rsidR="00744544" w:rsidRPr="00A66C9F" w:rsidRDefault="00744544" w:rsidP="00744544">
      <w:pPr>
        <w:pStyle w:val="SingleTxt"/>
        <w:tabs>
          <w:tab w:val="right" w:pos="1685"/>
        </w:tabs>
        <w:ind w:left="1742" w:hanging="475"/>
        <w:rPr>
          <w:lang w:val="fr-FR"/>
        </w:rPr>
      </w:pPr>
      <w:r w:rsidRPr="00A66C9F">
        <w:rPr>
          <w:lang w:val="fr-FR"/>
        </w:rPr>
        <w:tab/>
        <w:t>•</w:t>
      </w:r>
      <w:r w:rsidRPr="00A66C9F">
        <w:rPr>
          <w:lang w:val="fr-FR"/>
        </w:rPr>
        <w:tab/>
        <w:t>Taux d’actualisation de 4,29 % pour le régime de l’assurance maladie après la cessation de service ;</w:t>
      </w:r>
    </w:p>
    <w:p w14:paraId="1B7F299C" w14:textId="77777777" w:rsidR="00744544" w:rsidRPr="00A66C9F" w:rsidRDefault="00744544" w:rsidP="00744544">
      <w:pPr>
        <w:pStyle w:val="SingleTxt"/>
        <w:tabs>
          <w:tab w:val="right" w:pos="1685"/>
        </w:tabs>
        <w:ind w:left="1742" w:hanging="475"/>
        <w:rPr>
          <w:lang w:val="fr-FR"/>
        </w:rPr>
      </w:pPr>
      <w:r w:rsidRPr="00A66C9F">
        <w:rPr>
          <w:lang w:val="fr-FR"/>
        </w:rPr>
        <w:tab/>
        <w:t>•</w:t>
      </w:r>
      <w:r w:rsidRPr="00A66C9F">
        <w:rPr>
          <w:lang w:val="fr-FR"/>
        </w:rPr>
        <w:tab/>
        <w:t>Taux d’actualisation de 4,15 % pour les prestations liées au rapatriement ;</w:t>
      </w:r>
    </w:p>
    <w:p w14:paraId="786C1492" w14:textId="77777777" w:rsidR="00744544" w:rsidRPr="00A66C9F" w:rsidRDefault="00744544" w:rsidP="00744544">
      <w:pPr>
        <w:pStyle w:val="SingleTxt"/>
        <w:tabs>
          <w:tab w:val="right" w:pos="1685"/>
        </w:tabs>
        <w:ind w:left="1742" w:hanging="475"/>
        <w:rPr>
          <w:szCs w:val="24"/>
          <w:lang w:val="fr-FR"/>
        </w:rPr>
      </w:pPr>
      <w:r w:rsidRPr="00A66C9F">
        <w:rPr>
          <w:lang w:val="fr-FR"/>
        </w:rPr>
        <w:tab/>
        <w:t>•</w:t>
      </w:r>
      <w:r w:rsidRPr="00A66C9F">
        <w:rPr>
          <w:lang w:val="fr-FR"/>
        </w:rPr>
        <w:tab/>
        <w:t>Taux d’actualisation de 4,20 % pour les prestations liées au congé annuel.</w:t>
      </w:r>
    </w:p>
    <w:p w14:paraId="655E2025" w14:textId="77777777" w:rsidR="00744544" w:rsidRPr="00A66C9F" w:rsidRDefault="00744544" w:rsidP="00753AB8">
      <w:pPr>
        <w:pStyle w:val="SingleTxt"/>
        <w:numPr>
          <w:ilvl w:val="0"/>
          <w:numId w:val="18"/>
        </w:numPr>
        <w:spacing w:line="240" w:lineRule="exact"/>
        <w:rPr>
          <w:szCs w:val="20"/>
          <w:lang w:val="fr-FR"/>
        </w:rPr>
      </w:pPr>
      <w:r w:rsidRPr="00A66C9F">
        <w:rPr>
          <w:lang w:val="fr-FR"/>
        </w:rPr>
        <w:t>À des fins de comparaison, le tableau ci-dessous indique la variation des charges à payer correspondant à une modification de 0,5 % du taux d’actualisation.</w:t>
      </w:r>
    </w:p>
    <w:p w14:paraId="67041610" w14:textId="77777777" w:rsidR="00744544" w:rsidRPr="00A66C9F" w:rsidRDefault="00744544" w:rsidP="00744544">
      <w:pPr>
        <w:pStyle w:val="SingleTxt"/>
        <w:spacing w:after="0" w:line="120" w:lineRule="exact"/>
        <w:rPr>
          <w:sz w:val="10"/>
          <w:szCs w:val="20"/>
          <w:lang w:val="fr-FR"/>
        </w:rPr>
      </w:pPr>
    </w:p>
    <w:tbl>
      <w:tblPr>
        <w:tblW w:w="4363" w:type="pct"/>
        <w:tblInd w:w="1260" w:type="dxa"/>
        <w:tblLayout w:type="fixed"/>
        <w:tblCellMar>
          <w:left w:w="0" w:type="dxa"/>
          <w:right w:w="0" w:type="dxa"/>
        </w:tblCellMar>
        <w:tblLook w:val="00A0" w:firstRow="1" w:lastRow="0" w:firstColumn="1" w:lastColumn="0" w:noHBand="0" w:noVBand="0"/>
      </w:tblPr>
      <w:tblGrid>
        <w:gridCol w:w="2146"/>
        <w:gridCol w:w="2146"/>
        <w:gridCol w:w="2147"/>
        <w:gridCol w:w="2147"/>
      </w:tblGrid>
      <w:tr w:rsidR="00744544" w:rsidRPr="00A66C9F" w14:paraId="686043B4" w14:textId="77777777" w:rsidTr="00107D5D">
        <w:trPr>
          <w:trHeight w:val="288"/>
          <w:tblHeader/>
        </w:trPr>
        <w:tc>
          <w:tcPr>
            <w:tcW w:w="1250" w:type="pct"/>
            <w:tcBorders>
              <w:top w:val="single" w:sz="4" w:space="0" w:color="auto"/>
              <w:bottom w:val="single" w:sz="12" w:space="0" w:color="auto"/>
            </w:tcBorders>
            <w:shd w:val="clear" w:color="auto" w:fill="auto"/>
            <w:vAlign w:val="bottom"/>
          </w:tcPr>
          <w:p w14:paraId="22CF4FDC" w14:textId="77777777" w:rsidR="00744544" w:rsidRPr="00A66C9F" w:rsidRDefault="00744544" w:rsidP="00107D5D">
            <w:pPr>
              <w:keepNext/>
              <w:keepLines/>
              <w:suppressAutoHyphens/>
              <w:spacing w:before="81" w:after="81" w:line="160" w:lineRule="exact"/>
              <w:ind w:right="40"/>
              <w:rPr>
                <w:bCs/>
                <w:i/>
                <w:iCs/>
                <w:sz w:val="14"/>
                <w:lang w:val="fr-FR"/>
              </w:rPr>
            </w:pPr>
            <w:r w:rsidRPr="00A66C9F">
              <w:rPr>
                <w:i/>
                <w:iCs/>
                <w:sz w:val="14"/>
                <w:lang w:val="fr-FR"/>
              </w:rPr>
              <w:t>Taux d’actualisation</w:t>
            </w:r>
          </w:p>
        </w:tc>
        <w:tc>
          <w:tcPr>
            <w:tcW w:w="1250" w:type="pct"/>
            <w:tcBorders>
              <w:top w:val="single" w:sz="4" w:space="0" w:color="auto"/>
              <w:bottom w:val="single" w:sz="12" w:space="0" w:color="auto"/>
            </w:tcBorders>
            <w:shd w:val="clear" w:color="auto" w:fill="auto"/>
            <w:vAlign w:val="bottom"/>
          </w:tcPr>
          <w:p w14:paraId="063781EB" w14:textId="77777777" w:rsidR="00744544" w:rsidRPr="00A66C9F" w:rsidRDefault="00744544" w:rsidP="00107D5D">
            <w:pPr>
              <w:keepNext/>
              <w:keepLines/>
              <w:suppressAutoHyphens/>
              <w:autoSpaceDE w:val="0"/>
              <w:autoSpaceDN w:val="0"/>
              <w:adjustRightInd w:val="0"/>
              <w:spacing w:before="81" w:after="81" w:line="160" w:lineRule="exact"/>
              <w:ind w:left="144" w:right="43"/>
              <w:rPr>
                <w:bCs/>
                <w:i/>
                <w:iCs/>
                <w:sz w:val="14"/>
                <w:lang w:val="fr-FR"/>
              </w:rPr>
            </w:pPr>
            <w:r w:rsidRPr="00A66C9F">
              <w:rPr>
                <w:i/>
                <w:iCs/>
                <w:sz w:val="14"/>
                <w:lang w:val="fr-FR"/>
              </w:rPr>
              <w:t xml:space="preserve">Assurance maladie </w:t>
            </w:r>
            <w:r w:rsidRPr="00A66C9F">
              <w:rPr>
                <w:i/>
                <w:iCs/>
                <w:sz w:val="14"/>
                <w:lang w:val="fr-FR"/>
              </w:rPr>
              <w:br/>
              <w:t>après la cessation de service</w:t>
            </w:r>
          </w:p>
        </w:tc>
        <w:tc>
          <w:tcPr>
            <w:tcW w:w="1250" w:type="pct"/>
            <w:tcBorders>
              <w:top w:val="single" w:sz="4" w:space="0" w:color="auto"/>
              <w:bottom w:val="single" w:sz="12" w:space="0" w:color="auto"/>
            </w:tcBorders>
            <w:shd w:val="clear" w:color="auto" w:fill="auto"/>
            <w:vAlign w:val="bottom"/>
          </w:tcPr>
          <w:p w14:paraId="1A7FC36E" w14:textId="77777777" w:rsidR="00744544" w:rsidRPr="00A66C9F" w:rsidRDefault="00744544" w:rsidP="00107D5D">
            <w:pPr>
              <w:keepNext/>
              <w:keepLines/>
              <w:suppressAutoHyphens/>
              <w:autoSpaceDE w:val="0"/>
              <w:autoSpaceDN w:val="0"/>
              <w:adjustRightInd w:val="0"/>
              <w:spacing w:before="81" w:after="81" w:line="160" w:lineRule="exact"/>
              <w:ind w:left="144" w:right="43"/>
              <w:rPr>
                <w:bCs/>
                <w:i/>
                <w:iCs/>
                <w:sz w:val="14"/>
                <w:lang w:val="fr-FR"/>
              </w:rPr>
            </w:pPr>
            <w:r w:rsidRPr="00A66C9F">
              <w:rPr>
                <w:i/>
                <w:iCs/>
                <w:sz w:val="14"/>
                <w:lang w:val="fr-FR"/>
              </w:rPr>
              <w:t xml:space="preserve">Prestations liées </w:t>
            </w:r>
            <w:r w:rsidRPr="00A66C9F">
              <w:rPr>
                <w:i/>
                <w:iCs/>
                <w:sz w:val="14"/>
                <w:lang w:val="fr-FR"/>
              </w:rPr>
              <w:br/>
              <w:t>au rapatriement</w:t>
            </w:r>
          </w:p>
        </w:tc>
        <w:tc>
          <w:tcPr>
            <w:tcW w:w="1250" w:type="pct"/>
            <w:tcBorders>
              <w:top w:val="single" w:sz="4" w:space="0" w:color="auto"/>
              <w:bottom w:val="single" w:sz="12" w:space="0" w:color="auto"/>
            </w:tcBorders>
            <w:shd w:val="clear" w:color="auto" w:fill="auto"/>
            <w:vAlign w:val="bottom"/>
          </w:tcPr>
          <w:p w14:paraId="32790923" w14:textId="77777777" w:rsidR="00744544" w:rsidRPr="00A66C9F" w:rsidRDefault="00744544" w:rsidP="00107D5D">
            <w:pPr>
              <w:keepNext/>
              <w:keepLines/>
              <w:suppressAutoHyphens/>
              <w:spacing w:before="81" w:after="81" w:line="160" w:lineRule="exact"/>
              <w:ind w:left="144" w:right="43"/>
              <w:rPr>
                <w:bCs/>
                <w:i/>
                <w:iCs/>
                <w:sz w:val="14"/>
                <w:lang w:val="fr-FR"/>
              </w:rPr>
            </w:pPr>
            <w:r w:rsidRPr="00A66C9F">
              <w:rPr>
                <w:i/>
                <w:iCs/>
                <w:sz w:val="14"/>
                <w:lang w:val="fr-FR"/>
              </w:rPr>
              <w:t>Congé annuel</w:t>
            </w:r>
          </w:p>
        </w:tc>
      </w:tr>
      <w:tr w:rsidR="00744544" w:rsidRPr="00A66C9F" w14:paraId="55FAAEE4" w14:textId="77777777" w:rsidTr="00107D5D">
        <w:trPr>
          <w:trHeight w:hRule="exact" w:val="115"/>
          <w:tblHeader/>
        </w:trPr>
        <w:tc>
          <w:tcPr>
            <w:tcW w:w="1250" w:type="pct"/>
            <w:tcBorders>
              <w:top w:val="single" w:sz="12" w:space="0" w:color="auto"/>
            </w:tcBorders>
            <w:shd w:val="clear" w:color="auto" w:fill="auto"/>
            <w:vAlign w:val="bottom"/>
          </w:tcPr>
          <w:p w14:paraId="50122EE0" w14:textId="77777777" w:rsidR="00744544" w:rsidRPr="00A66C9F" w:rsidRDefault="00744544" w:rsidP="00107D5D">
            <w:pPr>
              <w:keepNext/>
              <w:keepLines/>
              <w:suppressAutoHyphens/>
              <w:spacing w:before="40" w:beforeAutospacing="1" w:after="40" w:afterAutospacing="1" w:line="210" w:lineRule="exact"/>
              <w:ind w:right="40"/>
              <w:rPr>
                <w:sz w:val="17"/>
                <w:lang w:val="fr-FR"/>
              </w:rPr>
            </w:pPr>
          </w:p>
        </w:tc>
        <w:tc>
          <w:tcPr>
            <w:tcW w:w="1250" w:type="pct"/>
            <w:tcBorders>
              <w:top w:val="single" w:sz="12" w:space="0" w:color="auto"/>
            </w:tcBorders>
            <w:shd w:val="clear" w:color="auto" w:fill="auto"/>
            <w:vAlign w:val="bottom"/>
          </w:tcPr>
          <w:p w14:paraId="649D2316" w14:textId="77777777" w:rsidR="00744544" w:rsidRPr="00A66C9F" w:rsidRDefault="00744544" w:rsidP="00107D5D">
            <w:pPr>
              <w:keepNext/>
              <w:keepLines/>
              <w:suppressAutoHyphens/>
              <w:autoSpaceDE w:val="0"/>
              <w:autoSpaceDN w:val="0"/>
              <w:adjustRightInd w:val="0"/>
              <w:spacing w:before="40" w:beforeAutospacing="1" w:after="40" w:afterAutospacing="1" w:line="210" w:lineRule="exact"/>
              <w:ind w:left="144" w:right="43"/>
              <w:rPr>
                <w:sz w:val="17"/>
                <w:lang w:val="fr-FR"/>
              </w:rPr>
            </w:pPr>
          </w:p>
        </w:tc>
        <w:tc>
          <w:tcPr>
            <w:tcW w:w="1250" w:type="pct"/>
            <w:tcBorders>
              <w:top w:val="single" w:sz="12" w:space="0" w:color="auto"/>
            </w:tcBorders>
            <w:shd w:val="clear" w:color="auto" w:fill="auto"/>
            <w:vAlign w:val="bottom"/>
          </w:tcPr>
          <w:p w14:paraId="7B57E96A" w14:textId="77777777" w:rsidR="00744544" w:rsidRPr="00A66C9F" w:rsidRDefault="00744544" w:rsidP="00107D5D">
            <w:pPr>
              <w:keepNext/>
              <w:keepLines/>
              <w:suppressAutoHyphens/>
              <w:autoSpaceDE w:val="0"/>
              <w:autoSpaceDN w:val="0"/>
              <w:adjustRightInd w:val="0"/>
              <w:spacing w:before="40" w:beforeAutospacing="1" w:after="40" w:afterAutospacing="1" w:line="210" w:lineRule="exact"/>
              <w:ind w:left="144" w:right="43"/>
              <w:rPr>
                <w:sz w:val="17"/>
                <w:lang w:val="fr-FR"/>
              </w:rPr>
            </w:pPr>
          </w:p>
        </w:tc>
        <w:tc>
          <w:tcPr>
            <w:tcW w:w="1250" w:type="pct"/>
            <w:tcBorders>
              <w:top w:val="single" w:sz="12" w:space="0" w:color="auto"/>
            </w:tcBorders>
            <w:shd w:val="clear" w:color="auto" w:fill="auto"/>
            <w:vAlign w:val="bottom"/>
          </w:tcPr>
          <w:p w14:paraId="76A29352" w14:textId="77777777" w:rsidR="00744544" w:rsidRPr="00A66C9F" w:rsidRDefault="00744544" w:rsidP="00107D5D">
            <w:pPr>
              <w:keepNext/>
              <w:keepLines/>
              <w:suppressAutoHyphens/>
              <w:autoSpaceDE w:val="0"/>
              <w:autoSpaceDN w:val="0"/>
              <w:adjustRightInd w:val="0"/>
              <w:spacing w:before="40" w:beforeAutospacing="1" w:after="40" w:afterAutospacing="1" w:line="210" w:lineRule="exact"/>
              <w:ind w:left="144" w:right="43"/>
              <w:rPr>
                <w:sz w:val="17"/>
                <w:lang w:val="fr-FR"/>
              </w:rPr>
            </w:pPr>
          </w:p>
        </w:tc>
      </w:tr>
      <w:tr w:rsidR="00744544" w:rsidRPr="00A66C9F" w14:paraId="7681DE24" w14:textId="77777777" w:rsidTr="00107D5D">
        <w:trPr>
          <w:trHeight w:val="288"/>
        </w:trPr>
        <w:tc>
          <w:tcPr>
            <w:tcW w:w="1250" w:type="pct"/>
            <w:shd w:val="clear" w:color="auto" w:fill="auto"/>
            <w:vAlign w:val="bottom"/>
          </w:tcPr>
          <w:p w14:paraId="0D1455A5" w14:textId="77777777" w:rsidR="00744544" w:rsidRPr="00A66C9F" w:rsidRDefault="00744544" w:rsidP="00107D5D">
            <w:pPr>
              <w:keepNext/>
              <w:keepLines/>
              <w:tabs>
                <w:tab w:val="left" w:pos="288"/>
                <w:tab w:val="left" w:pos="576"/>
                <w:tab w:val="left" w:pos="864"/>
                <w:tab w:val="left" w:pos="1152"/>
              </w:tabs>
              <w:suppressAutoHyphens/>
              <w:spacing w:before="40" w:after="80"/>
              <w:ind w:right="40"/>
              <w:rPr>
                <w:szCs w:val="20"/>
                <w:lang w:val="fr-FR"/>
              </w:rPr>
            </w:pPr>
            <w:r w:rsidRPr="00A66C9F">
              <w:rPr>
                <w:szCs w:val="20"/>
                <w:lang w:val="fr-FR"/>
              </w:rPr>
              <w:t>Relèvement de 0,5 %</w:t>
            </w:r>
          </w:p>
        </w:tc>
        <w:tc>
          <w:tcPr>
            <w:tcW w:w="1250" w:type="pct"/>
            <w:shd w:val="clear" w:color="auto" w:fill="auto"/>
            <w:vAlign w:val="bottom"/>
          </w:tcPr>
          <w:p w14:paraId="6026553C" w14:textId="77777777" w:rsidR="00744544" w:rsidRPr="00A66C9F" w:rsidRDefault="00744544" w:rsidP="00107D5D">
            <w:pPr>
              <w:keepNext/>
              <w:keepLines/>
              <w:tabs>
                <w:tab w:val="left" w:pos="288"/>
                <w:tab w:val="left" w:pos="576"/>
                <w:tab w:val="left" w:pos="864"/>
                <w:tab w:val="left" w:pos="1152"/>
              </w:tabs>
              <w:suppressAutoHyphens/>
              <w:autoSpaceDE w:val="0"/>
              <w:autoSpaceDN w:val="0"/>
              <w:adjustRightInd w:val="0"/>
              <w:spacing w:before="40" w:after="80"/>
              <w:ind w:left="144" w:right="43"/>
              <w:rPr>
                <w:szCs w:val="20"/>
                <w:lang w:val="fr-FR"/>
              </w:rPr>
            </w:pPr>
            <w:r w:rsidRPr="00A66C9F">
              <w:rPr>
                <w:szCs w:val="20"/>
                <w:lang w:val="fr-FR"/>
              </w:rPr>
              <w:t>Baisse de 11 %</w:t>
            </w:r>
          </w:p>
        </w:tc>
        <w:tc>
          <w:tcPr>
            <w:tcW w:w="1250" w:type="pct"/>
            <w:shd w:val="clear" w:color="auto" w:fill="auto"/>
            <w:vAlign w:val="bottom"/>
          </w:tcPr>
          <w:p w14:paraId="39A0C4C6" w14:textId="77777777" w:rsidR="00744544" w:rsidRPr="00A66C9F" w:rsidRDefault="00744544" w:rsidP="00107D5D">
            <w:pPr>
              <w:keepNext/>
              <w:keepLines/>
              <w:tabs>
                <w:tab w:val="left" w:pos="288"/>
                <w:tab w:val="left" w:pos="576"/>
                <w:tab w:val="left" w:pos="864"/>
                <w:tab w:val="left" w:pos="1152"/>
              </w:tabs>
              <w:suppressAutoHyphens/>
              <w:autoSpaceDE w:val="0"/>
              <w:autoSpaceDN w:val="0"/>
              <w:adjustRightInd w:val="0"/>
              <w:spacing w:before="40" w:after="80"/>
              <w:ind w:left="144" w:right="43"/>
              <w:rPr>
                <w:szCs w:val="20"/>
                <w:lang w:val="fr-FR"/>
              </w:rPr>
            </w:pPr>
            <w:r w:rsidRPr="00A66C9F">
              <w:rPr>
                <w:szCs w:val="20"/>
                <w:lang w:val="fr-FR"/>
              </w:rPr>
              <w:t>Baisse de 4 %</w:t>
            </w:r>
          </w:p>
        </w:tc>
        <w:tc>
          <w:tcPr>
            <w:tcW w:w="1250" w:type="pct"/>
            <w:shd w:val="clear" w:color="auto" w:fill="auto"/>
            <w:vAlign w:val="bottom"/>
          </w:tcPr>
          <w:p w14:paraId="67A9C1EF" w14:textId="77777777" w:rsidR="00744544" w:rsidRPr="00A66C9F" w:rsidRDefault="00744544" w:rsidP="00107D5D">
            <w:pPr>
              <w:keepNext/>
              <w:keepLines/>
              <w:tabs>
                <w:tab w:val="left" w:pos="288"/>
                <w:tab w:val="left" w:pos="576"/>
                <w:tab w:val="left" w:pos="864"/>
                <w:tab w:val="left" w:pos="1152"/>
              </w:tabs>
              <w:suppressAutoHyphens/>
              <w:autoSpaceDE w:val="0"/>
              <w:autoSpaceDN w:val="0"/>
              <w:adjustRightInd w:val="0"/>
              <w:spacing w:before="40" w:after="80"/>
              <w:ind w:left="144" w:right="43"/>
              <w:rPr>
                <w:szCs w:val="20"/>
                <w:lang w:val="fr-FR"/>
              </w:rPr>
            </w:pPr>
            <w:r w:rsidRPr="00A66C9F">
              <w:rPr>
                <w:szCs w:val="20"/>
                <w:lang w:val="fr-FR"/>
              </w:rPr>
              <w:t>Baisse de 4 %</w:t>
            </w:r>
          </w:p>
        </w:tc>
      </w:tr>
      <w:tr w:rsidR="00744544" w:rsidRPr="00A66C9F" w14:paraId="0E6417C5" w14:textId="77777777" w:rsidTr="00107D5D">
        <w:trPr>
          <w:trHeight w:val="288"/>
        </w:trPr>
        <w:tc>
          <w:tcPr>
            <w:tcW w:w="1250" w:type="pct"/>
            <w:tcBorders>
              <w:bottom w:val="single" w:sz="12" w:space="0" w:color="auto"/>
            </w:tcBorders>
            <w:shd w:val="clear" w:color="auto" w:fill="auto"/>
            <w:vAlign w:val="bottom"/>
          </w:tcPr>
          <w:p w14:paraId="6F33EFA1" w14:textId="77777777" w:rsidR="00744544" w:rsidRPr="00A66C9F" w:rsidRDefault="00744544" w:rsidP="00107D5D">
            <w:pPr>
              <w:keepNext/>
              <w:keepLines/>
              <w:tabs>
                <w:tab w:val="left" w:pos="288"/>
                <w:tab w:val="left" w:pos="576"/>
                <w:tab w:val="left" w:pos="864"/>
                <w:tab w:val="left" w:pos="1152"/>
              </w:tabs>
              <w:suppressAutoHyphens/>
              <w:autoSpaceDE w:val="0"/>
              <w:autoSpaceDN w:val="0"/>
              <w:adjustRightInd w:val="0"/>
              <w:spacing w:before="40" w:after="80"/>
              <w:ind w:right="40"/>
              <w:rPr>
                <w:szCs w:val="20"/>
                <w:lang w:val="fr-FR"/>
              </w:rPr>
            </w:pPr>
            <w:r w:rsidRPr="00A66C9F">
              <w:rPr>
                <w:szCs w:val="20"/>
                <w:lang w:val="fr-FR"/>
              </w:rPr>
              <w:t>Réduction de 0,5 %</w:t>
            </w:r>
          </w:p>
        </w:tc>
        <w:tc>
          <w:tcPr>
            <w:tcW w:w="1250" w:type="pct"/>
            <w:tcBorders>
              <w:bottom w:val="single" w:sz="12" w:space="0" w:color="auto"/>
            </w:tcBorders>
            <w:shd w:val="clear" w:color="auto" w:fill="auto"/>
            <w:vAlign w:val="bottom"/>
          </w:tcPr>
          <w:p w14:paraId="367CEAB3" w14:textId="77777777" w:rsidR="00744544" w:rsidRPr="00A66C9F" w:rsidRDefault="00744544" w:rsidP="00107D5D">
            <w:pPr>
              <w:keepNext/>
              <w:keepLines/>
              <w:tabs>
                <w:tab w:val="left" w:pos="288"/>
                <w:tab w:val="left" w:pos="576"/>
                <w:tab w:val="left" w:pos="864"/>
                <w:tab w:val="left" w:pos="1152"/>
              </w:tabs>
              <w:suppressAutoHyphens/>
              <w:autoSpaceDE w:val="0"/>
              <w:autoSpaceDN w:val="0"/>
              <w:adjustRightInd w:val="0"/>
              <w:spacing w:before="40" w:after="80"/>
              <w:ind w:left="144" w:right="43"/>
              <w:rPr>
                <w:szCs w:val="20"/>
                <w:lang w:val="fr-FR"/>
              </w:rPr>
            </w:pPr>
            <w:r w:rsidRPr="00A66C9F">
              <w:rPr>
                <w:szCs w:val="20"/>
                <w:lang w:val="fr-FR"/>
              </w:rPr>
              <w:t>Hausse de 13 %</w:t>
            </w:r>
          </w:p>
        </w:tc>
        <w:tc>
          <w:tcPr>
            <w:tcW w:w="1250" w:type="pct"/>
            <w:tcBorders>
              <w:bottom w:val="single" w:sz="12" w:space="0" w:color="auto"/>
            </w:tcBorders>
            <w:shd w:val="clear" w:color="auto" w:fill="auto"/>
            <w:vAlign w:val="bottom"/>
          </w:tcPr>
          <w:p w14:paraId="7144AE90" w14:textId="77777777" w:rsidR="00744544" w:rsidRPr="00A66C9F" w:rsidRDefault="00744544" w:rsidP="00107D5D">
            <w:pPr>
              <w:keepNext/>
              <w:keepLines/>
              <w:tabs>
                <w:tab w:val="left" w:pos="288"/>
                <w:tab w:val="left" w:pos="576"/>
                <w:tab w:val="left" w:pos="864"/>
                <w:tab w:val="left" w:pos="1152"/>
              </w:tabs>
              <w:suppressAutoHyphens/>
              <w:autoSpaceDE w:val="0"/>
              <w:autoSpaceDN w:val="0"/>
              <w:adjustRightInd w:val="0"/>
              <w:spacing w:before="40" w:after="80"/>
              <w:ind w:left="144" w:right="43"/>
              <w:rPr>
                <w:szCs w:val="20"/>
                <w:lang w:val="fr-FR"/>
              </w:rPr>
            </w:pPr>
            <w:r w:rsidRPr="00A66C9F">
              <w:rPr>
                <w:szCs w:val="20"/>
                <w:lang w:val="fr-FR"/>
              </w:rPr>
              <w:t>Hausse de 4 %</w:t>
            </w:r>
          </w:p>
        </w:tc>
        <w:tc>
          <w:tcPr>
            <w:tcW w:w="1250" w:type="pct"/>
            <w:tcBorders>
              <w:bottom w:val="single" w:sz="12" w:space="0" w:color="auto"/>
            </w:tcBorders>
            <w:shd w:val="clear" w:color="auto" w:fill="auto"/>
            <w:vAlign w:val="bottom"/>
          </w:tcPr>
          <w:p w14:paraId="72E9CCD6" w14:textId="77777777" w:rsidR="00744544" w:rsidRPr="00A66C9F" w:rsidRDefault="00744544" w:rsidP="00107D5D">
            <w:pPr>
              <w:keepNext/>
              <w:keepLines/>
              <w:tabs>
                <w:tab w:val="left" w:pos="288"/>
                <w:tab w:val="left" w:pos="576"/>
                <w:tab w:val="left" w:pos="864"/>
                <w:tab w:val="left" w:pos="1152"/>
              </w:tabs>
              <w:suppressAutoHyphens/>
              <w:autoSpaceDE w:val="0"/>
              <w:autoSpaceDN w:val="0"/>
              <w:adjustRightInd w:val="0"/>
              <w:spacing w:before="40" w:after="80"/>
              <w:ind w:left="144" w:right="43"/>
              <w:rPr>
                <w:szCs w:val="20"/>
                <w:lang w:val="fr-FR"/>
              </w:rPr>
            </w:pPr>
            <w:r w:rsidRPr="00A66C9F">
              <w:rPr>
                <w:szCs w:val="20"/>
                <w:lang w:val="fr-FR"/>
              </w:rPr>
              <w:t>Hausse de 4 %</w:t>
            </w:r>
          </w:p>
        </w:tc>
      </w:tr>
    </w:tbl>
    <w:p w14:paraId="30F094F1" w14:textId="77777777" w:rsidR="00744544" w:rsidRPr="00A66C9F" w:rsidRDefault="00744544" w:rsidP="00744544">
      <w:pPr>
        <w:pStyle w:val="SingleTxt"/>
        <w:spacing w:after="0" w:line="120" w:lineRule="exact"/>
        <w:rPr>
          <w:sz w:val="10"/>
          <w:lang w:val="fr-FR"/>
        </w:rPr>
      </w:pPr>
    </w:p>
    <w:p w14:paraId="188EBA1E" w14:textId="77777777" w:rsidR="00744544" w:rsidRPr="00A66C9F" w:rsidRDefault="00744544" w:rsidP="00744544">
      <w:pPr>
        <w:pStyle w:val="SingleTxt"/>
        <w:spacing w:after="0" w:line="120" w:lineRule="exact"/>
        <w:rPr>
          <w:sz w:val="10"/>
          <w:lang w:val="fr-FR"/>
        </w:rPr>
      </w:pPr>
    </w:p>
    <w:p w14:paraId="3686DF33" w14:textId="77777777" w:rsidR="00744544" w:rsidRPr="00A66C9F" w:rsidRDefault="00744544" w:rsidP="00753AB8">
      <w:pPr>
        <w:pStyle w:val="SingleTxt"/>
        <w:numPr>
          <w:ilvl w:val="0"/>
          <w:numId w:val="18"/>
        </w:numPr>
        <w:spacing w:line="240" w:lineRule="exact"/>
        <w:rPr>
          <w:szCs w:val="20"/>
          <w:lang w:val="fr-FR"/>
        </w:rPr>
      </w:pPr>
      <w:r w:rsidRPr="00A66C9F">
        <w:rPr>
          <w:lang w:val="fr-FR"/>
        </w:rPr>
        <w:t>Les taux d’évolution tendanciels des frais médicaux sont les suivants :</w:t>
      </w:r>
    </w:p>
    <w:p w14:paraId="6F2D7A3F" w14:textId="77777777" w:rsidR="00744544" w:rsidRPr="00A66C9F" w:rsidRDefault="00744544" w:rsidP="00744544">
      <w:pPr>
        <w:pStyle w:val="SingleTxt"/>
        <w:spacing w:after="0" w:line="120" w:lineRule="exact"/>
        <w:rPr>
          <w:sz w:val="10"/>
          <w:lang w:val="fr-FR"/>
        </w:rPr>
      </w:pPr>
    </w:p>
    <w:tbl>
      <w:tblPr>
        <w:tblStyle w:val="TableGrid1"/>
        <w:tblW w:w="8586"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62"/>
        <w:gridCol w:w="2862"/>
        <w:gridCol w:w="2862"/>
      </w:tblGrid>
      <w:tr w:rsidR="00744544" w:rsidRPr="00A66C9F" w14:paraId="56DE3C46" w14:textId="77777777" w:rsidTr="00107D5D">
        <w:trPr>
          <w:tblHeader/>
        </w:trPr>
        <w:tc>
          <w:tcPr>
            <w:tcW w:w="2862" w:type="dxa"/>
            <w:tcBorders>
              <w:top w:val="single" w:sz="4" w:space="0" w:color="auto"/>
              <w:bottom w:val="single" w:sz="12" w:space="0" w:color="auto"/>
            </w:tcBorders>
            <w:shd w:val="clear" w:color="auto" w:fill="auto"/>
          </w:tcPr>
          <w:p w14:paraId="3EB7B11B" w14:textId="77777777" w:rsidR="00744544" w:rsidRPr="00A66C9F" w:rsidRDefault="00744544" w:rsidP="00107D5D">
            <w:pPr>
              <w:suppressAutoHyphens/>
              <w:spacing w:before="81" w:after="81" w:line="160" w:lineRule="exact"/>
              <w:ind w:right="40"/>
              <w:rPr>
                <w:bCs/>
                <w:i/>
                <w:iCs/>
                <w:sz w:val="14"/>
                <w:lang w:val="fr-FR"/>
              </w:rPr>
            </w:pPr>
          </w:p>
        </w:tc>
        <w:tc>
          <w:tcPr>
            <w:tcW w:w="2862" w:type="dxa"/>
            <w:tcBorders>
              <w:top w:val="single" w:sz="4" w:space="0" w:color="auto"/>
              <w:bottom w:val="single" w:sz="12" w:space="0" w:color="auto"/>
            </w:tcBorders>
            <w:shd w:val="clear" w:color="auto" w:fill="auto"/>
            <w:vAlign w:val="bottom"/>
          </w:tcPr>
          <w:p w14:paraId="28123A24" w14:textId="77777777" w:rsidR="00744544" w:rsidRPr="00A66C9F" w:rsidDel="005F43B7" w:rsidRDefault="00744544" w:rsidP="00107D5D">
            <w:pPr>
              <w:suppressAutoHyphens/>
              <w:spacing w:before="81" w:after="81" w:line="160" w:lineRule="exact"/>
              <w:ind w:left="144" w:right="43"/>
              <w:rPr>
                <w:bCs/>
                <w:i/>
                <w:iCs/>
                <w:sz w:val="14"/>
                <w:lang w:val="fr-FR"/>
              </w:rPr>
            </w:pPr>
            <w:r w:rsidRPr="00A66C9F">
              <w:rPr>
                <w:i/>
                <w:iCs/>
                <w:sz w:val="14"/>
                <w:lang w:val="fr-FR"/>
              </w:rPr>
              <w:t>Au 31 décembre 2019</w:t>
            </w:r>
          </w:p>
        </w:tc>
        <w:tc>
          <w:tcPr>
            <w:tcW w:w="2862" w:type="dxa"/>
            <w:tcBorders>
              <w:top w:val="single" w:sz="4" w:space="0" w:color="auto"/>
              <w:bottom w:val="single" w:sz="12" w:space="0" w:color="auto"/>
            </w:tcBorders>
            <w:shd w:val="clear" w:color="auto" w:fill="auto"/>
            <w:vAlign w:val="bottom"/>
          </w:tcPr>
          <w:p w14:paraId="5E4D4F0B" w14:textId="77777777" w:rsidR="00744544" w:rsidRPr="00A66C9F" w:rsidRDefault="00744544" w:rsidP="00107D5D">
            <w:pPr>
              <w:suppressAutoHyphens/>
              <w:spacing w:before="81" w:after="81" w:line="160" w:lineRule="exact"/>
              <w:ind w:left="144" w:right="43"/>
              <w:rPr>
                <w:bCs/>
                <w:i/>
                <w:iCs/>
                <w:sz w:val="14"/>
                <w:lang w:val="fr-FR"/>
              </w:rPr>
            </w:pPr>
            <w:r w:rsidRPr="00A66C9F">
              <w:rPr>
                <w:i/>
                <w:iCs/>
                <w:sz w:val="14"/>
                <w:lang w:val="fr-FR"/>
              </w:rPr>
              <w:t>Au 31 décembre 2018</w:t>
            </w:r>
          </w:p>
        </w:tc>
      </w:tr>
      <w:tr w:rsidR="00744544" w:rsidRPr="00A66C9F" w14:paraId="0B19EA0E" w14:textId="77777777" w:rsidTr="00107D5D">
        <w:trPr>
          <w:trHeight w:hRule="exact" w:val="115"/>
          <w:tblHeader/>
        </w:trPr>
        <w:tc>
          <w:tcPr>
            <w:tcW w:w="2862" w:type="dxa"/>
            <w:tcBorders>
              <w:top w:val="single" w:sz="12" w:space="0" w:color="auto"/>
            </w:tcBorders>
            <w:shd w:val="clear" w:color="auto" w:fill="auto"/>
          </w:tcPr>
          <w:p w14:paraId="26BB3D1F" w14:textId="77777777" w:rsidR="00744544" w:rsidRPr="00A66C9F" w:rsidRDefault="00744544" w:rsidP="00107D5D">
            <w:pPr>
              <w:suppressAutoHyphens/>
              <w:spacing w:before="40" w:after="40" w:line="210" w:lineRule="exact"/>
              <w:ind w:right="40"/>
              <w:rPr>
                <w:sz w:val="17"/>
                <w:lang w:val="fr-FR"/>
              </w:rPr>
            </w:pPr>
          </w:p>
        </w:tc>
        <w:tc>
          <w:tcPr>
            <w:tcW w:w="2862" w:type="dxa"/>
            <w:tcBorders>
              <w:top w:val="single" w:sz="12" w:space="0" w:color="auto"/>
            </w:tcBorders>
            <w:shd w:val="clear" w:color="auto" w:fill="auto"/>
          </w:tcPr>
          <w:p w14:paraId="7824931E" w14:textId="77777777" w:rsidR="00744544" w:rsidRPr="00A66C9F" w:rsidRDefault="00744544" w:rsidP="00107D5D">
            <w:pPr>
              <w:suppressAutoHyphens/>
              <w:spacing w:before="40" w:after="40" w:line="210" w:lineRule="exact"/>
              <w:ind w:left="144" w:right="43"/>
              <w:rPr>
                <w:sz w:val="17"/>
                <w:lang w:val="fr-FR"/>
              </w:rPr>
            </w:pPr>
          </w:p>
        </w:tc>
        <w:tc>
          <w:tcPr>
            <w:tcW w:w="2862" w:type="dxa"/>
            <w:tcBorders>
              <w:top w:val="single" w:sz="12" w:space="0" w:color="auto"/>
            </w:tcBorders>
            <w:shd w:val="clear" w:color="auto" w:fill="auto"/>
          </w:tcPr>
          <w:p w14:paraId="2E2CE354" w14:textId="77777777" w:rsidR="00744544" w:rsidRPr="00A66C9F" w:rsidRDefault="00744544" w:rsidP="00107D5D">
            <w:pPr>
              <w:suppressAutoHyphens/>
              <w:spacing w:before="40" w:after="40" w:line="210" w:lineRule="exact"/>
              <w:ind w:left="144" w:right="43"/>
              <w:rPr>
                <w:sz w:val="17"/>
                <w:lang w:val="fr-FR"/>
              </w:rPr>
            </w:pPr>
          </w:p>
        </w:tc>
      </w:tr>
      <w:tr w:rsidR="00744544" w:rsidRPr="00A66C9F" w14:paraId="2C10F626" w14:textId="77777777" w:rsidTr="00107D5D">
        <w:tc>
          <w:tcPr>
            <w:tcW w:w="2862" w:type="dxa"/>
            <w:shd w:val="clear" w:color="auto" w:fill="auto"/>
          </w:tcPr>
          <w:p w14:paraId="7C34DB12" w14:textId="77777777" w:rsidR="00744544" w:rsidRPr="00A66C9F" w:rsidRDefault="00744544" w:rsidP="00107D5D">
            <w:pPr>
              <w:tabs>
                <w:tab w:val="left" w:pos="288"/>
                <w:tab w:val="left" w:pos="576"/>
                <w:tab w:val="left" w:pos="864"/>
                <w:tab w:val="left" w:pos="1152"/>
              </w:tabs>
              <w:suppressAutoHyphens/>
              <w:spacing w:before="40" w:after="80"/>
              <w:ind w:right="40"/>
              <w:rPr>
                <w:lang w:val="fr-FR"/>
              </w:rPr>
            </w:pPr>
            <w:r w:rsidRPr="00A66C9F">
              <w:rPr>
                <w:lang w:val="fr-FR"/>
              </w:rPr>
              <w:t>Plans proposés aux États-Unis (hors Medicare)</w:t>
            </w:r>
          </w:p>
        </w:tc>
        <w:tc>
          <w:tcPr>
            <w:tcW w:w="2862" w:type="dxa"/>
            <w:shd w:val="clear" w:color="auto" w:fill="auto"/>
          </w:tcPr>
          <w:p w14:paraId="12C54664" w14:textId="77777777" w:rsidR="00744544" w:rsidRPr="00A66C9F" w:rsidRDefault="00744544" w:rsidP="00107D5D">
            <w:pPr>
              <w:tabs>
                <w:tab w:val="left" w:pos="288"/>
                <w:tab w:val="left" w:pos="576"/>
                <w:tab w:val="left" w:pos="864"/>
                <w:tab w:val="left" w:pos="1152"/>
              </w:tabs>
              <w:suppressAutoHyphens/>
              <w:spacing w:before="40" w:after="80"/>
              <w:ind w:left="144" w:right="43"/>
              <w:rPr>
                <w:lang w:val="fr-FR"/>
              </w:rPr>
            </w:pPr>
            <w:r w:rsidRPr="00A66C9F">
              <w:rPr>
                <w:lang w:val="fr-FR"/>
              </w:rPr>
              <w:t>5,44 % tombant progressivement à 3,85 % au bout de 13 ans</w:t>
            </w:r>
          </w:p>
        </w:tc>
        <w:tc>
          <w:tcPr>
            <w:tcW w:w="2862" w:type="dxa"/>
            <w:shd w:val="clear" w:color="auto" w:fill="auto"/>
          </w:tcPr>
          <w:p w14:paraId="352A1FC1" w14:textId="77777777" w:rsidR="00744544" w:rsidRPr="00A66C9F" w:rsidRDefault="00744544" w:rsidP="00107D5D">
            <w:pPr>
              <w:tabs>
                <w:tab w:val="left" w:pos="288"/>
                <w:tab w:val="left" w:pos="576"/>
                <w:tab w:val="left" w:pos="864"/>
                <w:tab w:val="left" w:pos="1152"/>
              </w:tabs>
              <w:suppressAutoHyphens/>
              <w:spacing w:before="40" w:after="80"/>
              <w:ind w:left="144" w:right="43"/>
              <w:rPr>
                <w:lang w:val="fr-FR"/>
              </w:rPr>
            </w:pPr>
            <w:r w:rsidRPr="00A66C9F">
              <w:rPr>
                <w:lang w:val="fr-FR"/>
              </w:rPr>
              <w:t>5,57 % tombant progressivement à 3,85 % au bout de 14 ans</w:t>
            </w:r>
          </w:p>
        </w:tc>
      </w:tr>
      <w:tr w:rsidR="00744544" w:rsidRPr="00A66C9F" w14:paraId="6DA3A048" w14:textId="77777777" w:rsidTr="00107D5D">
        <w:tc>
          <w:tcPr>
            <w:tcW w:w="2862" w:type="dxa"/>
            <w:shd w:val="clear" w:color="auto" w:fill="auto"/>
          </w:tcPr>
          <w:p w14:paraId="21BFCAC7" w14:textId="77777777" w:rsidR="00744544" w:rsidRPr="00A66C9F" w:rsidRDefault="00744544" w:rsidP="00107D5D">
            <w:pPr>
              <w:tabs>
                <w:tab w:val="left" w:pos="288"/>
                <w:tab w:val="left" w:pos="576"/>
                <w:tab w:val="left" w:pos="864"/>
                <w:tab w:val="left" w:pos="1152"/>
              </w:tabs>
              <w:suppressAutoHyphens/>
              <w:spacing w:before="40" w:after="80"/>
              <w:ind w:right="40"/>
              <w:rPr>
                <w:lang w:val="fr-FR"/>
              </w:rPr>
            </w:pPr>
            <w:r w:rsidRPr="00A66C9F">
              <w:rPr>
                <w:lang w:val="fr-FR"/>
              </w:rPr>
              <w:t>Plans Medicare proposés aux États-Unis</w:t>
            </w:r>
          </w:p>
        </w:tc>
        <w:tc>
          <w:tcPr>
            <w:tcW w:w="2862" w:type="dxa"/>
            <w:shd w:val="clear" w:color="auto" w:fill="auto"/>
          </w:tcPr>
          <w:p w14:paraId="55D2E5E5" w14:textId="77777777" w:rsidR="00744544" w:rsidRPr="00A66C9F" w:rsidRDefault="00744544" w:rsidP="00107D5D">
            <w:pPr>
              <w:tabs>
                <w:tab w:val="left" w:pos="288"/>
                <w:tab w:val="left" w:pos="576"/>
                <w:tab w:val="left" w:pos="864"/>
                <w:tab w:val="left" w:pos="1152"/>
              </w:tabs>
              <w:suppressAutoHyphens/>
              <w:spacing w:before="40" w:after="80"/>
              <w:ind w:left="144" w:right="43"/>
              <w:rPr>
                <w:lang w:val="fr-FR"/>
              </w:rPr>
            </w:pPr>
            <w:r w:rsidRPr="00A66C9F">
              <w:rPr>
                <w:lang w:val="fr-FR"/>
              </w:rPr>
              <w:t>5,26 % tombant progressivement à 3,85 % au  bout de 13 ans</w:t>
            </w:r>
          </w:p>
        </w:tc>
        <w:tc>
          <w:tcPr>
            <w:tcW w:w="2862" w:type="dxa"/>
            <w:shd w:val="clear" w:color="auto" w:fill="auto"/>
          </w:tcPr>
          <w:p w14:paraId="16CA6579" w14:textId="77777777" w:rsidR="00744544" w:rsidRPr="00A66C9F" w:rsidRDefault="00744544" w:rsidP="00107D5D">
            <w:pPr>
              <w:tabs>
                <w:tab w:val="left" w:pos="288"/>
                <w:tab w:val="left" w:pos="576"/>
                <w:tab w:val="left" w:pos="864"/>
                <w:tab w:val="left" w:pos="1152"/>
              </w:tabs>
              <w:suppressAutoHyphens/>
              <w:spacing w:before="40" w:after="80"/>
              <w:ind w:left="144" w:right="43"/>
              <w:rPr>
                <w:lang w:val="fr-FR"/>
              </w:rPr>
            </w:pPr>
            <w:r w:rsidRPr="00A66C9F">
              <w:rPr>
                <w:lang w:val="fr-FR"/>
              </w:rPr>
              <w:t>5,38 % tombant progressivement à 3,85 % au bout de 14 ans</w:t>
            </w:r>
          </w:p>
        </w:tc>
      </w:tr>
      <w:tr w:rsidR="00744544" w:rsidRPr="00A66C9F" w14:paraId="38546084" w14:textId="77777777" w:rsidTr="00107D5D">
        <w:tc>
          <w:tcPr>
            <w:tcW w:w="2862" w:type="dxa"/>
            <w:shd w:val="clear" w:color="auto" w:fill="auto"/>
          </w:tcPr>
          <w:p w14:paraId="3948D561" w14:textId="77777777" w:rsidR="00744544" w:rsidRPr="00A66C9F" w:rsidRDefault="00744544" w:rsidP="00107D5D">
            <w:pPr>
              <w:tabs>
                <w:tab w:val="left" w:pos="288"/>
                <w:tab w:val="left" w:pos="576"/>
                <w:tab w:val="left" w:pos="864"/>
                <w:tab w:val="left" w:pos="1152"/>
              </w:tabs>
              <w:suppressAutoHyphens/>
              <w:spacing w:before="40" w:after="80"/>
              <w:ind w:right="40"/>
              <w:rPr>
                <w:lang w:val="fr-FR"/>
              </w:rPr>
            </w:pPr>
            <w:r w:rsidRPr="00A66C9F">
              <w:rPr>
                <w:lang w:val="fr-FR"/>
              </w:rPr>
              <w:t>Régimes d’assurance dentaire proposés aux États-Unis</w:t>
            </w:r>
          </w:p>
        </w:tc>
        <w:tc>
          <w:tcPr>
            <w:tcW w:w="2862" w:type="dxa"/>
            <w:shd w:val="clear" w:color="auto" w:fill="auto"/>
          </w:tcPr>
          <w:p w14:paraId="3A2EC161" w14:textId="77777777" w:rsidR="00744544" w:rsidRPr="00A66C9F" w:rsidRDefault="00744544" w:rsidP="00107D5D">
            <w:pPr>
              <w:tabs>
                <w:tab w:val="left" w:pos="288"/>
                <w:tab w:val="left" w:pos="576"/>
                <w:tab w:val="left" w:pos="864"/>
                <w:tab w:val="left" w:pos="1152"/>
              </w:tabs>
              <w:suppressAutoHyphens/>
              <w:spacing w:before="40" w:after="80"/>
              <w:ind w:left="144" w:right="43"/>
              <w:rPr>
                <w:lang w:val="fr-FR"/>
              </w:rPr>
            </w:pPr>
            <w:r w:rsidRPr="00A66C9F">
              <w:rPr>
                <w:lang w:val="fr-FR"/>
              </w:rPr>
              <w:t>4,66 % tombant progressivement à 3,85 % au bout de 13 ans</w:t>
            </w:r>
          </w:p>
        </w:tc>
        <w:tc>
          <w:tcPr>
            <w:tcW w:w="2862" w:type="dxa"/>
            <w:shd w:val="clear" w:color="auto" w:fill="auto"/>
          </w:tcPr>
          <w:p w14:paraId="2EBD8998" w14:textId="77777777" w:rsidR="00744544" w:rsidRPr="00A66C9F" w:rsidRDefault="00744544" w:rsidP="00107D5D">
            <w:pPr>
              <w:tabs>
                <w:tab w:val="left" w:pos="288"/>
                <w:tab w:val="left" w:pos="576"/>
                <w:tab w:val="left" w:pos="864"/>
                <w:tab w:val="left" w:pos="1152"/>
              </w:tabs>
              <w:suppressAutoHyphens/>
              <w:spacing w:before="40" w:after="80"/>
              <w:ind w:left="144" w:right="43"/>
              <w:rPr>
                <w:lang w:val="fr-FR"/>
              </w:rPr>
            </w:pPr>
            <w:r w:rsidRPr="00A66C9F">
              <w:rPr>
                <w:lang w:val="fr-FR"/>
              </w:rPr>
              <w:t>4,73 % tombant progressivement à 3,85 % au bout de 14 ans</w:t>
            </w:r>
          </w:p>
        </w:tc>
      </w:tr>
      <w:tr w:rsidR="00744544" w:rsidRPr="00A66C9F" w14:paraId="592D68C9" w14:textId="77777777" w:rsidTr="00107D5D">
        <w:tc>
          <w:tcPr>
            <w:tcW w:w="2862" w:type="dxa"/>
            <w:shd w:val="clear" w:color="auto" w:fill="auto"/>
          </w:tcPr>
          <w:p w14:paraId="180768B2" w14:textId="77777777" w:rsidR="00744544" w:rsidRPr="00A66C9F" w:rsidRDefault="00744544" w:rsidP="00107D5D">
            <w:pPr>
              <w:tabs>
                <w:tab w:val="left" w:pos="288"/>
                <w:tab w:val="left" w:pos="576"/>
                <w:tab w:val="left" w:pos="864"/>
                <w:tab w:val="left" w:pos="1152"/>
              </w:tabs>
              <w:suppressAutoHyphens/>
              <w:spacing w:before="40" w:after="80"/>
              <w:ind w:right="40"/>
              <w:rPr>
                <w:lang w:val="fr-FR"/>
              </w:rPr>
            </w:pPr>
            <w:r w:rsidRPr="00A66C9F">
              <w:rPr>
                <w:lang w:val="fr-FR"/>
              </w:rPr>
              <w:t>Plans proposés hors États-Unis (Suisse)</w:t>
            </w:r>
          </w:p>
        </w:tc>
        <w:tc>
          <w:tcPr>
            <w:tcW w:w="2862" w:type="dxa"/>
            <w:shd w:val="clear" w:color="auto" w:fill="auto"/>
          </w:tcPr>
          <w:p w14:paraId="6F4825BD" w14:textId="77777777" w:rsidR="00744544" w:rsidRPr="00A66C9F" w:rsidRDefault="00744544" w:rsidP="00107D5D">
            <w:pPr>
              <w:tabs>
                <w:tab w:val="left" w:pos="288"/>
                <w:tab w:val="left" w:pos="576"/>
                <w:tab w:val="left" w:pos="864"/>
                <w:tab w:val="left" w:pos="1152"/>
              </w:tabs>
              <w:suppressAutoHyphens/>
              <w:spacing w:before="40" w:after="80"/>
              <w:ind w:left="144" w:right="43"/>
              <w:rPr>
                <w:lang w:val="fr-FR"/>
              </w:rPr>
            </w:pPr>
            <w:r w:rsidRPr="00A66C9F">
              <w:rPr>
                <w:lang w:val="fr-FR"/>
              </w:rPr>
              <w:t>3,76 % tombant progressivement à 2,85 % au bout de 8 ans</w:t>
            </w:r>
          </w:p>
        </w:tc>
        <w:tc>
          <w:tcPr>
            <w:tcW w:w="2862" w:type="dxa"/>
            <w:shd w:val="clear" w:color="auto" w:fill="auto"/>
          </w:tcPr>
          <w:p w14:paraId="3DDCC2E4" w14:textId="77777777" w:rsidR="00744544" w:rsidRPr="00A66C9F" w:rsidRDefault="00744544" w:rsidP="00107D5D">
            <w:pPr>
              <w:tabs>
                <w:tab w:val="left" w:pos="288"/>
                <w:tab w:val="left" w:pos="576"/>
                <w:tab w:val="left" w:pos="864"/>
                <w:tab w:val="left" w:pos="1152"/>
              </w:tabs>
              <w:suppressAutoHyphens/>
              <w:spacing w:before="40" w:after="80"/>
              <w:ind w:left="144" w:right="43"/>
              <w:rPr>
                <w:lang w:val="fr-FR"/>
              </w:rPr>
            </w:pPr>
            <w:r w:rsidRPr="00A66C9F">
              <w:rPr>
                <w:lang w:val="fr-FR"/>
              </w:rPr>
              <w:t>3,89 % tombant progressivement à 3,05 % au bout de 9 ans</w:t>
            </w:r>
          </w:p>
        </w:tc>
      </w:tr>
      <w:tr w:rsidR="00744544" w:rsidRPr="00A66C9F" w14:paraId="5FD9DD8E" w14:textId="77777777" w:rsidTr="00107D5D">
        <w:tc>
          <w:tcPr>
            <w:tcW w:w="2862" w:type="dxa"/>
            <w:tcBorders>
              <w:bottom w:val="single" w:sz="12" w:space="0" w:color="auto"/>
            </w:tcBorders>
            <w:shd w:val="clear" w:color="auto" w:fill="auto"/>
          </w:tcPr>
          <w:p w14:paraId="3E19DD8E" w14:textId="77777777" w:rsidR="00744544" w:rsidRPr="00A66C9F" w:rsidRDefault="00744544" w:rsidP="00107D5D">
            <w:pPr>
              <w:tabs>
                <w:tab w:val="left" w:pos="288"/>
                <w:tab w:val="left" w:pos="576"/>
                <w:tab w:val="left" w:pos="864"/>
                <w:tab w:val="left" w:pos="1152"/>
              </w:tabs>
              <w:suppressAutoHyphens/>
              <w:spacing w:before="40" w:after="80"/>
              <w:ind w:right="40"/>
              <w:rPr>
                <w:lang w:val="fr-FR"/>
              </w:rPr>
            </w:pPr>
            <w:r w:rsidRPr="00A66C9F">
              <w:rPr>
                <w:lang w:val="fr-FR"/>
              </w:rPr>
              <w:t>Plans proposés hors États-Unis (zone euro)</w:t>
            </w:r>
          </w:p>
        </w:tc>
        <w:tc>
          <w:tcPr>
            <w:tcW w:w="2862" w:type="dxa"/>
            <w:tcBorders>
              <w:bottom w:val="single" w:sz="12" w:space="0" w:color="auto"/>
            </w:tcBorders>
            <w:shd w:val="clear" w:color="auto" w:fill="auto"/>
          </w:tcPr>
          <w:p w14:paraId="01557811" w14:textId="77777777" w:rsidR="00744544" w:rsidRPr="00A66C9F" w:rsidRDefault="00744544" w:rsidP="00107D5D">
            <w:pPr>
              <w:tabs>
                <w:tab w:val="left" w:pos="288"/>
                <w:tab w:val="left" w:pos="576"/>
                <w:tab w:val="left" w:pos="864"/>
                <w:tab w:val="left" w:pos="1152"/>
              </w:tabs>
              <w:suppressAutoHyphens/>
              <w:spacing w:before="40" w:after="80"/>
              <w:ind w:left="144" w:right="43"/>
              <w:rPr>
                <w:lang w:val="fr-FR"/>
              </w:rPr>
            </w:pPr>
            <w:r w:rsidRPr="00A66C9F">
              <w:rPr>
                <w:lang w:val="fr-FR"/>
              </w:rPr>
              <w:t>3,83 % tombant progressivement à 3,65 % au bout de 3 ans</w:t>
            </w:r>
          </w:p>
        </w:tc>
        <w:tc>
          <w:tcPr>
            <w:tcW w:w="2862" w:type="dxa"/>
            <w:tcBorders>
              <w:bottom w:val="single" w:sz="12" w:space="0" w:color="auto"/>
            </w:tcBorders>
            <w:shd w:val="clear" w:color="auto" w:fill="auto"/>
          </w:tcPr>
          <w:p w14:paraId="46EBD1BB" w14:textId="77777777" w:rsidR="00744544" w:rsidRPr="00A66C9F" w:rsidRDefault="00744544" w:rsidP="00107D5D">
            <w:pPr>
              <w:tabs>
                <w:tab w:val="left" w:pos="288"/>
                <w:tab w:val="left" w:pos="576"/>
                <w:tab w:val="left" w:pos="864"/>
                <w:tab w:val="left" w:pos="1152"/>
              </w:tabs>
              <w:suppressAutoHyphens/>
              <w:spacing w:before="40" w:after="80"/>
              <w:ind w:left="144" w:right="43"/>
              <w:rPr>
                <w:lang w:val="fr-FR"/>
              </w:rPr>
            </w:pPr>
            <w:r w:rsidRPr="00A66C9F">
              <w:rPr>
                <w:lang w:val="fr-FR"/>
              </w:rPr>
              <w:t>3,91 % tombant progressivement à 3,65 % au bout de 4 ans</w:t>
            </w:r>
          </w:p>
        </w:tc>
      </w:tr>
    </w:tbl>
    <w:p w14:paraId="44158819" w14:textId="77777777" w:rsidR="00744544" w:rsidRPr="00A66C9F" w:rsidRDefault="00744544" w:rsidP="00744544">
      <w:pPr>
        <w:pStyle w:val="SingleTxt"/>
        <w:spacing w:after="0" w:line="120" w:lineRule="exact"/>
        <w:rPr>
          <w:sz w:val="10"/>
          <w:lang w:val="fr-FR"/>
        </w:rPr>
      </w:pPr>
    </w:p>
    <w:p w14:paraId="0912F60F" w14:textId="77777777" w:rsidR="00744544" w:rsidRPr="00A66C9F" w:rsidRDefault="00744544" w:rsidP="00744544">
      <w:pPr>
        <w:pStyle w:val="SingleTxt"/>
        <w:spacing w:after="0" w:line="120" w:lineRule="exact"/>
        <w:rPr>
          <w:sz w:val="10"/>
          <w:lang w:val="fr-FR"/>
        </w:rPr>
      </w:pPr>
    </w:p>
    <w:p w14:paraId="37766229" w14:textId="77777777" w:rsidR="00744544" w:rsidRPr="00A66C9F" w:rsidRDefault="00744544" w:rsidP="00753AB8">
      <w:pPr>
        <w:pStyle w:val="SingleTxt"/>
        <w:numPr>
          <w:ilvl w:val="0"/>
          <w:numId w:val="18"/>
        </w:numPr>
        <w:spacing w:line="240" w:lineRule="exact"/>
        <w:rPr>
          <w:szCs w:val="20"/>
          <w:lang w:val="fr-FR"/>
        </w:rPr>
      </w:pPr>
      <w:r w:rsidRPr="00A66C9F">
        <w:rPr>
          <w:lang w:val="fr-FR"/>
        </w:rPr>
        <w:lastRenderedPageBreak/>
        <w:t>L’augmentation du montant total des engagements au titre de l’assurance maladie après la cessation de service entre le 31 décembre 2018 et le 31 décembre 2019 s’explique essentiellement par le changement d’hypothèses actuarielles, et en particulier la réduction des taux d’actualisation utilisés pour calculer la valeur des prestations en dollars des États-Unis.</w:t>
      </w:r>
    </w:p>
    <w:p w14:paraId="53A08806" w14:textId="77777777" w:rsidR="00744544" w:rsidRPr="00A66C9F" w:rsidRDefault="00744544" w:rsidP="00753AB8">
      <w:pPr>
        <w:pStyle w:val="SingleTxt"/>
        <w:numPr>
          <w:ilvl w:val="0"/>
          <w:numId w:val="18"/>
        </w:numPr>
        <w:spacing w:line="240" w:lineRule="exact"/>
        <w:rPr>
          <w:szCs w:val="20"/>
          <w:lang w:val="fr-FR"/>
        </w:rPr>
      </w:pPr>
      <w:r w:rsidRPr="00A66C9F">
        <w:rPr>
          <w:lang w:val="fr-FR"/>
        </w:rPr>
        <w:t>Les autres grandes hypothèses retenues pour les calculs effectués sur la base des données démographiques arrêtées au 31 octobre 2018 ont porté sur les éléments qui suivent :</w:t>
      </w:r>
    </w:p>
    <w:p w14:paraId="508F32CF" w14:textId="77777777" w:rsidR="00744544" w:rsidRPr="00A66C9F" w:rsidRDefault="00744544" w:rsidP="00744544">
      <w:pPr>
        <w:pStyle w:val="SingleTxt"/>
        <w:spacing w:after="0" w:line="120" w:lineRule="exact"/>
        <w:rPr>
          <w:sz w:val="10"/>
          <w:lang w:val="fr-FR"/>
        </w:rPr>
      </w:pPr>
    </w:p>
    <w:p w14:paraId="209D06DE" w14:textId="77777777" w:rsidR="00744544" w:rsidRPr="00A66C9F" w:rsidRDefault="00744544" w:rsidP="0074454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Assurance maladie après la cessation de service</w:t>
      </w:r>
    </w:p>
    <w:p w14:paraId="431D3A0E" w14:textId="77777777" w:rsidR="00744544" w:rsidRPr="00A66C9F" w:rsidRDefault="00744544" w:rsidP="00744544">
      <w:pPr>
        <w:pStyle w:val="SingleTxt"/>
        <w:spacing w:after="0" w:line="120" w:lineRule="exact"/>
        <w:rPr>
          <w:sz w:val="10"/>
          <w:lang w:val="fr-FR"/>
        </w:rPr>
      </w:pPr>
    </w:p>
    <w:p w14:paraId="534908E5" w14:textId="77777777" w:rsidR="00744544" w:rsidRPr="00A66C9F" w:rsidRDefault="00744544" w:rsidP="00753AB8">
      <w:pPr>
        <w:pStyle w:val="SingleTxt"/>
        <w:numPr>
          <w:ilvl w:val="0"/>
          <w:numId w:val="18"/>
        </w:numPr>
        <w:spacing w:line="240" w:lineRule="exact"/>
        <w:rPr>
          <w:szCs w:val="20"/>
          <w:lang w:val="fr-FR"/>
        </w:rPr>
      </w:pPr>
      <w:bookmarkStart w:id="293" w:name="_Hlk38281668"/>
      <w:r w:rsidRPr="00A66C9F">
        <w:rPr>
          <w:lang w:val="fr-FR"/>
        </w:rPr>
        <w:t>Au total, on a pris en considération 250 fonctionnaires en activité (202 résidant aux États-Unis et 44 dans d’autres lieux d’affectation) et 91 retraités ou leur conjoint(e) survivant(e) (73 résidant aux États-Unis et 15 dans d’autres pays), ainsi que 4 fonctionnaires en activité et 3 retraités ou leur conjoint(e) survivant(e) qui ne participaient qu’aux régimes d’assurance dentaire. Les fonctionnaires en activité avaient en moyenne 47 ans et 10 années de service. La moyenne d’âge des retraités était de 70 ans.</w:t>
      </w:r>
    </w:p>
    <w:p w14:paraId="33E722EB" w14:textId="77777777" w:rsidR="00744544" w:rsidRPr="00A66C9F" w:rsidRDefault="00744544" w:rsidP="00744544">
      <w:pPr>
        <w:pStyle w:val="SingleTxt"/>
        <w:spacing w:after="0" w:line="120" w:lineRule="exact"/>
        <w:rPr>
          <w:sz w:val="10"/>
          <w:lang w:val="fr-FR"/>
        </w:rPr>
      </w:pPr>
    </w:p>
    <w:bookmarkEnd w:id="293"/>
    <w:p w14:paraId="45335029" w14:textId="77777777" w:rsidR="00744544" w:rsidRPr="00A66C9F" w:rsidRDefault="00744544" w:rsidP="0074454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Prestations liées au rapatriement</w:t>
      </w:r>
    </w:p>
    <w:p w14:paraId="5C9716F9" w14:textId="77777777" w:rsidR="00744544" w:rsidRPr="00A66C9F" w:rsidRDefault="00744544" w:rsidP="00744544">
      <w:pPr>
        <w:pStyle w:val="SingleTxt"/>
        <w:spacing w:after="0" w:line="120" w:lineRule="exact"/>
        <w:rPr>
          <w:sz w:val="10"/>
          <w:lang w:val="fr-FR"/>
        </w:rPr>
      </w:pPr>
    </w:p>
    <w:p w14:paraId="2B5945BF" w14:textId="77777777" w:rsidR="00744544" w:rsidRPr="00A66C9F" w:rsidRDefault="00744544" w:rsidP="00753AB8">
      <w:pPr>
        <w:pStyle w:val="SingleTxt"/>
        <w:numPr>
          <w:ilvl w:val="0"/>
          <w:numId w:val="18"/>
        </w:numPr>
        <w:spacing w:line="240" w:lineRule="exact"/>
        <w:rPr>
          <w:szCs w:val="20"/>
          <w:lang w:val="fr-FR"/>
        </w:rPr>
      </w:pPr>
      <w:r w:rsidRPr="00A66C9F">
        <w:rPr>
          <w:lang w:val="fr-FR"/>
        </w:rPr>
        <w:t>Les fonctionnaires recrutés sur le plan international ont droit au versement d’une prime de rapatriement au terme d’une année de service actif en dehors du pays dont ils ont la nationalité, sauf en cas de licenciement ou d’abandon de poste.</w:t>
      </w:r>
    </w:p>
    <w:p w14:paraId="1AD56A75" w14:textId="77777777" w:rsidR="00744544" w:rsidRPr="00A66C9F" w:rsidRDefault="00744544" w:rsidP="00753AB8">
      <w:pPr>
        <w:pStyle w:val="SingleTxt"/>
        <w:numPr>
          <w:ilvl w:val="0"/>
          <w:numId w:val="18"/>
        </w:numPr>
        <w:spacing w:line="240" w:lineRule="exact"/>
        <w:rPr>
          <w:szCs w:val="20"/>
          <w:lang w:val="fr-FR"/>
        </w:rPr>
      </w:pPr>
      <w:r w:rsidRPr="00A66C9F">
        <w:rPr>
          <w:lang w:val="fr-FR"/>
        </w:rPr>
        <w:t>Ce montant correspond à la valeur de 2 à 28 semaines de traitement selon la catégorie d’engagement et le nombre d’années de service de l’intéressé. Les frais de voyage et d’expédition des effets personnels peuvent en outre être remboursés à destination du pays du congé dans les foyers.</w:t>
      </w:r>
    </w:p>
    <w:p w14:paraId="0861DB94" w14:textId="77777777" w:rsidR="00744544" w:rsidRPr="00A66C9F" w:rsidRDefault="00744544" w:rsidP="00753AB8">
      <w:pPr>
        <w:pStyle w:val="SingleTxt"/>
        <w:numPr>
          <w:ilvl w:val="0"/>
          <w:numId w:val="18"/>
        </w:numPr>
        <w:spacing w:line="240" w:lineRule="exact"/>
        <w:rPr>
          <w:szCs w:val="20"/>
          <w:lang w:val="fr-FR"/>
        </w:rPr>
      </w:pPr>
      <w:r w:rsidRPr="00A66C9F">
        <w:rPr>
          <w:lang w:val="fr-FR"/>
        </w:rPr>
        <w:t>Au total, on a pris en considération 82 fonctionnaires remplissant les conditions requises, dont le traitement moyen s’établissait à 81 804 dollars des États-Unis.</w:t>
      </w:r>
    </w:p>
    <w:p w14:paraId="2D3184C6" w14:textId="77777777" w:rsidR="00744544" w:rsidRPr="00A66C9F" w:rsidRDefault="00744544" w:rsidP="00744544">
      <w:pPr>
        <w:pStyle w:val="SingleTxt"/>
        <w:spacing w:after="0" w:line="120" w:lineRule="exact"/>
        <w:rPr>
          <w:sz w:val="10"/>
          <w:lang w:val="fr-FR"/>
        </w:rPr>
      </w:pPr>
    </w:p>
    <w:p w14:paraId="5FBF68C2" w14:textId="77777777" w:rsidR="00744544" w:rsidRPr="00A66C9F" w:rsidRDefault="00744544" w:rsidP="0074454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Congé annuel</w:t>
      </w:r>
    </w:p>
    <w:p w14:paraId="4D22C998" w14:textId="77777777" w:rsidR="00744544" w:rsidRPr="00A66C9F" w:rsidRDefault="00744544" w:rsidP="00744544">
      <w:pPr>
        <w:pStyle w:val="SingleTxt"/>
        <w:spacing w:after="0" w:line="120" w:lineRule="exact"/>
        <w:rPr>
          <w:sz w:val="10"/>
          <w:lang w:val="fr-FR"/>
        </w:rPr>
      </w:pPr>
    </w:p>
    <w:p w14:paraId="4A9CB45E" w14:textId="77777777" w:rsidR="00744544" w:rsidRPr="00A66C9F" w:rsidRDefault="00744544" w:rsidP="00753AB8">
      <w:pPr>
        <w:pStyle w:val="SingleTxt"/>
        <w:numPr>
          <w:ilvl w:val="0"/>
          <w:numId w:val="18"/>
        </w:numPr>
        <w:spacing w:line="240" w:lineRule="exact"/>
        <w:rPr>
          <w:szCs w:val="20"/>
          <w:lang w:val="fr-FR"/>
        </w:rPr>
      </w:pPr>
      <w:r w:rsidRPr="00A66C9F">
        <w:rPr>
          <w:lang w:val="fr-FR"/>
        </w:rPr>
        <w:t>Les fonctionnaires ont droit à des congés annuels à compter de la date de leur engagement. Ceux qui, à la cessation de service, ont accumulé des congés peuvent se voir payer à ce titre un maximum de 60 jours s’ils sont titulaires d’un engagement de durée déterminée ou de 18 jours dans le cas d’un engagement temporaire. Le montant versé par jour de congé inutilisé correspond à 1/261 du traitement annuel.</w:t>
      </w:r>
    </w:p>
    <w:p w14:paraId="78C0666B" w14:textId="77777777" w:rsidR="00744544" w:rsidRPr="00A66C9F" w:rsidRDefault="00744544" w:rsidP="00753AB8">
      <w:pPr>
        <w:pStyle w:val="SingleTxt"/>
        <w:numPr>
          <w:ilvl w:val="0"/>
          <w:numId w:val="18"/>
        </w:numPr>
        <w:spacing w:line="240" w:lineRule="exact"/>
        <w:rPr>
          <w:szCs w:val="20"/>
          <w:lang w:val="fr-FR"/>
        </w:rPr>
      </w:pPr>
      <w:r w:rsidRPr="00A66C9F">
        <w:rPr>
          <w:lang w:val="fr-FR"/>
        </w:rPr>
        <w:t>Au total, on a pris en considération 280 fonctionnaires remplissant les conditions requises, dont le traitement annuel moyen s’établissait à 99 432 dollars des États-Unis.</w:t>
      </w:r>
    </w:p>
    <w:p w14:paraId="082602C6" w14:textId="77777777" w:rsidR="00744544" w:rsidRPr="00A66C9F" w:rsidRDefault="00744544" w:rsidP="00744544">
      <w:pPr>
        <w:pStyle w:val="SingleTxt"/>
        <w:spacing w:after="0" w:line="120" w:lineRule="exact"/>
        <w:rPr>
          <w:sz w:val="10"/>
          <w:lang w:val="fr-FR"/>
        </w:rPr>
      </w:pPr>
    </w:p>
    <w:p w14:paraId="3545089F"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Arial"/>
          <w:lang w:val="fr-FR"/>
        </w:rPr>
      </w:pPr>
      <w:bookmarkStart w:id="294" w:name="_Toc38529178"/>
      <w:r w:rsidRPr="00A66C9F">
        <w:rPr>
          <w:lang w:val="fr-FR"/>
        </w:rPr>
        <w:tab/>
      </w:r>
      <w:r w:rsidRPr="00A66C9F">
        <w:rPr>
          <w:lang w:val="fr-FR"/>
        </w:rPr>
        <w:tab/>
        <w:t>Note 12</w:t>
      </w:r>
    </w:p>
    <w:p w14:paraId="3468996C"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Autres passifs et charges à payer</w:t>
      </w:r>
      <w:bookmarkEnd w:id="291"/>
      <w:bookmarkEnd w:id="292"/>
      <w:bookmarkEnd w:id="294"/>
    </w:p>
    <w:p w14:paraId="2BD2A006" w14:textId="77777777" w:rsidR="00744544" w:rsidRPr="00A66C9F" w:rsidRDefault="00744544" w:rsidP="00744544">
      <w:pPr>
        <w:pStyle w:val="SingleTxt"/>
        <w:spacing w:after="0" w:line="120" w:lineRule="exact"/>
        <w:rPr>
          <w:sz w:val="10"/>
          <w:lang w:val="fr-FR"/>
        </w:rPr>
      </w:pPr>
    </w:p>
    <w:p w14:paraId="4A51CD36" w14:textId="77777777" w:rsidR="00744544" w:rsidRPr="00A66C9F" w:rsidRDefault="00744544" w:rsidP="00753AB8">
      <w:pPr>
        <w:pStyle w:val="SingleTxt"/>
        <w:numPr>
          <w:ilvl w:val="0"/>
          <w:numId w:val="18"/>
        </w:numPr>
        <w:spacing w:line="240" w:lineRule="exact"/>
        <w:rPr>
          <w:szCs w:val="20"/>
          <w:lang w:val="fr-FR"/>
        </w:rPr>
      </w:pPr>
      <w:r w:rsidRPr="00A66C9F">
        <w:rPr>
          <w:lang w:val="fr-FR"/>
        </w:rPr>
        <w:t>Le montant des autres passifs et charges à payer se décompose comme suit :</w:t>
      </w:r>
    </w:p>
    <w:p w14:paraId="3F3A71F3" w14:textId="77777777" w:rsidR="00744544" w:rsidRPr="00A66C9F" w:rsidRDefault="00744544" w:rsidP="00744544">
      <w:pPr>
        <w:pStyle w:val="SingleTxt"/>
        <w:spacing w:after="0" w:line="120" w:lineRule="exact"/>
        <w:rPr>
          <w:sz w:val="10"/>
          <w:lang w:val="fr-FR"/>
        </w:rPr>
      </w:pPr>
    </w:p>
    <w:p w14:paraId="40324F3E" w14:textId="77777777" w:rsidR="00744544" w:rsidRPr="00A66C9F" w:rsidRDefault="00744544" w:rsidP="0074454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lang w:val="fr-FR"/>
        </w:rPr>
        <w:tab/>
      </w:r>
      <w:r w:rsidRPr="00A66C9F">
        <w:rPr>
          <w:lang w:val="fr-FR"/>
        </w:rPr>
        <w:tab/>
      </w:r>
      <w:r w:rsidRPr="00A66C9F">
        <w:rPr>
          <w:sz w:val="14"/>
          <w:szCs w:val="14"/>
          <w:lang w:val="fr-FR"/>
        </w:rPr>
        <w:t>(En milliers de dollars des États-Unis)</w:t>
      </w:r>
    </w:p>
    <w:p w14:paraId="6516E0CD" w14:textId="77777777" w:rsidR="00744544" w:rsidRPr="00A66C9F" w:rsidRDefault="00744544" w:rsidP="00744544">
      <w:pPr>
        <w:pStyle w:val="SingleTxt"/>
        <w:keepNext/>
        <w:spacing w:after="0" w:line="120" w:lineRule="exact"/>
        <w:rPr>
          <w:sz w:val="10"/>
          <w:lang w:val="fr-FR"/>
        </w:rPr>
      </w:pPr>
    </w:p>
    <w:p w14:paraId="39BB0C2A" w14:textId="77777777" w:rsidR="00744544" w:rsidRPr="00A66C9F" w:rsidRDefault="00744544" w:rsidP="00744544">
      <w:pPr>
        <w:pStyle w:val="SingleTxt"/>
        <w:keepNext/>
        <w:spacing w:after="0" w:line="120" w:lineRule="exact"/>
        <w:rPr>
          <w:sz w:val="10"/>
          <w:lang w:val="fr-FR"/>
        </w:rPr>
      </w:pPr>
    </w:p>
    <w:tbl>
      <w:tblPr>
        <w:tblW w:w="7320" w:type="dxa"/>
        <w:tblInd w:w="1260" w:type="dxa"/>
        <w:tblLayout w:type="fixed"/>
        <w:tblCellMar>
          <w:left w:w="0" w:type="dxa"/>
          <w:right w:w="0" w:type="dxa"/>
        </w:tblCellMar>
        <w:tblLook w:val="04A0" w:firstRow="1" w:lastRow="0" w:firstColumn="1" w:lastColumn="0" w:noHBand="0" w:noVBand="1"/>
      </w:tblPr>
      <w:tblGrid>
        <w:gridCol w:w="4050"/>
        <w:gridCol w:w="1710"/>
        <w:gridCol w:w="1560"/>
      </w:tblGrid>
      <w:tr w:rsidR="00744544" w:rsidRPr="00A66C9F" w14:paraId="5A349050" w14:textId="77777777" w:rsidTr="00107D5D">
        <w:trPr>
          <w:trHeight w:val="329"/>
          <w:tblHeader/>
        </w:trPr>
        <w:tc>
          <w:tcPr>
            <w:tcW w:w="4050" w:type="dxa"/>
            <w:tcBorders>
              <w:top w:val="single" w:sz="4" w:space="0" w:color="auto"/>
              <w:bottom w:val="single" w:sz="12" w:space="0" w:color="auto"/>
            </w:tcBorders>
            <w:shd w:val="clear" w:color="auto" w:fill="auto"/>
            <w:noWrap/>
            <w:vAlign w:val="bottom"/>
            <w:hideMark/>
          </w:tcPr>
          <w:p w14:paraId="57CE6C1E" w14:textId="77777777" w:rsidR="00744544" w:rsidRPr="00A66C9F" w:rsidRDefault="00744544" w:rsidP="00107D5D">
            <w:pPr>
              <w:keepNext/>
              <w:keepLines/>
              <w:suppressAutoHyphens/>
              <w:spacing w:before="81" w:after="81" w:line="160" w:lineRule="exact"/>
              <w:ind w:right="40"/>
              <w:rPr>
                <w:bCs/>
                <w:i/>
                <w:iCs/>
                <w:sz w:val="14"/>
                <w:szCs w:val="17"/>
                <w:lang w:val="fr-FR"/>
              </w:rPr>
            </w:pPr>
            <w:r w:rsidRPr="00A66C9F">
              <w:rPr>
                <w:bCs/>
                <w:i/>
                <w:iCs/>
                <w:sz w:val="14"/>
                <w:szCs w:val="17"/>
                <w:lang w:val="fr-FR"/>
              </w:rPr>
              <w:t> </w:t>
            </w:r>
          </w:p>
        </w:tc>
        <w:tc>
          <w:tcPr>
            <w:tcW w:w="1710" w:type="dxa"/>
            <w:tcBorders>
              <w:top w:val="single" w:sz="4" w:space="0" w:color="auto"/>
              <w:bottom w:val="single" w:sz="12" w:space="0" w:color="auto"/>
            </w:tcBorders>
            <w:shd w:val="clear" w:color="auto" w:fill="auto"/>
            <w:vAlign w:val="bottom"/>
          </w:tcPr>
          <w:p w14:paraId="251691F8" w14:textId="77777777" w:rsidR="00744544" w:rsidRPr="00A66C9F" w:rsidDel="005F43B7" w:rsidRDefault="00744544" w:rsidP="00107D5D">
            <w:pPr>
              <w:keepNext/>
              <w:keepLines/>
              <w:suppressAutoHyphens/>
              <w:spacing w:before="81" w:after="81" w:line="160" w:lineRule="exact"/>
              <w:ind w:right="43"/>
              <w:jc w:val="right"/>
              <w:rPr>
                <w:bCs/>
                <w:i/>
                <w:iCs/>
                <w:sz w:val="14"/>
                <w:szCs w:val="17"/>
                <w:lang w:val="fr-FR"/>
              </w:rPr>
            </w:pPr>
            <w:r w:rsidRPr="00A66C9F">
              <w:rPr>
                <w:i/>
                <w:iCs/>
                <w:sz w:val="14"/>
                <w:lang w:val="fr-FR"/>
              </w:rPr>
              <w:t>Au 31 décembre 2019</w:t>
            </w:r>
          </w:p>
        </w:tc>
        <w:tc>
          <w:tcPr>
            <w:tcW w:w="1560" w:type="dxa"/>
            <w:tcBorders>
              <w:top w:val="single" w:sz="4" w:space="0" w:color="auto"/>
              <w:bottom w:val="single" w:sz="12" w:space="0" w:color="auto"/>
            </w:tcBorders>
            <w:shd w:val="clear" w:color="auto" w:fill="auto"/>
            <w:vAlign w:val="bottom"/>
            <w:hideMark/>
          </w:tcPr>
          <w:p w14:paraId="6DEA8D1D" w14:textId="77777777" w:rsidR="00744544" w:rsidRPr="00A66C9F" w:rsidRDefault="00744544" w:rsidP="00107D5D">
            <w:pPr>
              <w:keepNext/>
              <w:keepLines/>
              <w:suppressAutoHyphens/>
              <w:spacing w:before="81" w:after="81" w:line="160" w:lineRule="exact"/>
              <w:ind w:right="43"/>
              <w:jc w:val="right"/>
              <w:rPr>
                <w:bCs/>
                <w:i/>
                <w:iCs/>
                <w:sz w:val="14"/>
                <w:szCs w:val="17"/>
                <w:lang w:val="fr-FR"/>
              </w:rPr>
            </w:pPr>
            <w:r w:rsidRPr="00A66C9F">
              <w:rPr>
                <w:i/>
                <w:iCs/>
                <w:sz w:val="14"/>
                <w:lang w:val="fr-FR"/>
              </w:rPr>
              <w:t>Au 31 décembre 2018</w:t>
            </w:r>
          </w:p>
        </w:tc>
      </w:tr>
      <w:tr w:rsidR="00744544" w:rsidRPr="00A66C9F" w14:paraId="3C1258FD" w14:textId="77777777" w:rsidTr="00107D5D">
        <w:trPr>
          <w:trHeight w:hRule="exact" w:val="115"/>
          <w:tblHeader/>
        </w:trPr>
        <w:tc>
          <w:tcPr>
            <w:tcW w:w="4050" w:type="dxa"/>
            <w:tcBorders>
              <w:top w:val="single" w:sz="12" w:space="0" w:color="auto"/>
            </w:tcBorders>
            <w:shd w:val="clear" w:color="auto" w:fill="auto"/>
            <w:vAlign w:val="bottom"/>
          </w:tcPr>
          <w:p w14:paraId="2D9133CA" w14:textId="77777777" w:rsidR="00744544" w:rsidRPr="00A66C9F" w:rsidRDefault="00744544" w:rsidP="00107D5D">
            <w:pPr>
              <w:keepNext/>
              <w:keepLines/>
              <w:suppressAutoHyphens/>
              <w:spacing w:before="40" w:after="40" w:line="210" w:lineRule="exact"/>
              <w:ind w:right="40"/>
              <w:rPr>
                <w:sz w:val="17"/>
                <w:lang w:val="fr-FR"/>
              </w:rPr>
            </w:pPr>
          </w:p>
        </w:tc>
        <w:tc>
          <w:tcPr>
            <w:tcW w:w="1710" w:type="dxa"/>
            <w:tcBorders>
              <w:top w:val="single" w:sz="12" w:space="0" w:color="auto"/>
            </w:tcBorders>
            <w:shd w:val="clear" w:color="auto" w:fill="auto"/>
            <w:vAlign w:val="bottom"/>
          </w:tcPr>
          <w:p w14:paraId="367CA759" w14:textId="77777777" w:rsidR="00744544" w:rsidRPr="00A66C9F" w:rsidRDefault="00744544" w:rsidP="00107D5D">
            <w:pPr>
              <w:keepNext/>
              <w:keepLines/>
              <w:suppressAutoHyphens/>
              <w:spacing w:before="40" w:after="40" w:line="210" w:lineRule="exact"/>
              <w:ind w:right="43"/>
              <w:jc w:val="right"/>
              <w:rPr>
                <w:sz w:val="17"/>
                <w:lang w:val="fr-FR"/>
              </w:rPr>
            </w:pPr>
          </w:p>
        </w:tc>
        <w:tc>
          <w:tcPr>
            <w:tcW w:w="1560" w:type="dxa"/>
            <w:tcBorders>
              <w:top w:val="single" w:sz="12" w:space="0" w:color="auto"/>
            </w:tcBorders>
            <w:shd w:val="clear" w:color="auto" w:fill="auto"/>
            <w:noWrap/>
            <w:vAlign w:val="bottom"/>
          </w:tcPr>
          <w:p w14:paraId="672CC870" w14:textId="77777777" w:rsidR="00744544" w:rsidRPr="00A66C9F" w:rsidRDefault="00744544" w:rsidP="00107D5D">
            <w:pPr>
              <w:keepNext/>
              <w:keepLines/>
              <w:suppressAutoHyphens/>
              <w:spacing w:before="40" w:after="40" w:line="210" w:lineRule="exact"/>
              <w:ind w:right="43"/>
              <w:jc w:val="right"/>
              <w:rPr>
                <w:sz w:val="17"/>
                <w:lang w:val="fr-FR"/>
              </w:rPr>
            </w:pPr>
          </w:p>
        </w:tc>
      </w:tr>
      <w:tr w:rsidR="00744544" w:rsidRPr="00A66C9F" w14:paraId="42E1D621" w14:textId="77777777" w:rsidTr="00107D5D">
        <w:tc>
          <w:tcPr>
            <w:tcW w:w="4050" w:type="dxa"/>
            <w:shd w:val="clear" w:color="auto" w:fill="auto"/>
            <w:vAlign w:val="bottom"/>
          </w:tcPr>
          <w:p w14:paraId="26ECB5C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Charges à payer au titre des honoraires et des frais de gestion</w:t>
            </w:r>
          </w:p>
        </w:tc>
        <w:tc>
          <w:tcPr>
            <w:tcW w:w="1710" w:type="dxa"/>
            <w:shd w:val="clear" w:color="auto" w:fill="auto"/>
            <w:vAlign w:val="bottom"/>
          </w:tcPr>
          <w:p w14:paraId="620590C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14 452 </w:t>
            </w:r>
          </w:p>
        </w:tc>
        <w:tc>
          <w:tcPr>
            <w:tcW w:w="1560" w:type="dxa"/>
            <w:shd w:val="clear" w:color="auto" w:fill="auto"/>
            <w:noWrap/>
            <w:vAlign w:val="bottom"/>
          </w:tcPr>
          <w:p w14:paraId="0A8F9F6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6 933</w:t>
            </w:r>
          </w:p>
        </w:tc>
      </w:tr>
      <w:tr w:rsidR="00744544" w:rsidRPr="00A66C9F" w14:paraId="446B8A20" w14:textId="77777777" w:rsidTr="00107D5D">
        <w:tc>
          <w:tcPr>
            <w:tcW w:w="4050" w:type="dxa"/>
            <w:shd w:val="clear" w:color="auto" w:fill="auto"/>
            <w:vAlign w:val="bottom"/>
            <w:hideMark/>
          </w:tcPr>
          <w:p w14:paraId="6CE088E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Montants à payer à titre de restitution</w:t>
            </w:r>
          </w:p>
        </w:tc>
        <w:tc>
          <w:tcPr>
            <w:tcW w:w="1710" w:type="dxa"/>
            <w:shd w:val="clear" w:color="auto" w:fill="auto"/>
            <w:vAlign w:val="bottom"/>
          </w:tcPr>
          <w:p w14:paraId="7CF1DD3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3 342 </w:t>
            </w:r>
          </w:p>
        </w:tc>
        <w:tc>
          <w:tcPr>
            <w:tcW w:w="1560" w:type="dxa"/>
            <w:shd w:val="clear" w:color="auto" w:fill="auto"/>
            <w:noWrap/>
            <w:vAlign w:val="bottom"/>
          </w:tcPr>
          <w:p w14:paraId="65C151C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2 869</w:t>
            </w:r>
          </w:p>
        </w:tc>
      </w:tr>
      <w:tr w:rsidR="00744544" w:rsidRPr="00A66C9F" w14:paraId="039809C7" w14:textId="77777777" w:rsidTr="00107D5D">
        <w:tc>
          <w:tcPr>
            <w:tcW w:w="4050" w:type="dxa"/>
            <w:shd w:val="clear" w:color="auto" w:fill="auto"/>
            <w:vAlign w:val="bottom"/>
            <w:hideMark/>
          </w:tcPr>
          <w:p w14:paraId="6C9EBBF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lastRenderedPageBreak/>
              <w:t>Loyers à payer au titre de contrats de location simple</w:t>
            </w:r>
          </w:p>
        </w:tc>
        <w:tc>
          <w:tcPr>
            <w:tcW w:w="1710" w:type="dxa"/>
            <w:shd w:val="clear" w:color="auto" w:fill="auto"/>
            <w:vAlign w:val="bottom"/>
          </w:tcPr>
          <w:p w14:paraId="209F25B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1 109 </w:t>
            </w:r>
          </w:p>
        </w:tc>
        <w:tc>
          <w:tcPr>
            <w:tcW w:w="1560" w:type="dxa"/>
            <w:shd w:val="clear" w:color="auto" w:fill="auto"/>
            <w:noWrap/>
            <w:vAlign w:val="bottom"/>
          </w:tcPr>
          <w:p w14:paraId="1475BB1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2 237</w:t>
            </w:r>
          </w:p>
        </w:tc>
      </w:tr>
      <w:tr w:rsidR="00744544" w:rsidRPr="00A66C9F" w14:paraId="7911EC94" w14:textId="77777777" w:rsidTr="00107D5D">
        <w:tc>
          <w:tcPr>
            <w:tcW w:w="4050" w:type="dxa"/>
            <w:shd w:val="clear" w:color="auto" w:fill="auto"/>
            <w:vAlign w:val="bottom"/>
            <w:hideMark/>
          </w:tcPr>
          <w:p w14:paraId="7ABBBA4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Montants à payer aux organisations affiliées au titre de l’assurance maladie après la cessation de service</w:t>
            </w:r>
          </w:p>
        </w:tc>
        <w:tc>
          <w:tcPr>
            <w:tcW w:w="1710" w:type="dxa"/>
            <w:shd w:val="clear" w:color="auto" w:fill="auto"/>
            <w:vAlign w:val="bottom"/>
          </w:tcPr>
          <w:p w14:paraId="0EE655B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 </w:t>
            </w:r>
          </w:p>
        </w:tc>
        <w:tc>
          <w:tcPr>
            <w:tcW w:w="1560" w:type="dxa"/>
            <w:shd w:val="clear" w:color="auto" w:fill="auto"/>
            <w:noWrap/>
            <w:vAlign w:val="bottom"/>
          </w:tcPr>
          <w:p w14:paraId="357232C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6</w:t>
            </w:r>
          </w:p>
        </w:tc>
      </w:tr>
      <w:tr w:rsidR="00744544" w:rsidRPr="00A66C9F" w14:paraId="4C04EF30" w14:textId="77777777" w:rsidTr="00107D5D">
        <w:tc>
          <w:tcPr>
            <w:tcW w:w="4050" w:type="dxa"/>
            <w:shd w:val="clear" w:color="auto" w:fill="auto"/>
            <w:vAlign w:val="bottom"/>
          </w:tcPr>
          <w:p w14:paraId="3FADDB2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Honoraires d’audit</w:t>
            </w:r>
          </w:p>
        </w:tc>
        <w:tc>
          <w:tcPr>
            <w:tcW w:w="1710" w:type="dxa"/>
            <w:shd w:val="clear" w:color="auto" w:fill="auto"/>
            <w:vAlign w:val="bottom"/>
          </w:tcPr>
          <w:p w14:paraId="0BBC7A7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197 </w:t>
            </w:r>
          </w:p>
        </w:tc>
        <w:tc>
          <w:tcPr>
            <w:tcW w:w="1560" w:type="dxa"/>
            <w:shd w:val="clear" w:color="auto" w:fill="auto"/>
            <w:noWrap/>
            <w:vAlign w:val="bottom"/>
          </w:tcPr>
          <w:p w14:paraId="58B2521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197</w:t>
            </w:r>
          </w:p>
        </w:tc>
      </w:tr>
      <w:tr w:rsidR="00744544" w:rsidRPr="00A66C9F" w14:paraId="5F5FC800" w14:textId="77777777" w:rsidTr="00107D5D">
        <w:tc>
          <w:tcPr>
            <w:tcW w:w="4050" w:type="dxa"/>
            <w:tcBorders>
              <w:bottom w:val="single" w:sz="4" w:space="0" w:color="auto"/>
            </w:tcBorders>
            <w:shd w:val="clear" w:color="auto" w:fill="auto"/>
            <w:vAlign w:val="bottom"/>
          </w:tcPr>
          <w:p w14:paraId="7458D74E" w14:textId="77777777" w:rsidR="00744544" w:rsidRPr="00A66C9F" w:rsidRDefault="00744544" w:rsidP="00107D5D">
            <w:pPr>
              <w:tabs>
                <w:tab w:val="left" w:pos="288"/>
                <w:tab w:val="left" w:pos="576"/>
                <w:tab w:val="left" w:pos="864"/>
                <w:tab w:val="left" w:pos="1152"/>
              </w:tabs>
              <w:suppressAutoHyphens/>
              <w:spacing w:before="40" w:after="81" w:line="210" w:lineRule="exact"/>
              <w:ind w:right="40"/>
              <w:rPr>
                <w:sz w:val="17"/>
                <w:szCs w:val="17"/>
                <w:lang w:val="fr-FR"/>
              </w:rPr>
            </w:pPr>
            <w:r w:rsidRPr="00A66C9F">
              <w:rPr>
                <w:sz w:val="17"/>
                <w:lang w:val="fr-FR"/>
              </w:rPr>
              <w:t>Autres</w:t>
            </w:r>
          </w:p>
        </w:tc>
        <w:tc>
          <w:tcPr>
            <w:tcW w:w="1710" w:type="dxa"/>
            <w:tcBorders>
              <w:bottom w:val="single" w:sz="4" w:space="0" w:color="auto"/>
            </w:tcBorders>
            <w:shd w:val="clear" w:color="auto" w:fill="auto"/>
            <w:vAlign w:val="bottom"/>
          </w:tcPr>
          <w:p w14:paraId="0F48C77F"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lang w:val="fr-FR"/>
              </w:rPr>
              <w:t xml:space="preserve"> 252 </w:t>
            </w:r>
          </w:p>
        </w:tc>
        <w:tc>
          <w:tcPr>
            <w:tcW w:w="1560" w:type="dxa"/>
            <w:tcBorders>
              <w:bottom w:val="single" w:sz="4" w:space="0" w:color="auto"/>
            </w:tcBorders>
            <w:shd w:val="clear" w:color="auto" w:fill="auto"/>
            <w:noWrap/>
            <w:vAlign w:val="bottom"/>
          </w:tcPr>
          <w:p w14:paraId="761A05DC"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lang w:val="fr-FR"/>
              </w:rPr>
              <w:t>355</w:t>
            </w:r>
          </w:p>
        </w:tc>
      </w:tr>
      <w:tr w:rsidR="00744544" w:rsidRPr="00A66C9F" w14:paraId="580C8307" w14:textId="77777777" w:rsidTr="00107D5D">
        <w:tc>
          <w:tcPr>
            <w:tcW w:w="4050" w:type="dxa"/>
            <w:tcBorders>
              <w:top w:val="single" w:sz="4" w:space="0" w:color="auto"/>
              <w:bottom w:val="single" w:sz="12" w:space="0" w:color="auto"/>
            </w:tcBorders>
            <w:shd w:val="clear" w:color="auto" w:fill="auto"/>
            <w:vAlign w:val="bottom"/>
            <w:hideMark/>
          </w:tcPr>
          <w:p w14:paraId="7888843C" w14:textId="77777777" w:rsidR="00744544" w:rsidRPr="00A66C9F" w:rsidRDefault="00744544" w:rsidP="00107D5D">
            <w:pPr>
              <w:tabs>
                <w:tab w:val="left" w:pos="288"/>
                <w:tab w:val="left" w:pos="576"/>
                <w:tab w:val="left" w:pos="864"/>
                <w:tab w:val="left" w:pos="1152"/>
              </w:tabs>
              <w:suppressAutoHyphens/>
              <w:spacing w:before="81" w:after="81" w:line="210" w:lineRule="exact"/>
              <w:ind w:right="40"/>
              <w:rPr>
                <w:b/>
                <w:bCs/>
                <w:sz w:val="17"/>
                <w:szCs w:val="17"/>
                <w:lang w:val="fr-FR"/>
              </w:rPr>
            </w:pPr>
            <w:r w:rsidRPr="00A66C9F">
              <w:rPr>
                <w:b/>
                <w:bCs/>
                <w:sz w:val="17"/>
                <w:lang w:val="fr-FR"/>
              </w:rPr>
              <w:tab/>
              <w:t>Total</w:t>
            </w:r>
          </w:p>
        </w:tc>
        <w:tc>
          <w:tcPr>
            <w:tcW w:w="1710" w:type="dxa"/>
            <w:tcBorders>
              <w:top w:val="single" w:sz="4" w:space="0" w:color="auto"/>
              <w:bottom w:val="single" w:sz="12" w:space="0" w:color="auto"/>
            </w:tcBorders>
            <w:shd w:val="clear" w:color="auto" w:fill="auto"/>
            <w:vAlign w:val="bottom"/>
          </w:tcPr>
          <w:p w14:paraId="2845E2A4"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bCs/>
                <w:sz w:val="17"/>
                <w:szCs w:val="17"/>
                <w:lang w:val="fr-FR"/>
              </w:rPr>
            </w:pPr>
            <w:r w:rsidRPr="00A66C9F">
              <w:rPr>
                <w:b/>
                <w:sz w:val="17"/>
                <w:lang w:val="fr-FR"/>
              </w:rPr>
              <w:t xml:space="preserve"> </w:t>
            </w:r>
            <w:r w:rsidRPr="00A66C9F">
              <w:rPr>
                <w:b/>
                <w:bCs/>
                <w:sz w:val="17"/>
                <w:lang w:val="fr-FR"/>
              </w:rPr>
              <w:t>19 352</w:t>
            </w:r>
            <w:r w:rsidRPr="00A66C9F">
              <w:rPr>
                <w:b/>
                <w:sz w:val="17"/>
                <w:lang w:val="fr-FR"/>
              </w:rPr>
              <w:t xml:space="preserve"> </w:t>
            </w:r>
          </w:p>
        </w:tc>
        <w:tc>
          <w:tcPr>
            <w:tcW w:w="1560" w:type="dxa"/>
            <w:tcBorders>
              <w:top w:val="single" w:sz="4" w:space="0" w:color="auto"/>
              <w:bottom w:val="single" w:sz="12" w:space="0" w:color="auto"/>
            </w:tcBorders>
            <w:shd w:val="clear" w:color="auto" w:fill="auto"/>
            <w:vAlign w:val="bottom"/>
          </w:tcPr>
          <w:p w14:paraId="1C147656"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bCs/>
                <w:sz w:val="17"/>
                <w:szCs w:val="17"/>
                <w:lang w:val="fr-FR"/>
              </w:rPr>
            </w:pPr>
            <w:r w:rsidRPr="00A66C9F">
              <w:rPr>
                <w:b/>
                <w:bCs/>
                <w:sz w:val="17"/>
                <w:lang w:val="fr-FR"/>
              </w:rPr>
              <w:t>12 597</w:t>
            </w:r>
          </w:p>
        </w:tc>
      </w:tr>
    </w:tbl>
    <w:p w14:paraId="730B8FD0" w14:textId="77777777" w:rsidR="00744544" w:rsidRPr="00A66C9F" w:rsidRDefault="00744544" w:rsidP="00744544">
      <w:pPr>
        <w:pStyle w:val="SingleTxt"/>
        <w:spacing w:after="0" w:line="120" w:lineRule="exact"/>
        <w:rPr>
          <w:sz w:val="10"/>
          <w:lang w:val="fr-FR"/>
        </w:rPr>
      </w:pPr>
    </w:p>
    <w:p w14:paraId="1D990A76" w14:textId="77777777" w:rsidR="00744544" w:rsidRPr="00A66C9F" w:rsidRDefault="00744544" w:rsidP="00744544">
      <w:pPr>
        <w:pStyle w:val="SingleTxt"/>
        <w:spacing w:after="0" w:line="120" w:lineRule="exact"/>
        <w:rPr>
          <w:sz w:val="10"/>
          <w:lang w:val="fr-FR"/>
        </w:rPr>
      </w:pPr>
    </w:p>
    <w:p w14:paraId="133319ED" w14:textId="77777777" w:rsidR="00744544" w:rsidRPr="00A66C9F" w:rsidRDefault="00744544" w:rsidP="00744544">
      <w:pPr>
        <w:pStyle w:val="SingleTxt"/>
        <w:spacing w:after="0" w:line="120" w:lineRule="exact"/>
        <w:rPr>
          <w:sz w:val="10"/>
          <w:lang w:val="fr-FR"/>
        </w:rPr>
      </w:pPr>
    </w:p>
    <w:p w14:paraId="2A765065"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Arial"/>
          <w:lang w:val="fr-FR"/>
        </w:rPr>
      </w:pPr>
      <w:r w:rsidRPr="00A66C9F">
        <w:rPr>
          <w:lang w:val="fr-FR"/>
        </w:rPr>
        <w:tab/>
      </w:r>
      <w:r w:rsidRPr="00A66C9F">
        <w:rPr>
          <w:lang w:val="fr-FR"/>
        </w:rPr>
        <w:tab/>
        <w:t>Note 13</w:t>
      </w:r>
    </w:p>
    <w:p w14:paraId="17F70E7B"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Produits des investissements</w:t>
      </w:r>
    </w:p>
    <w:p w14:paraId="7BF34BB6" w14:textId="77777777" w:rsidR="00744544" w:rsidRPr="00A66C9F" w:rsidRDefault="00744544" w:rsidP="00744544">
      <w:pPr>
        <w:pStyle w:val="SingleTxt"/>
        <w:spacing w:after="0" w:line="120" w:lineRule="exact"/>
        <w:rPr>
          <w:sz w:val="10"/>
          <w:lang w:val="fr-FR"/>
        </w:rPr>
      </w:pPr>
    </w:p>
    <w:p w14:paraId="3FAC8CD0" w14:textId="77777777" w:rsidR="00744544" w:rsidRPr="00A66C9F" w:rsidRDefault="00744544" w:rsidP="00753AB8">
      <w:pPr>
        <w:pStyle w:val="SingleTxt"/>
        <w:numPr>
          <w:ilvl w:val="0"/>
          <w:numId w:val="18"/>
        </w:numPr>
        <w:spacing w:line="240" w:lineRule="exact"/>
        <w:rPr>
          <w:szCs w:val="20"/>
          <w:lang w:val="fr-FR"/>
        </w:rPr>
      </w:pPr>
      <w:bookmarkStart w:id="295" w:name="_Toc479333635"/>
      <w:bookmarkStart w:id="296" w:name="_Toc479334040"/>
      <w:bookmarkStart w:id="297" w:name="_Toc479333636"/>
      <w:bookmarkStart w:id="298" w:name="_Toc479334041"/>
      <w:bookmarkStart w:id="299" w:name="_Toc479333637"/>
      <w:bookmarkStart w:id="300" w:name="_Toc479334042"/>
      <w:bookmarkStart w:id="301" w:name="_Toc479333638"/>
      <w:bookmarkStart w:id="302" w:name="_Toc479334043"/>
      <w:bookmarkEnd w:id="295"/>
      <w:bookmarkEnd w:id="296"/>
      <w:bookmarkEnd w:id="297"/>
      <w:bookmarkEnd w:id="298"/>
      <w:bookmarkEnd w:id="299"/>
      <w:bookmarkEnd w:id="300"/>
      <w:bookmarkEnd w:id="301"/>
      <w:bookmarkEnd w:id="302"/>
      <w:r w:rsidRPr="00A66C9F">
        <w:rPr>
          <w:lang w:val="fr-FR"/>
        </w:rPr>
        <w:t>Le tableau ci-après récapitule les produits que la Caisse a tirés de ses investissements, déduction faite des coûts de transaction enregistrés durant la période. Les coûts de transaction pouvant être rattachés à une opération ou cession unique sont imputés au produit des investissements. C’est le cas des commissions de courtage, des autres coûts de transaction et des honoraires de gestion. Les frais de gestion défalqués des produits des titres immobiliers et des investissements alternatifs ont été comptabilisés séparément en frais de gestion dans l’état des variations de l’actif net de la Caisse et intégrés aux coûts de transaction.</w:t>
      </w:r>
    </w:p>
    <w:p w14:paraId="59A2DF9A" w14:textId="5442A789" w:rsidR="00744544" w:rsidRPr="00A66C9F" w:rsidRDefault="00744544" w:rsidP="00753AB8">
      <w:pPr>
        <w:pStyle w:val="SingleTxt"/>
        <w:numPr>
          <w:ilvl w:val="0"/>
          <w:numId w:val="18"/>
        </w:numPr>
        <w:spacing w:line="240" w:lineRule="exact"/>
        <w:rPr>
          <w:szCs w:val="24"/>
          <w:lang w:val="fr-FR"/>
        </w:rPr>
      </w:pPr>
      <w:r w:rsidRPr="00A66C9F">
        <w:rPr>
          <w:lang w:val="fr-FR"/>
        </w:rPr>
        <w:t xml:space="preserve">Dans certains pays, les dividendes, les intérêts créditeurs et les produits provenant de </w:t>
      </w:r>
      <w:r w:rsidRPr="00A66C9F">
        <w:rPr>
          <w:szCs w:val="20"/>
          <w:lang w:val="fr-FR"/>
        </w:rPr>
        <w:t>placements</w:t>
      </w:r>
      <w:r w:rsidRPr="00A66C9F">
        <w:rPr>
          <w:lang w:val="fr-FR"/>
        </w:rPr>
        <w:t xml:space="preserve"> immobiliers perçus par la Caisse ne sont pas imposables. Cette situation tient essentiellement au fait que les fonds de pension sont souvent exonérés de retenues à la source. Toutefois, plusieurs pays n’accordent pas cet avantage à tous les fonds de pension mais, comme ils considèrent que la Caisse commune des pensions du personnel des Nations Unies fait partie de l’ONU, ils l’exonèrent de l’impôt national sur ses investissements directs en vertu de l’Article 105 de la Charte des Nations Unies et de l’alinéa a) de la section 7 de l’article II de la Convention de 1946 sur les privilèges et immunités des Nations Unies (voir aussi la note 3.3). La Caisse n’est pas en mesure d’évaluer de façon fiable le montant de l’exonération supplémentaire dont elle bénéficie de par son rattachement à l’ONU et ne peut donc pas l’indiquer dans l’état des variations de l’actif net disponible pour le versement des prestations, comme elle devrait le faire pour respecter la norme IPSAS</w:t>
      </w:r>
      <w:r w:rsidR="00480329" w:rsidRPr="00A66C9F">
        <w:rPr>
          <w:lang w:val="fr-FR"/>
        </w:rPr>
        <w:t> </w:t>
      </w:r>
      <w:r w:rsidRPr="00A66C9F">
        <w:rPr>
          <w:lang w:val="fr-FR"/>
        </w:rPr>
        <w:t xml:space="preserve">23 (Produits des opérations sans contrepartie directe). </w:t>
      </w:r>
    </w:p>
    <w:p w14:paraId="58690131" w14:textId="77777777" w:rsidR="00744544" w:rsidRPr="00A66C9F" w:rsidRDefault="00744544" w:rsidP="00744544">
      <w:pPr>
        <w:pStyle w:val="SingleTxt"/>
        <w:spacing w:after="0" w:line="120" w:lineRule="exact"/>
        <w:rPr>
          <w:sz w:val="10"/>
          <w:lang w:val="fr-FR"/>
        </w:rPr>
      </w:pPr>
    </w:p>
    <w:p w14:paraId="4F5FA45E" w14:textId="77777777" w:rsidR="00744544" w:rsidRPr="00A66C9F" w:rsidRDefault="00744544" w:rsidP="0074454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lang w:val="fr-FR"/>
        </w:rPr>
        <w:tab/>
      </w:r>
      <w:r w:rsidRPr="00A66C9F">
        <w:rPr>
          <w:sz w:val="14"/>
          <w:szCs w:val="14"/>
          <w:lang w:val="fr-FR"/>
        </w:rPr>
        <w:tab/>
        <w:t>(En milliers de dollars des États-Unis)</w:t>
      </w:r>
    </w:p>
    <w:p w14:paraId="233195BF" w14:textId="77777777" w:rsidR="00744544" w:rsidRPr="00A66C9F" w:rsidRDefault="00744544" w:rsidP="00744544">
      <w:pPr>
        <w:pStyle w:val="SingleTxt"/>
        <w:spacing w:after="0" w:line="120" w:lineRule="exact"/>
        <w:rPr>
          <w:sz w:val="10"/>
          <w:lang w:val="fr-FR"/>
        </w:rPr>
      </w:pPr>
    </w:p>
    <w:p w14:paraId="404A93EF" w14:textId="77777777" w:rsidR="00744544" w:rsidRPr="00A66C9F" w:rsidRDefault="00744544" w:rsidP="00744544">
      <w:pPr>
        <w:pStyle w:val="SingleTxt"/>
        <w:spacing w:after="0" w:line="120" w:lineRule="exact"/>
        <w:rPr>
          <w:sz w:val="10"/>
          <w:lang w:val="fr-FR"/>
        </w:rPr>
      </w:pPr>
    </w:p>
    <w:tbl>
      <w:tblPr>
        <w:tblW w:w="7320" w:type="dxa"/>
        <w:tblInd w:w="1260" w:type="dxa"/>
        <w:tblLayout w:type="fixed"/>
        <w:tblCellMar>
          <w:left w:w="0" w:type="dxa"/>
          <w:right w:w="0" w:type="dxa"/>
        </w:tblCellMar>
        <w:tblLook w:val="04A0" w:firstRow="1" w:lastRow="0" w:firstColumn="1" w:lastColumn="0" w:noHBand="0" w:noVBand="1"/>
      </w:tblPr>
      <w:tblGrid>
        <w:gridCol w:w="4410"/>
        <w:gridCol w:w="1455"/>
        <w:gridCol w:w="1455"/>
      </w:tblGrid>
      <w:tr w:rsidR="00744544" w:rsidRPr="00A66C9F" w14:paraId="48C2E30E" w14:textId="77777777" w:rsidTr="00107D5D">
        <w:trPr>
          <w:trHeight w:val="330"/>
          <w:tblHeader/>
        </w:trPr>
        <w:tc>
          <w:tcPr>
            <w:tcW w:w="4410" w:type="dxa"/>
            <w:tcBorders>
              <w:top w:val="single" w:sz="4" w:space="0" w:color="auto"/>
              <w:bottom w:val="single" w:sz="12" w:space="0" w:color="auto"/>
            </w:tcBorders>
            <w:shd w:val="clear" w:color="auto" w:fill="auto"/>
            <w:noWrap/>
            <w:vAlign w:val="bottom"/>
            <w:hideMark/>
          </w:tcPr>
          <w:p w14:paraId="0819FF9C" w14:textId="77777777" w:rsidR="00744544" w:rsidRPr="00A66C9F" w:rsidRDefault="00744544" w:rsidP="00107D5D">
            <w:pPr>
              <w:suppressAutoHyphens/>
              <w:spacing w:before="81" w:after="81" w:line="160" w:lineRule="exact"/>
              <w:ind w:right="40"/>
              <w:rPr>
                <w:bCs/>
                <w:i/>
                <w:iCs/>
                <w:sz w:val="14"/>
                <w:szCs w:val="20"/>
                <w:lang w:val="fr-FR"/>
              </w:rPr>
            </w:pPr>
            <w:r w:rsidRPr="00A66C9F">
              <w:rPr>
                <w:bCs/>
                <w:i/>
                <w:iCs/>
                <w:sz w:val="14"/>
                <w:szCs w:val="20"/>
                <w:lang w:val="fr-FR"/>
              </w:rPr>
              <w:t> </w:t>
            </w:r>
          </w:p>
        </w:tc>
        <w:tc>
          <w:tcPr>
            <w:tcW w:w="1455" w:type="dxa"/>
            <w:tcBorders>
              <w:top w:val="single" w:sz="4" w:space="0" w:color="auto"/>
              <w:bottom w:val="single" w:sz="12" w:space="0" w:color="auto"/>
            </w:tcBorders>
            <w:shd w:val="clear" w:color="auto" w:fill="auto"/>
            <w:vAlign w:val="bottom"/>
          </w:tcPr>
          <w:p w14:paraId="686FB798" w14:textId="77777777" w:rsidR="00744544" w:rsidRPr="00A66C9F" w:rsidRDefault="00744544" w:rsidP="00107D5D">
            <w:pPr>
              <w:suppressAutoHyphens/>
              <w:spacing w:before="81" w:after="81" w:line="160" w:lineRule="exact"/>
              <w:ind w:right="43"/>
              <w:jc w:val="right"/>
              <w:rPr>
                <w:bCs/>
                <w:i/>
                <w:iCs/>
                <w:sz w:val="14"/>
                <w:szCs w:val="20"/>
                <w:lang w:val="fr-FR"/>
              </w:rPr>
            </w:pPr>
            <w:r w:rsidRPr="00A66C9F">
              <w:rPr>
                <w:i/>
                <w:iCs/>
                <w:sz w:val="14"/>
                <w:lang w:val="fr-FR"/>
              </w:rPr>
              <w:t>2019</w:t>
            </w:r>
          </w:p>
        </w:tc>
        <w:tc>
          <w:tcPr>
            <w:tcW w:w="1455" w:type="dxa"/>
            <w:tcBorders>
              <w:top w:val="single" w:sz="4" w:space="0" w:color="auto"/>
              <w:bottom w:val="single" w:sz="12" w:space="0" w:color="auto"/>
            </w:tcBorders>
            <w:shd w:val="clear" w:color="auto" w:fill="auto"/>
            <w:vAlign w:val="bottom"/>
            <w:hideMark/>
          </w:tcPr>
          <w:p w14:paraId="20E33DB4" w14:textId="77777777" w:rsidR="00744544" w:rsidRPr="00A66C9F" w:rsidRDefault="00744544" w:rsidP="00107D5D">
            <w:pPr>
              <w:suppressAutoHyphens/>
              <w:spacing w:before="81" w:after="81" w:line="160" w:lineRule="exact"/>
              <w:ind w:right="43"/>
              <w:jc w:val="right"/>
              <w:rPr>
                <w:bCs/>
                <w:i/>
                <w:iCs/>
                <w:sz w:val="14"/>
                <w:szCs w:val="20"/>
                <w:lang w:val="fr-FR"/>
              </w:rPr>
            </w:pPr>
            <w:r w:rsidRPr="00A66C9F">
              <w:rPr>
                <w:i/>
                <w:iCs/>
                <w:sz w:val="14"/>
                <w:lang w:val="fr-FR"/>
              </w:rPr>
              <w:t>2018</w:t>
            </w:r>
          </w:p>
        </w:tc>
      </w:tr>
      <w:tr w:rsidR="00744544" w:rsidRPr="00A66C9F" w14:paraId="74C82BC0" w14:textId="77777777" w:rsidTr="00107D5D">
        <w:trPr>
          <w:trHeight w:hRule="exact" w:val="115"/>
          <w:tblHeader/>
        </w:trPr>
        <w:tc>
          <w:tcPr>
            <w:tcW w:w="4410" w:type="dxa"/>
            <w:tcBorders>
              <w:top w:val="single" w:sz="12" w:space="0" w:color="auto"/>
            </w:tcBorders>
            <w:shd w:val="clear" w:color="000000" w:fill="FFFFFF"/>
            <w:vAlign w:val="bottom"/>
          </w:tcPr>
          <w:p w14:paraId="778D608E" w14:textId="77777777" w:rsidR="00744544" w:rsidRPr="00A66C9F" w:rsidRDefault="00744544" w:rsidP="00107D5D">
            <w:pPr>
              <w:suppressAutoHyphens/>
              <w:spacing w:before="40" w:after="40" w:line="210" w:lineRule="exact"/>
              <w:ind w:right="40"/>
              <w:rPr>
                <w:b/>
                <w:bCs/>
                <w:sz w:val="17"/>
                <w:lang w:val="fr-FR"/>
              </w:rPr>
            </w:pPr>
          </w:p>
        </w:tc>
        <w:tc>
          <w:tcPr>
            <w:tcW w:w="1455" w:type="dxa"/>
            <w:tcBorders>
              <w:top w:val="single" w:sz="12" w:space="0" w:color="auto"/>
            </w:tcBorders>
            <w:shd w:val="clear" w:color="000000" w:fill="FFFFFF"/>
            <w:vAlign w:val="bottom"/>
          </w:tcPr>
          <w:p w14:paraId="05BE2AF0" w14:textId="77777777" w:rsidR="00744544" w:rsidRPr="00A66C9F" w:rsidRDefault="00744544" w:rsidP="00107D5D">
            <w:pPr>
              <w:suppressAutoHyphens/>
              <w:spacing w:before="40" w:after="40" w:line="210" w:lineRule="exact"/>
              <w:ind w:right="43"/>
              <w:jc w:val="right"/>
              <w:rPr>
                <w:b/>
                <w:bCs/>
                <w:sz w:val="17"/>
                <w:lang w:val="fr-FR"/>
              </w:rPr>
            </w:pPr>
          </w:p>
        </w:tc>
        <w:tc>
          <w:tcPr>
            <w:tcW w:w="1455" w:type="dxa"/>
            <w:tcBorders>
              <w:top w:val="single" w:sz="12" w:space="0" w:color="auto"/>
            </w:tcBorders>
            <w:shd w:val="clear" w:color="000000" w:fill="FFFFFF"/>
            <w:vAlign w:val="bottom"/>
          </w:tcPr>
          <w:p w14:paraId="6B81FCB2" w14:textId="77777777" w:rsidR="00744544" w:rsidRPr="00A66C9F" w:rsidRDefault="00744544" w:rsidP="00107D5D">
            <w:pPr>
              <w:suppressAutoHyphens/>
              <w:spacing w:before="40" w:after="40" w:line="210" w:lineRule="exact"/>
              <w:ind w:right="43"/>
              <w:jc w:val="right"/>
              <w:rPr>
                <w:b/>
                <w:bCs/>
                <w:sz w:val="17"/>
                <w:lang w:val="fr-FR"/>
              </w:rPr>
            </w:pPr>
          </w:p>
        </w:tc>
      </w:tr>
      <w:tr w:rsidR="00744544" w:rsidRPr="00A66C9F" w14:paraId="47BF3E42" w14:textId="77777777" w:rsidTr="00107D5D">
        <w:tc>
          <w:tcPr>
            <w:tcW w:w="4410" w:type="dxa"/>
            <w:shd w:val="clear" w:color="000000" w:fill="FFFFFF"/>
            <w:vAlign w:val="bottom"/>
            <w:hideMark/>
          </w:tcPr>
          <w:p w14:paraId="3E4364F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b/>
                <w:bCs/>
                <w:sz w:val="17"/>
                <w:szCs w:val="17"/>
                <w:lang w:val="fr-FR"/>
              </w:rPr>
            </w:pPr>
            <w:r w:rsidRPr="00A66C9F">
              <w:rPr>
                <w:b/>
                <w:bCs/>
                <w:sz w:val="17"/>
                <w:lang w:val="fr-FR"/>
              </w:rPr>
              <w:t>Total des variations de la juste valeur</w:t>
            </w:r>
          </w:p>
        </w:tc>
        <w:tc>
          <w:tcPr>
            <w:tcW w:w="1455" w:type="dxa"/>
            <w:shd w:val="clear" w:color="000000" w:fill="FFFFFF"/>
            <w:vAlign w:val="bottom"/>
          </w:tcPr>
          <w:p w14:paraId="3A84B66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b/>
                <w:bCs/>
                <w:sz w:val="17"/>
                <w:szCs w:val="17"/>
                <w:lang w:val="fr-FR"/>
              </w:rPr>
            </w:pPr>
            <w:r w:rsidRPr="00A66C9F">
              <w:rPr>
                <w:b/>
                <w:bCs/>
                <w:sz w:val="17"/>
                <w:lang w:val="fr-FR"/>
              </w:rPr>
              <w:t>10 009 778</w:t>
            </w:r>
          </w:p>
        </w:tc>
        <w:tc>
          <w:tcPr>
            <w:tcW w:w="1455" w:type="dxa"/>
            <w:shd w:val="clear" w:color="000000" w:fill="FFFFFF"/>
            <w:vAlign w:val="bottom"/>
          </w:tcPr>
          <w:p w14:paraId="1055D45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b/>
                <w:bCs/>
                <w:sz w:val="17"/>
                <w:szCs w:val="17"/>
                <w:lang w:val="fr-FR"/>
              </w:rPr>
            </w:pPr>
            <w:r w:rsidRPr="00A66C9F">
              <w:rPr>
                <w:b/>
                <w:bCs/>
                <w:sz w:val="17"/>
                <w:lang w:val="fr-FR"/>
              </w:rPr>
              <w:t>(4 502 075)</w:t>
            </w:r>
          </w:p>
        </w:tc>
      </w:tr>
      <w:tr w:rsidR="00744544" w:rsidRPr="00A66C9F" w14:paraId="4AB38193" w14:textId="77777777" w:rsidTr="00107D5D">
        <w:tc>
          <w:tcPr>
            <w:tcW w:w="4410" w:type="dxa"/>
            <w:shd w:val="clear" w:color="000000" w:fill="FFFFFF"/>
            <w:vAlign w:val="bottom"/>
            <w:hideMark/>
          </w:tcPr>
          <w:p w14:paraId="0EC4361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rPr>
                <w:sz w:val="17"/>
                <w:szCs w:val="17"/>
                <w:lang w:val="fr-FR"/>
              </w:rPr>
            </w:pPr>
            <w:r w:rsidRPr="00A66C9F">
              <w:rPr>
                <w:sz w:val="17"/>
                <w:lang w:val="fr-FR"/>
              </w:rPr>
              <w:t>Intérêts créditeurs</w:t>
            </w:r>
          </w:p>
        </w:tc>
        <w:tc>
          <w:tcPr>
            <w:tcW w:w="1455" w:type="dxa"/>
            <w:shd w:val="clear" w:color="000000" w:fill="FFFFFF"/>
            <w:vAlign w:val="bottom"/>
          </w:tcPr>
          <w:p w14:paraId="185C724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1455" w:type="dxa"/>
            <w:shd w:val="clear" w:color="000000" w:fill="FFFFFF"/>
            <w:vAlign w:val="bottom"/>
          </w:tcPr>
          <w:p w14:paraId="2D9866F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p>
        </w:tc>
      </w:tr>
      <w:tr w:rsidR="00744544" w:rsidRPr="00A66C9F" w14:paraId="5A429F9F" w14:textId="77777777" w:rsidTr="00107D5D">
        <w:tc>
          <w:tcPr>
            <w:tcW w:w="4410" w:type="dxa"/>
            <w:shd w:val="clear" w:color="000000" w:fill="FFFFFF"/>
            <w:vAlign w:val="bottom"/>
            <w:hideMark/>
          </w:tcPr>
          <w:p w14:paraId="637ECECC" w14:textId="77777777" w:rsidR="00744544" w:rsidRPr="00A66C9F" w:rsidRDefault="00744544" w:rsidP="00107D5D">
            <w:pPr>
              <w:tabs>
                <w:tab w:val="left" w:pos="288"/>
                <w:tab w:val="left" w:pos="576"/>
                <w:tab w:val="left" w:pos="864"/>
                <w:tab w:val="left" w:pos="1152"/>
              </w:tabs>
              <w:suppressAutoHyphens/>
              <w:spacing w:before="40" w:after="40" w:line="210" w:lineRule="exact"/>
              <w:ind w:left="288" w:right="43" w:hanging="288"/>
              <w:rPr>
                <w:sz w:val="17"/>
                <w:szCs w:val="17"/>
                <w:lang w:val="fr-FR"/>
              </w:rPr>
            </w:pPr>
            <w:r w:rsidRPr="00A66C9F">
              <w:rPr>
                <w:sz w:val="17"/>
                <w:lang w:val="fr-FR"/>
              </w:rPr>
              <w:tab/>
              <w:t>Intérêts créditeurs de trésorerie et d’équivalents de trésorerie</w:t>
            </w:r>
          </w:p>
        </w:tc>
        <w:tc>
          <w:tcPr>
            <w:tcW w:w="1455" w:type="dxa"/>
            <w:shd w:val="clear" w:color="000000" w:fill="FFFFFF"/>
            <w:vAlign w:val="bottom"/>
          </w:tcPr>
          <w:p w14:paraId="12D0659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firstLineChars="200" w:firstLine="356"/>
              <w:jc w:val="right"/>
              <w:rPr>
                <w:sz w:val="17"/>
                <w:szCs w:val="17"/>
                <w:lang w:val="fr-FR"/>
              </w:rPr>
            </w:pPr>
            <w:r w:rsidRPr="00A66C9F">
              <w:rPr>
                <w:sz w:val="17"/>
                <w:lang w:val="fr-FR"/>
              </w:rPr>
              <w:t xml:space="preserve"> 11 477 </w:t>
            </w:r>
          </w:p>
        </w:tc>
        <w:tc>
          <w:tcPr>
            <w:tcW w:w="1455" w:type="dxa"/>
            <w:shd w:val="clear" w:color="000000" w:fill="FFFFFF"/>
            <w:vAlign w:val="bottom"/>
          </w:tcPr>
          <w:p w14:paraId="5FD71B6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firstLineChars="200" w:firstLine="356"/>
              <w:jc w:val="right"/>
              <w:rPr>
                <w:sz w:val="17"/>
                <w:szCs w:val="17"/>
                <w:lang w:val="fr-FR"/>
              </w:rPr>
            </w:pPr>
            <w:r w:rsidRPr="00A66C9F">
              <w:rPr>
                <w:sz w:val="17"/>
                <w:lang w:val="fr-FR"/>
              </w:rPr>
              <w:t>8 670</w:t>
            </w:r>
          </w:p>
        </w:tc>
      </w:tr>
      <w:tr w:rsidR="00744544" w:rsidRPr="00A66C9F" w14:paraId="7993327F" w14:textId="77777777" w:rsidTr="00107D5D">
        <w:tc>
          <w:tcPr>
            <w:tcW w:w="4410" w:type="dxa"/>
            <w:tcBorders>
              <w:bottom w:val="single" w:sz="4" w:space="0" w:color="auto"/>
            </w:tcBorders>
            <w:shd w:val="clear" w:color="000000" w:fill="FFFFFF"/>
            <w:vAlign w:val="bottom"/>
            <w:hideMark/>
          </w:tcPr>
          <w:p w14:paraId="48F27DDD"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rPr>
                <w:sz w:val="17"/>
                <w:szCs w:val="17"/>
                <w:lang w:val="fr-FR"/>
              </w:rPr>
            </w:pPr>
            <w:r w:rsidRPr="00A66C9F">
              <w:rPr>
                <w:sz w:val="17"/>
                <w:lang w:val="fr-FR"/>
              </w:rPr>
              <w:tab/>
              <w:t>Intérêts créditeurs des titres à revenu fixe</w:t>
            </w:r>
          </w:p>
        </w:tc>
        <w:tc>
          <w:tcPr>
            <w:tcW w:w="1455" w:type="dxa"/>
            <w:tcBorders>
              <w:bottom w:val="single" w:sz="4" w:space="0" w:color="auto"/>
            </w:tcBorders>
            <w:shd w:val="clear" w:color="000000" w:fill="FFFFFF"/>
            <w:vAlign w:val="bottom"/>
          </w:tcPr>
          <w:p w14:paraId="19D35EBB"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firstLineChars="200" w:firstLine="356"/>
              <w:jc w:val="right"/>
              <w:rPr>
                <w:sz w:val="17"/>
                <w:szCs w:val="17"/>
                <w:lang w:val="fr-FR"/>
              </w:rPr>
            </w:pPr>
            <w:r w:rsidRPr="00A66C9F">
              <w:rPr>
                <w:sz w:val="17"/>
                <w:lang w:val="fr-FR"/>
              </w:rPr>
              <w:t xml:space="preserve"> 507 314 </w:t>
            </w:r>
          </w:p>
        </w:tc>
        <w:tc>
          <w:tcPr>
            <w:tcW w:w="1455" w:type="dxa"/>
            <w:tcBorders>
              <w:bottom w:val="single" w:sz="4" w:space="0" w:color="auto"/>
            </w:tcBorders>
            <w:shd w:val="clear" w:color="000000" w:fill="FFFFFF"/>
            <w:vAlign w:val="bottom"/>
          </w:tcPr>
          <w:p w14:paraId="5CE5DE6F"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firstLineChars="200" w:firstLine="356"/>
              <w:jc w:val="right"/>
              <w:rPr>
                <w:sz w:val="17"/>
                <w:szCs w:val="17"/>
                <w:lang w:val="fr-FR"/>
              </w:rPr>
            </w:pPr>
            <w:r w:rsidRPr="00A66C9F">
              <w:rPr>
                <w:sz w:val="17"/>
                <w:lang w:val="fr-FR"/>
              </w:rPr>
              <w:t>368 046</w:t>
            </w:r>
          </w:p>
        </w:tc>
      </w:tr>
      <w:tr w:rsidR="00744544" w:rsidRPr="00A66C9F" w14:paraId="03697F6F" w14:textId="77777777" w:rsidTr="00107D5D">
        <w:tc>
          <w:tcPr>
            <w:tcW w:w="4410" w:type="dxa"/>
            <w:tcBorders>
              <w:top w:val="single" w:sz="4" w:space="0" w:color="auto"/>
              <w:bottom w:val="single" w:sz="4" w:space="0" w:color="auto"/>
            </w:tcBorders>
            <w:shd w:val="clear" w:color="000000" w:fill="FFFFFF"/>
            <w:vAlign w:val="bottom"/>
            <w:hideMark/>
          </w:tcPr>
          <w:p w14:paraId="1F051ABD"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rPr>
                <w:b/>
                <w:bCs/>
                <w:sz w:val="17"/>
                <w:szCs w:val="17"/>
                <w:lang w:val="fr-FR"/>
              </w:rPr>
            </w:pPr>
            <w:r w:rsidRPr="00A66C9F">
              <w:rPr>
                <w:b/>
                <w:bCs/>
                <w:sz w:val="17"/>
                <w:lang w:val="fr-FR"/>
              </w:rPr>
              <w:tab/>
              <w:t>Total des intérêts créditeurs</w:t>
            </w:r>
          </w:p>
        </w:tc>
        <w:tc>
          <w:tcPr>
            <w:tcW w:w="1455" w:type="dxa"/>
            <w:tcBorders>
              <w:top w:val="single" w:sz="4" w:space="0" w:color="auto"/>
              <w:bottom w:val="single" w:sz="4" w:space="0" w:color="auto"/>
            </w:tcBorders>
            <w:shd w:val="clear" w:color="000000" w:fill="FFFFFF"/>
            <w:vAlign w:val="bottom"/>
          </w:tcPr>
          <w:p w14:paraId="21DF8E04"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bCs/>
                <w:sz w:val="17"/>
                <w:szCs w:val="17"/>
                <w:lang w:val="fr-FR"/>
              </w:rPr>
            </w:pPr>
            <w:r w:rsidRPr="00A66C9F">
              <w:rPr>
                <w:b/>
                <w:sz w:val="17"/>
                <w:lang w:val="fr-FR"/>
              </w:rPr>
              <w:t xml:space="preserve"> </w:t>
            </w:r>
            <w:r w:rsidRPr="00A66C9F">
              <w:rPr>
                <w:b/>
                <w:bCs/>
                <w:sz w:val="17"/>
                <w:lang w:val="fr-FR"/>
              </w:rPr>
              <w:t>518 791</w:t>
            </w:r>
            <w:r w:rsidRPr="00A66C9F">
              <w:rPr>
                <w:b/>
                <w:sz w:val="17"/>
                <w:lang w:val="fr-FR"/>
              </w:rPr>
              <w:t xml:space="preserve"> </w:t>
            </w:r>
          </w:p>
        </w:tc>
        <w:tc>
          <w:tcPr>
            <w:tcW w:w="1455" w:type="dxa"/>
            <w:tcBorders>
              <w:top w:val="single" w:sz="4" w:space="0" w:color="auto"/>
              <w:bottom w:val="single" w:sz="4" w:space="0" w:color="auto"/>
            </w:tcBorders>
            <w:shd w:val="clear" w:color="000000" w:fill="FFFFFF"/>
            <w:vAlign w:val="bottom"/>
          </w:tcPr>
          <w:p w14:paraId="185802A0"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bCs/>
                <w:sz w:val="17"/>
                <w:szCs w:val="17"/>
                <w:lang w:val="fr-FR"/>
              </w:rPr>
            </w:pPr>
            <w:r w:rsidRPr="00A66C9F">
              <w:rPr>
                <w:b/>
                <w:bCs/>
                <w:sz w:val="17"/>
                <w:lang w:val="fr-FR"/>
              </w:rPr>
              <w:t>376 716</w:t>
            </w:r>
          </w:p>
        </w:tc>
      </w:tr>
      <w:tr w:rsidR="00744544" w:rsidRPr="00A66C9F" w14:paraId="3E1C6C44" w14:textId="77777777" w:rsidTr="00107D5D">
        <w:tc>
          <w:tcPr>
            <w:tcW w:w="4410" w:type="dxa"/>
            <w:tcBorders>
              <w:top w:val="single" w:sz="4" w:space="0" w:color="auto"/>
              <w:bottom w:val="single" w:sz="4" w:space="0" w:color="auto"/>
            </w:tcBorders>
            <w:shd w:val="clear" w:color="000000" w:fill="FFFFFF"/>
            <w:vAlign w:val="bottom"/>
            <w:hideMark/>
          </w:tcPr>
          <w:p w14:paraId="014A677F"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rPr>
                <w:b/>
                <w:bCs/>
                <w:sz w:val="17"/>
                <w:szCs w:val="17"/>
                <w:lang w:val="fr-FR"/>
              </w:rPr>
            </w:pPr>
            <w:r w:rsidRPr="00A66C9F">
              <w:rPr>
                <w:b/>
                <w:bCs/>
                <w:sz w:val="17"/>
                <w:lang w:val="fr-FR"/>
              </w:rPr>
              <w:tab/>
              <w:t>Total des dividendes</w:t>
            </w:r>
          </w:p>
        </w:tc>
        <w:tc>
          <w:tcPr>
            <w:tcW w:w="1455" w:type="dxa"/>
            <w:tcBorders>
              <w:top w:val="single" w:sz="4" w:space="0" w:color="auto"/>
              <w:bottom w:val="single" w:sz="4" w:space="0" w:color="auto"/>
            </w:tcBorders>
            <w:shd w:val="clear" w:color="000000" w:fill="FFFFFF"/>
            <w:vAlign w:val="bottom"/>
          </w:tcPr>
          <w:p w14:paraId="1E712005"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bCs/>
                <w:sz w:val="17"/>
                <w:szCs w:val="17"/>
                <w:lang w:val="fr-FR"/>
              </w:rPr>
            </w:pPr>
            <w:r w:rsidRPr="00A66C9F">
              <w:rPr>
                <w:b/>
                <w:sz w:val="17"/>
                <w:lang w:val="fr-FR"/>
              </w:rPr>
              <w:t xml:space="preserve"> </w:t>
            </w:r>
            <w:r w:rsidRPr="00A66C9F">
              <w:rPr>
                <w:b/>
                <w:bCs/>
                <w:sz w:val="17"/>
                <w:lang w:val="fr-FR"/>
              </w:rPr>
              <w:t>918 469</w:t>
            </w:r>
          </w:p>
        </w:tc>
        <w:tc>
          <w:tcPr>
            <w:tcW w:w="1455" w:type="dxa"/>
            <w:tcBorders>
              <w:top w:val="single" w:sz="4" w:space="0" w:color="auto"/>
              <w:bottom w:val="single" w:sz="4" w:space="0" w:color="auto"/>
            </w:tcBorders>
            <w:shd w:val="clear" w:color="000000" w:fill="FFFFFF"/>
            <w:vAlign w:val="bottom"/>
          </w:tcPr>
          <w:p w14:paraId="74E63216"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bCs/>
                <w:sz w:val="17"/>
                <w:szCs w:val="17"/>
                <w:lang w:val="fr-FR"/>
              </w:rPr>
            </w:pPr>
            <w:r w:rsidRPr="00A66C9F">
              <w:rPr>
                <w:b/>
                <w:bCs/>
                <w:sz w:val="17"/>
                <w:lang w:val="fr-FR"/>
              </w:rPr>
              <w:t>912 237</w:t>
            </w:r>
          </w:p>
        </w:tc>
      </w:tr>
      <w:tr w:rsidR="00744544" w:rsidRPr="00A66C9F" w14:paraId="2F11EB6F" w14:textId="77777777" w:rsidTr="00107D5D">
        <w:tc>
          <w:tcPr>
            <w:tcW w:w="4410" w:type="dxa"/>
            <w:tcBorders>
              <w:top w:val="single" w:sz="4" w:space="0" w:color="auto"/>
              <w:bottom w:val="single" w:sz="4" w:space="0" w:color="auto"/>
            </w:tcBorders>
            <w:shd w:val="clear" w:color="auto" w:fill="auto"/>
            <w:vAlign w:val="bottom"/>
            <w:hideMark/>
          </w:tcPr>
          <w:p w14:paraId="63724F15"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rPr>
                <w:b/>
                <w:bCs/>
                <w:sz w:val="17"/>
                <w:szCs w:val="17"/>
                <w:lang w:val="fr-FR"/>
              </w:rPr>
            </w:pPr>
            <w:r w:rsidRPr="00A66C9F">
              <w:rPr>
                <w:b/>
                <w:bCs/>
                <w:sz w:val="17"/>
                <w:lang w:val="fr-FR"/>
              </w:rPr>
              <w:tab/>
              <w:t>Total des titres immobiliers</w:t>
            </w:r>
          </w:p>
        </w:tc>
        <w:tc>
          <w:tcPr>
            <w:tcW w:w="1455" w:type="dxa"/>
            <w:tcBorders>
              <w:top w:val="single" w:sz="4" w:space="0" w:color="auto"/>
              <w:bottom w:val="single" w:sz="4" w:space="0" w:color="auto"/>
            </w:tcBorders>
            <w:shd w:val="clear" w:color="auto" w:fill="auto"/>
            <w:vAlign w:val="bottom"/>
          </w:tcPr>
          <w:p w14:paraId="3350C56D"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bCs/>
                <w:sz w:val="17"/>
                <w:szCs w:val="17"/>
                <w:lang w:val="fr-FR"/>
              </w:rPr>
            </w:pPr>
            <w:r w:rsidRPr="00A66C9F">
              <w:rPr>
                <w:b/>
                <w:sz w:val="17"/>
                <w:lang w:val="fr-FR"/>
              </w:rPr>
              <w:t xml:space="preserve"> </w:t>
            </w:r>
            <w:r w:rsidRPr="00A66C9F">
              <w:rPr>
                <w:b/>
                <w:bCs/>
                <w:sz w:val="17"/>
                <w:lang w:val="fr-FR"/>
              </w:rPr>
              <w:t>78 547</w:t>
            </w:r>
          </w:p>
        </w:tc>
        <w:tc>
          <w:tcPr>
            <w:tcW w:w="1455" w:type="dxa"/>
            <w:tcBorders>
              <w:top w:val="single" w:sz="4" w:space="0" w:color="auto"/>
              <w:bottom w:val="single" w:sz="4" w:space="0" w:color="auto"/>
            </w:tcBorders>
            <w:shd w:val="clear" w:color="auto" w:fill="auto"/>
            <w:vAlign w:val="bottom"/>
          </w:tcPr>
          <w:p w14:paraId="3CB2B68C"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bCs/>
                <w:sz w:val="17"/>
                <w:szCs w:val="17"/>
                <w:lang w:val="fr-FR"/>
              </w:rPr>
            </w:pPr>
            <w:r w:rsidRPr="00A66C9F">
              <w:rPr>
                <w:b/>
                <w:bCs/>
                <w:sz w:val="17"/>
                <w:lang w:val="fr-FR"/>
              </w:rPr>
              <w:t>55 510</w:t>
            </w:r>
          </w:p>
        </w:tc>
      </w:tr>
      <w:tr w:rsidR="00744544" w:rsidRPr="00A66C9F" w14:paraId="3B8FDD0B" w14:textId="77777777" w:rsidTr="00107D5D">
        <w:tc>
          <w:tcPr>
            <w:tcW w:w="4410" w:type="dxa"/>
            <w:tcBorders>
              <w:top w:val="single" w:sz="4" w:space="0" w:color="auto"/>
            </w:tcBorders>
            <w:shd w:val="clear" w:color="000000" w:fill="FFFFFF"/>
            <w:noWrap/>
            <w:vAlign w:val="bottom"/>
            <w:hideMark/>
          </w:tcPr>
          <w:p w14:paraId="5D81BB3E" w14:textId="77777777" w:rsidR="00744544" w:rsidRPr="00A66C9F" w:rsidRDefault="00744544" w:rsidP="00107D5D">
            <w:pPr>
              <w:tabs>
                <w:tab w:val="left" w:pos="288"/>
                <w:tab w:val="left" w:pos="576"/>
                <w:tab w:val="left" w:pos="864"/>
                <w:tab w:val="left" w:pos="1152"/>
              </w:tabs>
              <w:suppressAutoHyphens/>
              <w:spacing w:before="81" w:after="40" w:line="210" w:lineRule="exact"/>
              <w:ind w:right="43"/>
              <w:rPr>
                <w:sz w:val="17"/>
                <w:szCs w:val="17"/>
                <w:lang w:val="fr-FR"/>
              </w:rPr>
            </w:pPr>
            <w:r w:rsidRPr="00A66C9F">
              <w:rPr>
                <w:sz w:val="17"/>
                <w:lang w:val="fr-FR"/>
              </w:rPr>
              <w:t xml:space="preserve">Coûts de transaction </w:t>
            </w:r>
          </w:p>
        </w:tc>
        <w:tc>
          <w:tcPr>
            <w:tcW w:w="1455" w:type="dxa"/>
            <w:tcBorders>
              <w:top w:val="single" w:sz="4" w:space="0" w:color="auto"/>
            </w:tcBorders>
            <w:shd w:val="clear" w:color="000000" w:fill="FFFFFF"/>
            <w:vAlign w:val="bottom"/>
          </w:tcPr>
          <w:p w14:paraId="54F92306" w14:textId="77777777" w:rsidR="00744544" w:rsidRPr="00A66C9F" w:rsidRDefault="00744544" w:rsidP="00107D5D">
            <w:pPr>
              <w:tabs>
                <w:tab w:val="left" w:pos="288"/>
                <w:tab w:val="left" w:pos="576"/>
                <w:tab w:val="left" w:pos="864"/>
                <w:tab w:val="left" w:pos="1152"/>
              </w:tabs>
              <w:suppressAutoHyphens/>
              <w:spacing w:before="81" w:after="40" w:line="210" w:lineRule="exact"/>
              <w:ind w:right="43"/>
              <w:jc w:val="right"/>
              <w:rPr>
                <w:sz w:val="17"/>
                <w:szCs w:val="17"/>
                <w:lang w:val="fr-FR"/>
              </w:rPr>
            </w:pPr>
          </w:p>
        </w:tc>
        <w:tc>
          <w:tcPr>
            <w:tcW w:w="1455" w:type="dxa"/>
            <w:tcBorders>
              <w:top w:val="single" w:sz="4" w:space="0" w:color="auto"/>
            </w:tcBorders>
            <w:shd w:val="clear" w:color="000000" w:fill="FFFFFF"/>
            <w:vAlign w:val="bottom"/>
          </w:tcPr>
          <w:p w14:paraId="74C16D6D" w14:textId="77777777" w:rsidR="00744544" w:rsidRPr="00A66C9F" w:rsidRDefault="00744544" w:rsidP="00107D5D">
            <w:pPr>
              <w:tabs>
                <w:tab w:val="left" w:pos="288"/>
                <w:tab w:val="left" w:pos="576"/>
                <w:tab w:val="left" w:pos="864"/>
                <w:tab w:val="left" w:pos="1152"/>
              </w:tabs>
              <w:suppressAutoHyphens/>
              <w:spacing w:before="81" w:after="40" w:line="210" w:lineRule="exact"/>
              <w:ind w:right="43"/>
              <w:jc w:val="right"/>
              <w:rPr>
                <w:sz w:val="17"/>
                <w:szCs w:val="17"/>
                <w:lang w:val="fr-FR"/>
              </w:rPr>
            </w:pPr>
          </w:p>
        </w:tc>
      </w:tr>
      <w:tr w:rsidR="00744544" w:rsidRPr="00A66C9F" w14:paraId="05BBFD18" w14:textId="77777777" w:rsidTr="00107D5D">
        <w:tc>
          <w:tcPr>
            <w:tcW w:w="4410" w:type="dxa"/>
            <w:shd w:val="clear" w:color="000000" w:fill="FFFFFF"/>
            <w:noWrap/>
            <w:vAlign w:val="bottom"/>
            <w:hideMark/>
          </w:tcPr>
          <w:p w14:paraId="191FBEF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rPr>
                <w:sz w:val="17"/>
                <w:szCs w:val="17"/>
                <w:lang w:val="fr-FR"/>
              </w:rPr>
            </w:pPr>
            <w:r w:rsidRPr="00A66C9F">
              <w:rPr>
                <w:sz w:val="17"/>
                <w:lang w:val="fr-FR"/>
              </w:rPr>
              <w:tab/>
              <w:t>Honoraires de gestion et autres frais connexes</w:t>
            </w:r>
          </w:p>
        </w:tc>
        <w:tc>
          <w:tcPr>
            <w:tcW w:w="1455" w:type="dxa"/>
            <w:shd w:val="clear" w:color="000000" w:fill="FFFFFF"/>
            <w:vAlign w:val="bottom"/>
          </w:tcPr>
          <w:p w14:paraId="71ED1C7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(129 209)</w:t>
            </w:r>
          </w:p>
        </w:tc>
        <w:tc>
          <w:tcPr>
            <w:tcW w:w="1455" w:type="dxa"/>
            <w:shd w:val="clear" w:color="000000" w:fill="FFFFFF"/>
            <w:vAlign w:val="bottom"/>
          </w:tcPr>
          <w:p w14:paraId="306AA15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(111 690)</w:t>
            </w:r>
          </w:p>
        </w:tc>
      </w:tr>
      <w:tr w:rsidR="00744544" w:rsidRPr="00A66C9F" w14:paraId="3C115E7B" w14:textId="77777777" w:rsidTr="00107D5D">
        <w:tc>
          <w:tcPr>
            <w:tcW w:w="4410" w:type="dxa"/>
            <w:shd w:val="clear" w:color="000000" w:fill="FFFFFF"/>
            <w:noWrap/>
            <w:vAlign w:val="bottom"/>
            <w:hideMark/>
          </w:tcPr>
          <w:p w14:paraId="17E93293" w14:textId="77777777" w:rsidR="00744544" w:rsidRPr="00A66C9F" w:rsidRDefault="00744544" w:rsidP="00107D5D">
            <w:pPr>
              <w:tabs>
                <w:tab w:val="left" w:pos="288"/>
                <w:tab w:val="left" w:pos="576"/>
                <w:tab w:val="left" w:pos="864"/>
                <w:tab w:val="left" w:pos="1152"/>
              </w:tabs>
              <w:suppressAutoHyphens/>
              <w:spacing w:before="40" w:after="40" w:line="210" w:lineRule="exact"/>
              <w:ind w:left="288" w:right="43" w:hanging="288"/>
              <w:rPr>
                <w:sz w:val="17"/>
                <w:szCs w:val="17"/>
                <w:lang w:val="fr-FR"/>
              </w:rPr>
            </w:pPr>
            <w:r w:rsidRPr="00A66C9F">
              <w:rPr>
                <w:sz w:val="17"/>
                <w:lang w:val="fr-FR"/>
              </w:rPr>
              <w:lastRenderedPageBreak/>
              <w:tab/>
              <w:t>Frais de gestion des fonds d’action de sociétés à faible capitalisation</w:t>
            </w:r>
          </w:p>
        </w:tc>
        <w:tc>
          <w:tcPr>
            <w:tcW w:w="1455" w:type="dxa"/>
            <w:shd w:val="clear" w:color="000000" w:fill="FFFFFF"/>
            <w:vAlign w:val="bottom"/>
          </w:tcPr>
          <w:p w14:paraId="6845F55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(11 892)</w:t>
            </w:r>
          </w:p>
        </w:tc>
        <w:tc>
          <w:tcPr>
            <w:tcW w:w="1455" w:type="dxa"/>
            <w:shd w:val="clear" w:color="000000" w:fill="FFFFFF"/>
            <w:vAlign w:val="bottom"/>
          </w:tcPr>
          <w:p w14:paraId="5EE2C0F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(12 903)</w:t>
            </w:r>
          </w:p>
        </w:tc>
      </w:tr>
      <w:tr w:rsidR="00744544" w:rsidRPr="00A66C9F" w14:paraId="1F575FAA" w14:textId="77777777" w:rsidTr="00107D5D">
        <w:tc>
          <w:tcPr>
            <w:tcW w:w="4410" w:type="dxa"/>
            <w:shd w:val="clear" w:color="000000" w:fill="FFFFFF"/>
            <w:vAlign w:val="bottom"/>
            <w:hideMark/>
          </w:tcPr>
          <w:p w14:paraId="0162689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rPr>
                <w:sz w:val="17"/>
                <w:szCs w:val="17"/>
                <w:lang w:val="fr-FR"/>
              </w:rPr>
            </w:pPr>
            <w:r w:rsidRPr="00A66C9F">
              <w:rPr>
                <w:sz w:val="17"/>
                <w:lang w:val="fr-FR"/>
              </w:rPr>
              <w:tab/>
              <w:t>Commissions de courtage</w:t>
            </w:r>
          </w:p>
        </w:tc>
        <w:tc>
          <w:tcPr>
            <w:tcW w:w="1455" w:type="dxa"/>
            <w:shd w:val="clear" w:color="000000" w:fill="FFFFFF"/>
            <w:vAlign w:val="bottom"/>
          </w:tcPr>
          <w:p w14:paraId="3753C69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(14 374)</w:t>
            </w:r>
          </w:p>
        </w:tc>
        <w:tc>
          <w:tcPr>
            <w:tcW w:w="1455" w:type="dxa"/>
            <w:shd w:val="clear" w:color="000000" w:fill="FFFFFF"/>
            <w:vAlign w:val="bottom"/>
          </w:tcPr>
          <w:p w14:paraId="23F594B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(14 841)</w:t>
            </w:r>
          </w:p>
        </w:tc>
      </w:tr>
      <w:tr w:rsidR="00744544" w:rsidRPr="00A66C9F" w14:paraId="5C68F2EE" w14:textId="77777777" w:rsidTr="00107D5D">
        <w:tc>
          <w:tcPr>
            <w:tcW w:w="4410" w:type="dxa"/>
            <w:tcBorders>
              <w:bottom w:val="single" w:sz="4" w:space="0" w:color="auto"/>
            </w:tcBorders>
            <w:shd w:val="clear" w:color="000000" w:fill="FFFFFF"/>
            <w:vAlign w:val="bottom"/>
            <w:hideMark/>
          </w:tcPr>
          <w:p w14:paraId="75FDCA28"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rPr>
                <w:sz w:val="17"/>
                <w:szCs w:val="17"/>
                <w:lang w:val="fr-FR"/>
              </w:rPr>
            </w:pPr>
            <w:r w:rsidRPr="00A66C9F">
              <w:rPr>
                <w:sz w:val="17"/>
                <w:lang w:val="fr-FR"/>
              </w:rPr>
              <w:tab/>
              <w:t>Autres coûts de transaction</w:t>
            </w:r>
          </w:p>
        </w:tc>
        <w:tc>
          <w:tcPr>
            <w:tcW w:w="1455" w:type="dxa"/>
            <w:tcBorders>
              <w:bottom w:val="single" w:sz="4" w:space="0" w:color="auto"/>
            </w:tcBorders>
            <w:shd w:val="clear" w:color="000000" w:fill="FFFFFF"/>
            <w:vAlign w:val="bottom"/>
          </w:tcPr>
          <w:p w14:paraId="244152B9"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lang w:val="fr-FR"/>
              </w:rPr>
              <w:t xml:space="preserve"> (3 273)</w:t>
            </w:r>
          </w:p>
        </w:tc>
        <w:tc>
          <w:tcPr>
            <w:tcW w:w="1455" w:type="dxa"/>
            <w:tcBorders>
              <w:bottom w:val="single" w:sz="4" w:space="0" w:color="auto"/>
            </w:tcBorders>
            <w:shd w:val="clear" w:color="000000" w:fill="FFFFFF"/>
            <w:vAlign w:val="bottom"/>
          </w:tcPr>
          <w:p w14:paraId="790F5626"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lang w:val="fr-FR"/>
              </w:rPr>
              <w:t>(4 001)</w:t>
            </w:r>
          </w:p>
        </w:tc>
      </w:tr>
      <w:tr w:rsidR="00744544" w:rsidRPr="00A66C9F" w14:paraId="04EA7E22" w14:textId="77777777" w:rsidTr="00107D5D">
        <w:tc>
          <w:tcPr>
            <w:tcW w:w="4410" w:type="dxa"/>
            <w:tcBorders>
              <w:top w:val="single" w:sz="4" w:space="0" w:color="auto"/>
              <w:bottom w:val="single" w:sz="4" w:space="0" w:color="auto"/>
            </w:tcBorders>
            <w:shd w:val="clear" w:color="auto" w:fill="auto"/>
            <w:vAlign w:val="bottom"/>
            <w:hideMark/>
          </w:tcPr>
          <w:p w14:paraId="413C6981"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rPr>
                <w:b/>
                <w:bCs/>
                <w:sz w:val="17"/>
                <w:szCs w:val="17"/>
                <w:lang w:val="fr-FR"/>
              </w:rPr>
            </w:pPr>
            <w:r w:rsidRPr="00A66C9F">
              <w:rPr>
                <w:b/>
                <w:bCs/>
                <w:sz w:val="17"/>
                <w:lang w:val="fr-FR"/>
              </w:rPr>
              <w:tab/>
              <w:t>Total des coûts de transaction</w:t>
            </w:r>
            <w:r w:rsidRPr="00A66C9F">
              <w:rPr>
                <w:b/>
                <w:sz w:val="17"/>
                <w:lang w:val="fr-FR"/>
              </w:rPr>
              <w:t xml:space="preserve"> </w:t>
            </w:r>
          </w:p>
        </w:tc>
        <w:tc>
          <w:tcPr>
            <w:tcW w:w="1455" w:type="dxa"/>
            <w:tcBorders>
              <w:top w:val="single" w:sz="4" w:space="0" w:color="auto"/>
              <w:bottom w:val="single" w:sz="4" w:space="0" w:color="auto"/>
            </w:tcBorders>
            <w:shd w:val="clear" w:color="auto" w:fill="auto"/>
            <w:vAlign w:val="bottom"/>
          </w:tcPr>
          <w:p w14:paraId="45A859EC"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szCs w:val="17"/>
                <w:lang w:val="fr-FR"/>
              </w:rPr>
            </w:pPr>
            <w:r w:rsidRPr="00A66C9F">
              <w:rPr>
                <w:b/>
                <w:sz w:val="17"/>
                <w:lang w:val="fr-FR"/>
              </w:rPr>
              <w:t xml:space="preserve"> </w:t>
            </w:r>
            <w:r w:rsidRPr="00A66C9F">
              <w:rPr>
                <w:b/>
                <w:bCs/>
                <w:sz w:val="17"/>
                <w:lang w:val="fr-FR"/>
              </w:rPr>
              <w:t>(158 748)</w:t>
            </w:r>
          </w:p>
        </w:tc>
        <w:tc>
          <w:tcPr>
            <w:tcW w:w="1455" w:type="dxa"/>
            <w:tcBorders>
              <w:top w:val="single" w:sz="4" w:space="0" w:color="auto"/>
              <w:bottom w:val="single" w:sz="4" w:space="0" w:color="auto"/>
            </w:tcBorders>
            <w:shd w:val="clear" w:color="auto" w:fill="auto"/>
            <w:vAlign w:val="bottom"/>
          </w:tcPr>
          <w:p w14:paraId="668E8754"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szCs w:val="17"/>
                <w:lang w:val="fr-FR"/>
              </w:rPr>
            </w:pPr>
            <w:r w:rsidRPr="00A66C9F">
              <w:rPr>
                <w:b/>
                <w:bCs/>
                <w:sz w:val="17"/>
                <w:lang w:val="fr-FR"/>
              </w:rPr>
              <w:t>(143 435)</w:t>
            </w:r>
          </w:p>
        </w:tc>
      </w:tr>
      <w:tr w:rsidR="00744544" w:rsidRPr="00A66C9F" w14:paraId="1183C1A6" w14:textId="77777777" w:rsidTr="00107D5D">
        <w:tc>
          <w:tcPr>
            <w:tcW w:w="4410" w:type="dxa"/>
            <w:tcBorders>
              <w:top w:val="single" w:sz="4" w:space="0" w:color="auto"/>
              <w:bottom w:val="single" w:sz="4" w:space="0" w:color="auto"/>
            </w:tcBorders>
            <w:shd w:val="clear" w:color="auto" w:fill="auto"/>
            <w:vAlign w:val="bottom"/>
          </w:tcPr>
          <w:p w14:paraId="32F57EF2"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rPr>
                <w:b/>
                <w:bCs/>
                <w:sz w:val="17"/>
                <w:szCs w:val="17"/>
                <w:lang w:val="fr-FR"/>
              </w:rPr>
            </w:pPr>
            <w:r w:rsidRPr="00A66C9F">
              <w:rPr>
                <w:b/>
                <w:bCs/>
                <w:sz w:val="17"/>
                <w:lang w:val="fr-FR"/>
              </w:rPr>
              <w:tab/>
              <w:t>Impôt retenu à la source</w:t>
            </w:r>
          </w:p>
        </w:tc>
        <w:tc>
          <w:tcPr>
            <w:tcW w:w="1455" w:type="dxa"/>
            <w:tcBorders>
              <w:top w:val="single" w:sz="4" w:space="0" w:color="auto"/>
              <w:bottom w:val="single" w:sz="4" w:space="0" w:color="auto"/>
            </w:tcBorders>
            <w:shd w:val="clear" w:color="auto" w:fill="auto"/>
            <w:vAlign w:val="bottom"/>
          </w:tcPr>
          <w:p w14:paraId="0F13E448"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szCs w:val="17"/>
                <w:lang w:val="fr-FR"/>
              </w:rPr>
            </w:pPr>
            <w:r w:rsidRPr="00A66C9F">
              <w:rPr>
                <w:b/>
                <w:bCs/>
                <w:sz w:val="17"/>
                <w:lang w:val="fr-FR"/>
              </w:rPr>
              <w:t>(3 232)</w:t>
            </w:r>
          </w:p>
        </w:tc>
        <w:tc>
          <w:tcPr>
            <w:tcW w:w="1455" w:type="dxa"/>
            <w:tcBorders>
              <w:top w:val="single" w:sz="4" w:space="0" w:color="auto"/>
              <w:bottom w:val="single" w:sz="4" w:space="0" w:color="auto"/>
            </w:tcBorders>
            <w:shd w:val="clear" w:color="auto" w:fill="auto"/>
            <w:vAlign w:val="bottom"/>
          </w:tcPr>
          <w:p w14:paraId="092953E2"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szCs w:val="17"/>
                <w:lang w:val="fr-FR"/>
              </w:rPr>
            </w:pPr>
            <w:r w:rsidRPr="00A66C9F">
              <w:rPr>
                <w:b/>
                <w:bCs/>
                <w:sz w:val="17"/>
                <w:lang w:val="fr-FR"/>
              </w:rPr>
              <w:t>(5 972)</w:t>
            </w:r>
          </w:p>
        </w:tc>
      </w:tr>
      <w:tr w:rsidR="00744544" w:rsidRPr="00A66C9F" w14:paraId="4AA7572D" w14:textId="77777777" w:rsidTr="00107D5D">
        <w:tc>
          <w:tcPr>
            <w:tcW w:w="4410" w:type="dxa"/>
            <w:tcBorders>
              <w:top w:val="single" w:sz="4" w:space="0" w:color="auto"/>
              <w:bottom w:val="single" w:sz="4" w:space="0" w:color="auto"/>
            </w:tcBorders>
            <w:shd w:val="clear" w:color="auto" w:fill="auto"/>
            <w:vAlign w:val="bottom"/>
          </w:tcPr>
          <w:p w14:paraId="06A8A7CB" w14:textId="77777777" w:rsidR="00744544" w:rsidRPr="00A66C9F" w:rsidRDefault="00744544" w:rsidP="00107D5D">
            <w:pPr>
              <w:tabs>
                <w:tab w:val="left" w:pos="288"/>
                <w:tab w:val="left" w:pos="576"/>
                <w:tab w:val="left" w:pos="864"/>
                <w:tab w:val="left" w:pos="1152"/>
              </w:tabs>
              <w:suppressAutoHyphens/>
              <w:spacing w:before="81" w:after="81" w:line="210" w:lineRule="exact"/>
              <w:ind w:left="288" w:right="43" w:hanging="288"/>
              <w:rPr>
                <w:b/>
                <w:bCs/>
                <w:sz w:val="17"/>
                <w:szCs w:val="17"/>
                <w:lang w:val="fr-FR"/>
              </w:rPr>
            </w:pPr>
            <w:r w:rsidRPr="00A66C9F">
              <w:rPr>
                <w:b/>
                <w:bCs/>
                <w:sz w:val="17"/>
                <w:lang w:val="fr-FR"/>
              </w:rPr>
              <w:tab/>
              <w:t>Produits divers/(charges diverses) lié(e)s aux investissements (montant net)</w:t>
            </w:r>
          </w:p>
        </w:tc>
        <w:tc>
          <w:tcPr>
            <w:tcW w:w="1455" w:type="dxa"/>
            <w:tcBorders>
              <w:top w:val="single" w:sz="4" w:space="0" w:color="auto"/>
              <w:bottom w:val="single" w:sz="4" w:space="0" w:color="auto"/>
            </w:tcBorders>
            <w:shd w:val="clear" w:color="auto" w:fill="auto"/>
            <w:vAlign w:val="bottom"/>
          </w:tcPr>
          <w:p w14:paraId="0F39C9DA"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szCs w:val="17"/>
                <w:lang w:val="fr-FR"/>
              </w:rPr>
            </w:pPr>
            <w:r w:rsidRPr="00A66C9F">
              <w:rPr>
                <w:b/>
                <w:bCs/>
                <w:sz w:val="17"/>
                <w:lang w:val="fr-FR"/>
              </w:rPr>
              <w:t>(1 348)</w:t>
            </w:r>
          </w:p>
        </w:tc>
        <w:tc>
          <w:tcPr>
            <w:tcW w:w="1455" w:type="dxa"/>
            <w:tcBorders>
              <w:top w:val="single" w:sz="4" w:space="0" w:color="auto"/>
              <w:bottom w:val="single" w:sz="4" w:space="0" w:color="auto"/>
            </w:tcBorders>
            <w:shd w:val="clear" w:color="auto" w:fill="auto"/>
            <w:vAlign w:val="bottom"/>
          </w:tcPr>
          <w:p w14:paraId="37015F07"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szCs w:val="17"/>
                <w:lang w:val="fr-FR"/>
              </w:rPr>
            </w:pPr>
            <w:r w:rsidRPr="00A66C9F">
              <w:rPr>
                <w:b/>
                <w:bCs/>
                <w:sz w:val="17"/>
                <w:lang w:val="fr-FR"/>
              </w:rPr>
              <w:t>505</w:t>
            </w:r>
          </w:p>
        </w:tc>
      </w:tr>
      <w:tr w:rsidR="00744544" w:rsidRPr="00A66C9F" w14:paraId="30FB570A" w14:textId="77777777" w:rsidTr="00107D5D">
        <w:tc>
          <w:tcPr>
            <w:tcW w:w="4410" w:type="dxa"/>
            <w:tcBorders>
              <w:top w:val="single" w:sz="4" w:space="0" w:color="auto"/>
              <w:bottom w:val="single" w:sz="12" w:space="0" w:color="auto"/>
            </w:tcBorders>
            <w:shd w:val="clear" w:color="auto" w:fill="auto"/>
            <w:vAlign w:val="bottom"/>
            <w:hideMark/>
          </w:tcPr>
          <w:p w14:paraId="10C825B4" w14:textId="77777777" w:rsidR="00744544" w:rsidRPr="00A66C9F" w:rsidRDefault="00744544" w:rsidP="00107D5D">
            <w:pPr>
              <w:tabs>
                <w:tab w:val="left" w:pos="288"/>
                <w:tab w:val="left" w:pos="576"/>
                <w:tab w:val="left" w:pos="864"/>
                <w:tab w:val="left" w:pos="1152"/>
              </w:tabs>
              <w:suppressAutoHyphens/>
              <w:spacing w:before="81" w:after="81" w:line="210" w:lineRule="exact"/>
              <w:ind w:left="288" w:right="43" w:hanging="288"/>
              <w:rPr>
                <w:b/>
                <w:bCs/>
                <w:sz w:val="17"/>
                <w:szCs w:val="17"/>
                <w:lang w:val="fr-FR"/>
              </w:rPr>
            </w:pPr>
            <w:r w:rsidRPr="00A66C9F">
              <w:rPr>
                <w:b/>
                <w:bCs/>
                <w:sz w:val="17"/>
                <w:lang w:val="fr-FR"/>
              </w:rPr>
              <w:tab/>
              <w:t>Produits nets/(pertes nettes) découlant des investissements</w:t>
            </w:r>
          </w:p>
        </w:tc>
        <w:tc>
          <w:tcPr>
            <w:tcW w:w="1455" w:type="dxa"/>
            <w:tcBorders>
              <w:top w:val="single" w:sz="4" w:space="0" w:color="auto"/>
              <w:bottom w:val="single" w:sz="12" w:space="0" w:color="auto"/>
            </w:tcBorders>
            <w:shd w:val="clear" w:color="auto" w:fill="auto"/>
            <w:vAlign w:val="bottom"/>
          </w:tcPr>
          <w:p w14:paraId="695B2163"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bCs/>
                <w:sz w:val="17"/>
                <w:szCs w:val="17"/>
                <w:lang w:val="fr-FR"/>
              </w:rPr>
            </w:pPr>
            <w:r w:rsidRPr="00A66C9F">
              <w:rPr>
                <w:b/>
                <w:bCs/>
                <w:sz w:val="17"/>
                <w:lang w:val="fr-FR"/>
              </w:rPr>
              <w:t>11 362 257</w:t>
            </w:r>
          </w:p>
        </w:tc>
        <w:tc>
          <w:tcPr>
            <w:tcW w:w="1455" w:type="dxa"/>
            <w:tcBorders>
              <w:top w:val="single" w:sz="4" w:space="0" w:color="auto"/>
              <w:bottom w:val="single" w:sz="12" w:space="0" w:color="auto"/>
            </w:tcBorders>
            <w:shd w:val="clear" w:color="auto" w:fill="auto"/>
            <w:vAlign w:val="bottom"/>
          </w:tcPr>
          <w:p w14:paraId="681CB93D"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bCs/>
                <w:sz w:val="17"/>
                <w:szCs w:val="17"/>
                <w:lang w:val="fr-FR"/>
              </w:rPr>
            </w:pPr>
            <w:r w:rsidRPr="00A66C9F">
              <w:rPr>
                <w:b/>
                <w:bCs/>
                <w:sz w:val="17"/>
                <w:lang w:val="fr-FR"/>
              </w:rPr>
              <w:t>(3 306 514)</w:t>
            </w:r>
          </w:p>
        </w:tc>
      </w:tr>
    </w:tbl>
    <w:p w14:paraId="3546FA78" w14:textId="77777777" w:rsidR="00744544" w:rsidRPr="00A66C9F" w:rsidRDefault="00744544" w:rsidP="00744544">
      <w:pPr>
        <w:pStyle w:val="SingleTxt"/>
        <w:spacing w:after="0" w:line="120" w:lineRule="exact"/>
        <w:rPr>
          <w:sz w:val="10"/>
          <w:lang w:val="fr-FR"/>
        </w:rPr>
      </w:pPr>
      <w:bookmarkStart w:id="303" w:name="_Toc339633752"/>
      <w:bookmarkStart w:id="304" w:name="_Toc339634087"/>
    </w:p>
    <w:p w14:paraId="7F038D47" w14:textId="77777777" w:rsidR="00744544" w:rsidRPr="00A66C9F" w:rsidRDefault="00744544" w:rsidP="00744544">
      <w:pPr>
        <w:pStyle w:val="SingleTxt"/>
        <w:spacing w:after="0" w:line="120" w:lineRule="exact"/>
        <w:rPr>
          <w:sz w:val="10"/>
          <w:lang w:val="fr-FR"/>
        </w:rPr>
      </w:pPr>
    </w:p>
    <w:p w14:paraId="464FEC21" w14:textId="77777777" w:rsidR="00744544" w:rsidRPr="00A66C9F" w:rsidRDefault="00744544" w:rsidP="00753AB8">
      <w:pPr>
        <w:pStyle w:val="SingleTxt"/>
        <w:numPr>
          <w:ilvl w:val="0"/>
          <w:numId w:val="18"/>
        </w:numPr>
        <w:spacing w:line="240" w:lineRule="exact"/>
        <w:rPr>
          <w:szCs w:val="20"/>
          <w:lang w:val="fr-FR"/>
        </w:rPr>
      </w:pPr>
      <w:r w:rsidRPr="00A66C9F">
        <w:rPr>
          <w:lang w:val="fr-FR"/>
        </w:rPr>
        <w:t>Le tableau ci-dessous présente la variation de la juste valeur des investissements par catégorie d’actifs découlant de la variation de la valeur marchande et du taux de change pour les années terminées le 31 décembre 2019 et le 31 décembre 2018.</w:t>
      </w:r>
    </w:p>
    <w:p w14:paraId="03229A44" w14:textId="77777777" w:rsidR="00744544" w:rsidRPr="00A66C9F" w:rsidRDefault="00744544" w:rsidP="00744544">
      <w:pPr>
        <w:pStyle w:val="SingleTxt"/>
        <w:spacing w:after="0" w:line="120" w:lineRule="exact"/>
        <w:rPr>
          <w:sz w:val="10"/>
          <w:lang w:val="fr-FR"/>
        </w:rPr>
      </w:pPr>
    </w:p>
    <w:p w14:paraId="6184C1DF" w14:textId="44E7414D" w:rsidR="00744544" w:rsidRPr="00A66C9F" w:rsidRDefault="00744544" w:rsidP="0074454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sz w:val="14"/>
          <w:szCs w:val="14"/>
          <w:lang w:val="fr-FR"/>
        </w:rPr>
        <w:t>(En milliers de dollars des États-Unis)</w:t>
      </w:r>
    </w:p>
    <w:p w14:paraId="3D0E776F" w14:textId="77777777" w:rsidR="00744544" w:rsidRPr="00A66C9F" w:rsidRDefault="00744544" w:rsidP="00744544">
      <w:pPr>
        <w:pStyle w:val="SingleTxt"/>
        <w:spacing w:after="0" w:line="120" w:lineRule="exact"/>
        <w:rPr>
          <w:sz w:val="10"/>
          <w:lang w:val="fr-FR"/>
        </w:rPr>
      </w:pPr>
    </w:p>
    <w:p w14:paraId="6F08AB9F" w14:textId="77777777" w:rsidR="00744544" w:rsidRPr="00A66C9F" w:rsidRDefault="00744544" w:rsidP="00744544">
      <w:pPr>
        <w:pStyle w:val="SingleTxt"/>
        <w:spacing w:after="0" w:line="120" w:lineRule="exact"/>
        <w:rPr>
          <w:sz w:val="10"/>
          <w:lang w:val="fr-FR"/>
        </w:rPr>
      </w:pPr>
    </w:p>
    <w:tbl>
      <w:tblPr>
        <w:tblW w:w="9810" w:type="dxa"/>
        <w:tblInd w:w="9" w:type="dxa"/>
        <w:tblLayout w:type="fixed"/>
        <w:tblCellMar>
          <w:left w:w="0" w:type="dxa"/>
          <w:right w:w="0" w:type="dxa"/>
        </w:tblCellMar>
        <w:tblLook w:val="04A0" w:firstRow="1" w:lastRow="0" w:firstColumn="1" w:lastColumn="0" w:noHBand="0" w:noVBand="1"/>
      </w:tblPr>
      <w:tblGrid>
        <w:gridCol w:w="2898"/>
        <w:gridCol w:w="1233"/>
        <w:gridCol w:w="990"/>
        <w:gridCol w:w="1179"/>
        <w:gridCol w:w="81"/>
        <w:gridCol w:w="1296"/>
        <w:gridCol w:w="999"/>
        <w:gridCol w:w="1134"/>
      </w:tblGrid>
      <w:tr w:rsidR="00744544" w:rsidRPr="00A66C9F" w14:paraId="29F81F4C" w14:textId="77777777" w:rsidTr="00107D5D">
        <w:trPr>
          <w:trHeight w:val="144"/>
          <w:tblHeader/>
        </w:trPr>
        <w:tc>
          <w:tcPr>
            <w:tcW w:w="2898" w:type="dxa"/>
            <w:tcBorders>
              <w:top w:val="single" w:sz="4" w:space="0" w:color="auto"/>
            </w:tcBorders>
            <w:shd w:val="clear" w:color="auto" w:fill="auto"/>
            <w:vAlign w:val="bottom"/>
          </w:tcPr>
          <w:p w14:paraId="3AACEBD9" w14:textId="77777777" w:rsidR="00744544" w:rsidRPr="00A66C9F" w:rsidRDefault="00744544" w:rsidP="00107D5D">
            <w:pPr>
              <w:suppressAutoHyphens/>
              <w:spacing w:before="81" w:after="81" w:line="160" w:lineRule="exact"/>
              <w:ind w:left="72" w:right="40" w:hanging="180"/>
              <w:rPr>
                <w:bCs/>
                <w:i/>
                <w:iCs/>
                <w:sz w:val="14"/>
                <w:szCs w:val="18"/>
                <w:lang w:val="fr-FR"/>
              </w:rPr>
            </w:pPr>
          </w:p>
        </w:tc>
        <w:tc>
          <w:tcPr>
            <w:tcW w:w="3402" w:type="dxa"/>
            <w:gridSpan w:val="3"/>
            <w:tcBorders>
              <w:top w:val="single" w:sz="4" w:space="0" w:color="auto"/>
              <w:bottom w:val="single" w:sz="4" w:space="0" w:color="auto"/>
            </w:tcBorders>
            <w:shd w:val="clear" w:color="auto" w:fill="auto"/>
            <w:vAlign w:val="bottom"/>
          </w:tcPr>
          <w:p w14:paraId="16E0ABB1" w14:textId="77777777" w:rsidR="00744544" w:rsidRPr="00A66C9F" w:rsidRDefault="00744544" w:rsidP="00107D5D">
            <w:pPr>
              <w:keepNext/>
              <w:keepLines/>
              <w:suppressAutoHyphens/>
              <w:spacing w:before="81" w:after="81" w:line="160" w:lineRule="exact"/>
              <w:ind w:right="43"/>
              <w:jc w:val="center"/>
              <w:rPr>
                <w:bCs/>
                <w:i/>
                <w:iCs/>
                <w:sz w:val="14"/>
                <w:szCs w:val="18"/>
                <w:lang w:val="fr-FR"/>
              </w:rPr>
            </w:pPr>
            <w:r w:rsidRPr="00A66C9F">
              <w:rPr>
                <w:i/>
                <w:iCs/>
                <w:sz w:val="14"/>
                <w:lang w:val="fr-FR"/>
              </w:rPr>
              <w:t>2019</w:t>
            </w:r>
          </w:p>
        </w:tc>
        <w:tc>
          <w:tcPr>
            <w:tcW w:w="81" w:type="dxa"/>
            <w:tcBorders>
              <w:top w:val="single" w:sz="4" w:space="0" w:color="auto"/>
            </w:tcBorders>
            <w:shd w:val="clear" w:color="auto" w:fill="auto"/>
            <w:vAlign w:val="bottom"/>
          </w:tcPr>
          <w:p w14:paraId="44276032" w14:textId="77777777" w:rsidR="00744544" w:rsidRPr="00A66C9F" w:rsidRDefault="00744544" w:rsidP="00107D5D">
            <w:pPr>
              <w:keepNext/>
              <w:keepLines/>
              <w:suppressAutoHyphens/>
              <w:spacing w:before="81" w:after="81" w:line="160" w:lineRule="exact"/>
              <w:ind w:right="43"/>
              <w:jc w:val="right"/>
              <w:rPr>
                <w:bCs/>
                <w:i/>
                <w:iCs/>
                <w:sz w:val="14"/>
                <w:szCs w:val="18"/>
                <w:lang w:val="fr-FR"/>
              </w:rPr>
            </w:pPr>
          </w:p>
        </w:tc>
        <w:tc>
          <w:tcPr>
            <w:tcW w:w="3429" w:type="dxa"/>
            <w:gridSpan w:val="3"/>
            <w:tcBorders>
              <w:top w:val="single" w:sz="4" w:space="0" w:color="auto"/>
              <w:bottom w:val="single" w:sz="4" w:space="0" w:color="auto"/>
            </w:tcBorders>
            <w:shd w:val="clear" w:color="auto" w:fill="auto"/>
            <w:vAlign w:val="bottom"/>
          </w:tcPr>
          <w:p w14:paraId="35A22F2A" w14:textId="77777777" w:rsidR="00744544" w:rsidRPr="00A66C9F" w:rsidRDefault="00744544" w:rsidP="00107D5D">
            <w:pPr>
              <w:keepNext/>
              <w:keepLines/>
              <w:suppressAutoHyphens/>
              <w:spacing w:before="81" w:after="81" w:line="160" w:lineRule="exact"/>
              <w:ind w:right="43"/>
              <w:jc w:val="center"/>
              <w:rPr>
                <w:bCs/>
                <w:i/>
                <w:iCs/>
                <w:sz w:val="14"/>
                <w:szCs w:val="18"/>
                <w:lang w:val="fr-FR"/>
              </w:rPr>
            </w:pPr>
            <w:r w:rsidRPr="00A66C9F">
              <w:rPr>
                <w:i/>
                <w:iCs/>
                <w:sz w:val="14"/>
                <w:lang w:val="fr-FR"/>
              </w:rPr>
              <w:t>2018</w:t>
            </w:r>
          </w:p>
        </w:tc>
      </w:tr>
      <w:tr w:rsidR="00744544" w:rsidRPr="00A66C9F" w:rsidDel="00C36671" w14:paraId="4A0F0511" w14:textId="77777777" w:rsidTr="00107D5D">
        <w:trPr>
          <w:trHeight w:val="144"/>
          <w:tblHeader/>
        </w:trPr>
        <w:tc>
          <w:tcPr>
            <w:tcW w:w="2898" w:type="dxa"/>
            <w:tcBorders>
              <w:bottom w:val="single" w:sz="12" w:space="0" w:color="auto"/>
            </w:tcBorders>
            <w:shd w:val="clear" w:color="auto" w:fill="auto"/>
            <w:vAlign w:val="bottom"/>
          </w:tcPr>
          <w:p w14:paraId="2ED57390" w14:textId="77777777" w:rsidR="00744544" w:rsidRPr="00A66C9F" w:rsidRDefault="00744544" w:rsidP="00107D5D">
            <w:pPr>
              <w:suppressAutoHyphens/>
              <w:spacing w:before="81" w:after="81" w:line="160" w:lineRule="exact"/>
              <w:ind w:left="72" w:right="40" w:hanging="180"/>
              <w:rPr>
                <w:bCs/>
                <w:i/>
                <w:iCs/>
                <w:sz w:val="14"/>
                <w:szCs w:val="17"/>
                <w:lang w:val="fr-FR"/>
              </w:rPr>
            </w:pPr>
          </w:p>
        </w:tc>
        <w:tc>
          <w:tcPr>
            <w:tcW w:w="1233" w:type="dxa"/>
            <w:tcBorders>
              <w:top w:val="single" w:sz="4" w:space="0" w:color="auto"/>
              <w:bottom w:val="single" w:sz="12" w:space="0" w:color="auto"/>
            </w:tcBorders>
            <w:shd w:val="clear" w:color="auto" w:fill="auto"/>
            <w:vAlign w:val="bottom"/>
          </w:tcPr>
          <w:p w14:paraId="4DBF23B1" w14:textId="77777777" w:rsidR="00744544" w:rsidRPr="00A66C9F" w:rsidRDefault="00744544" w:rsidP="00107D5D">
            <w:pPr>
              <w:keepNext/>
              <w:keepLines/>
              <w:suppressAutoHyphens/>
              <w:spacing w:before="81" w:after="81" w:line="160" w:lineRule="exact"/>
              <w:ind w:right="43"/>
              <w:jc w:val="right"/>
              <w:rPr>
                <w:bCs/>
                <w:i/>
                <w:iCs/>
                <w:sz w:val="14"/>
                <w:szCs w:val="17"/>
                <w:lang w:val="fr-FR"/>
              </w:rPr>
            </w:pPr>
            <w:r w:rsidRPr="00A66C9F">
              <w:rPr>
                <w:i/>
                <w:iCs/>
                <w:sz w:val="14"/>
                <w:lang w:val="fr-FR"/>
              </w:rPr>
              <w:t>Valeur marchande</w:t>
            </w:r>
          </w:p>
        </w:tc>
        <w:tc>
          <w:tcPr>
            <w:tcW w:w="990" w:type="dxa"/>
            <w:tcBorders>
              <w:top w:val="single" w:sz="4" w:space="0" w:color="auto"/>
              <w:bottom w:val="single" w:sz="12" w:space="0" w:color="auto"/>
            </w:tcBorders>
            <w:shd w:val="clear" w:color="auto" w:fill="auto"/>
            <w:vAlign w:val="bottom"/>
          </w:tcPr>
          <w:p w14:paraId="38C928F9" w14:textId="77777777" w:rsidR="00744544" w:rsidRPr="00A66C9F" w:rsidRDefault="00744544" w:rsidP="00107D5D">
            <w:pPr>
              <w:keepNext/>
              <w:keepLines/>
              <w:suppressAutoHyphens/>
              <w:spacing w:before="81" w:after="81" w:line="160" w:lineRule="exact"/>
              <w:ind w:right="43"/>
              <w:jc w:val="right"/>
              <w:rPr>
                <w:bCs/>
                <w:i/>
                <w:iCs/>
                <w:sz w:val="14"/>
                <w:szCs w:val="17"/>
                <w:lang w:val="fr-FR"/>
              </w:rPr>
            </w:pPr>
            <w:r w:rsidRPr="00A66C9F">
              <w:rPr>
                <w:i/>
                <w:iCs/>
                <w:sz w:val="14"/>
                <w:lang w:val="fr-FR"/>
              </w:rPr>
              <w:t>Monnaie</w:t>
            </w:r>
            <w:r w:rsidRPr="00A66C9F">
              <w:rPr>
                <w:i/>
                <w:iCs/>
                <w:sz w:val="14"/>
                <w:vertAlign w:val="superscript"/>
                <w:lang w:val="fr-FR"/>
              </w:rPr>
              <w:t>a</w:t>
            </w:r>
          </w:p>
        </w:tc>
        <w:tc>
          <w:tcPr>
            <w:tcW w:w="1179" w:type="dxa"/>
            <w:tcBorders>
              <w:top w:val="single" w:sz="4" w:space="0" w:color="auto"/>
              <w:bottom w:val="single" w:sz="12" w:space="0" w:color="auto"/>
            </w:tcBorders>
            <w:shd w:val="clear" w:color="auto" w:fill="auto"/>
            <w:vAlign w:val="bottom"/>
          </w:tcPr>
          <w:p w14:paraId="1835B2F9" w14:textId="77777777" w:rsidR="00744544" w:rsidRPr="00A66C9F" w:rsidRDefault="00744544" w:rsidP="00107D5D">
            <w:pPr>
              <w:keepNext/>
              <w:keepLines/>
              <w:suppressAutoHyphens/>
              <w:spacing w:before="81" w:after="81" w:line="160" w:lineRule="exact"/>
              <w:ind w:right="43"/>
              <w:jc w:val="right"/>
              <w:rPr>
                <w:bCs/>
                <w:i/>
                <w:iCs/>
                <w:sz w:val="14"/>
                <w:szCs w:val="17"/>
                <w:lang w:val="fr-FR"/>
              </w:rPr>
            </w:pPr>
            <w:r w:rsidRPr="00A66C9F">
              <w:rPr>
                <w:i/>
                <w:iCs/>
                <w:sz w:val="14"/>
                <w:lang w:val="fr-FR"/>
              </w:rPr>
              <w:t>Variation totale</w:t>
            </w:r>
          </w:p>
        </w:tc>
        <w:tc>
          <w:tcPr>
            <w:tcW w:w="1377" w:type="dxa"/>
            <w:gridSpan w:val="2"/>
            <w:tcBorders>
              <w:bottom w:val="single" w:sz="12" w:space="0" w:color="auto"/>
            </w:tcBorders>
            <w:shd w:val="clear" w:color="auto" w:fill="auto"/>
            <w:vAlign w:val="bottom"/>
          </w:tcPr>
          <w:p w14:paraId="5F1FBE1E" w14:textId="77777777" w:rsidR="00744544" w:rsidRPr="00A66C9F" w:rsidDel="00C36671" w:rsidRDefault="00744544" w:rsidP="00107D5D">
            <w:pPr>
              <w:keepNext/>
              <w:keepLines/>
              <w:suppressAutoHyphens/>
              <w:spacing w:before="81" w:after="81" w:line="160" w:lineRule="exact"/>
              <w:ind w:right="43"/>
              <w:jc w:val="right"/>
              <w:rPr>
                <w:bCs/>
                <w:i/>
                <w:iCs/>
                <w:sz w:val="14"/>
                <w:szCs w:val="17"/>
                <w:lang w:val="fr-FR"/>
              </w:rPr>
            </w:pPr>
            <w:r w:rsidRPr="00A66C9F">
              <w:rPr>
                <w:i/>
                <w:iCs/>
                <w:sz w:val="14"/>
                <w:lang w:val="fr-FR"/>
              </w:rPr>
              <w:t>Valeur marchande</w:t>
            </w:r>
          </w:p>
        </w:tc>
        <w:tc>
          <w:tcPr>
            <w:tcW w:w="999" w:type="dxa"/>
            <w:tcBorders>
              <w:bottom w:val="single" w:sz="12" w:space="0" w:color="auto"/>
            </w:tcBorders>
            <w:shd w:val="clear" w:color="auto" w:fill="auto"/>
            <w:vAlign w:val="bottom"/>
          </w:tcPr>
          <w:p w14:paraId="5FCD5F8F" w14:textId="77777777" w:rsidR="00744544" w:rsidRPr="00A66C9F" w:rsidDel="0044554E" w:rsidRDefault="00744544" w:rsidP="00107D5D">
            <w:pPr>
              <w:keepNext/>
              <w:keepLines/>
              <w:suppressAutoHyphens/>
              <w:spacing w:before="81" w:after="81" w:line="160" w:lineRule="exact"/>
              <w:ind w:right="43"/>
              <w:jc w:val="right"/>
              <w:rPr>
                <w:bCs/>
                <w:i/>
                <w:iCs/>
                <w:sz w:val="14"/>
                <w:szCs w:val="17"/>
                <w:lang w:val="fr-FR"/>
              </w:rPr>
            </w:pPr>
            <w:r w:rsidRPr="00A66C9F">
              <w:rPr>
                <w:i/>
                <w:iCs/>
                <w:sz w:val="14"/>
                <w:lang w:val="fr-FR"/>
              </w:rPr>
              <w:t>Monnaie</w:t>
            </w:r>
            <w:r w:rsidRPr="00A66C9F">
              <w:rPr>
                <w:i/>
                <w:iCs/>
                <w:sz w:val="14"/>
                <w:vertAlign w:val="superscript"/>
                <w:lang w:val="fr-FR"/>
              </w:rPr>
              <w:t>a</w:t>
            </w:r>
          </w:p>
        </w:tc>
        <w:tc>
          <w:tcPr>
            <w:tcW w:w="1134" w:type="dxa"/>
            <w:tcBorders>
              <w:bottom w:val="single" w:sz="12" w:space="0" w:color="auto"/>
            </w:tcBorders>
            <w:shd w:val="clear" w:color="auto" w:fill="auto"/>
            <w:vAlign w:val="bottom"/>
          </w:tcPr>
          <w:p w14:paraId="64D7E8E8" w14:textId="77777777" w:rsidR="00744544" w:rsidRPr="00A66C9F" w:rsidDel="00C36671" w:rsidRDefault="00744544" w:rsidP="00107D5D">
            <w:pPr>
              <w:keepNext/>
              <w:keepLines/>
              <w:suppressAutoHyphens/>
              <w:spacing w:before="81" w:after="81" w:line="160" w:lineRule="exact"/>
              <w:ind w:right="43"/>
              <w:jc w:val="right"/>
              <w:rPr>
                <w:bCs/>
                <w:i/>
                <w:iCs/>
                <w:sz w:val="14"/>
                <w:szCs w:val="17"/>
                <w:lang w:val="fr-FR"/>
              </w:rPr>
            </w:pPr>
            <w:r w:rsidRPr="00A66C9F">
              <w:rPr>
                <w:i/>
                <w:iCs/>
                <w:sz w:val="14"/>
                <w:lang w:val="fr-FR"/>
              </w:rPr>
              <w:t>Variation totale</w:t>
            </w:r>
          </w:p>
        </w:tc>
      </w:tr>
      <w:tr w:rsidR="00744544" w:rsidRPr="00A66C9F" w14:paraId="26AEB898" w14:textId="77777777" w:rsidTr="00107D5D">
        <w:trPr>
          <w:trHeight w:hRule="exact" w:val="115"/>
          <w:tblHeader/>
        </w:trPr>
        <w:tc>
          <w:tcPr>
            <w:tcW w:w="2898" w:type="dxa"/>
            <w:tcBorders>
              <w:top w:val="single" w:sz="12" w:space="0" w:color="auto"/>
            </w:tcBorders>
            <w:shd w:val="clear" w:color="auto" w:fill="auto"/>
            <w:vAlign w:val="bottom"/>
          </w:tcPr>
          <w:p w14:paraId="3D422F86" w14:textId="77777777" w:rsidR="00744544" w:rsidRPr="00A66C9F" w:rsidRDefault="00744544" w:rsidP="00107D5D">
            <w:pPr>
              <w:suppressAutoHyphens/>
              <w:spacing w:before="40" w:after="40" w:line="210" w:lineRule="exact"/>
              <w:ind w:left="72" w:right="40" w:hanging="180"/>
              <w:rPr>
                <w:sz w:val="17"/>
                <w:lang w:val="fr-FR"/>
              </w:rPr>
            </w:pPr>
          </w:p>
        </w:tc>
        <w:tc>
          <w:tcPr>
            <w:tcW w:w="1233" w:type="dxa"/>
            <w:tcBorders>
              <w:top w:val="single" w:sz="12" w:space="0" w:color="auto"/>
            </w:tcBorders>
            <w:shd w:val="clear" w:color="auto" w:fill="auto"/>
            <w:vAlign w:val="bottom"/>
          </w:tcPr>
          <w:p w14:paraId="2F25F30F" w14:textId="77777777" w:rsidR="00744544" w:rsidRPr="00A66C9F" w:rsidRDefault="00744544" w:rsidP="00107D5D">
            <w:pPr>
              <w:keepNext/>
              <w:keepLines/>
              <w:suppressAutoHyphens/>
              <w:spacing w:before="40" w:after="40" w:line="210" w:lineRule="exact"/>
              <w:ind w:right="43"/>
              <w:jc w:val="right"/>
              <w:rPr>
                <w:sz w:val="17"/>
                <w:lang w:val="fr-FR"/>
              </w:rPr>
            </w:pPr>
          </w:p>
        </w:tc>
        <w:tc>
          <w:tcPr>
            <w:tcW w:w="990" w:type="dxa"/>
            <w:tcBorders>
              <w:top w:val="single" w:sz="12" w:space="0" w:color="auto"/>
            </w:tcBorders>
            <w:shd w:val="clear" w:color="auto" w:fill="auto"/>
            <w:vAlign w:val="bottom"/>
          </w:tcPr>
          <w:p w14:paraId="5DEA55F2" w14:textId="77777777" w:rsidR="00744544" w:rsidRPr="00A66C9F" w:rsidRDefault="00744544" w:rsidP="00107D5D">
            <w:pPr>
              <w:keepNext/>
              <w:keepLines/>
              <w:suppressAutoHyphens/>
              <w:spacing w:before="40" w:after="40" w:line="210" w:lineRule="exact"/>
              <w:ind w:right="43"/>
              <w:jc w:val="right"/>
              <w:rPr>
                <w:sz w:val="17"/>
                <w:lang w:val="fr-FR"/>
              </w:rPr>
            </w:pPr>
          </w:p>
        </w:tc>
        <w:tc>
          <w:tcPr>
            <w:tcW w:w="1179" w:type="dxa"/>
            <w:tcBorders>
              <w:top w:val="single" w:sz="12" w:space="0" w:color="auto"/>
            </w:tcBorders>
            <w:shd w:val="clear" w:color="auto" w:fill="auto"/>
            <w:vAlign w:val="bottom"/>
          </w:tcPr>
          <w:p w14:paraId="01F01A68" w14:textId="77777777" w:rsidR="00744544" w:rsidRPr="00A66C9F" w:rsidRDefault="00744544" w:rsidP="00107D5D">
            <w:pPr>
              <w:keepNext/>
              <w:keepLines/>
              <w:suppressAutoHyphens/>
              <w:spacing w:before="40" w:after="40" w:line="210" w:lineRule="exact"/>
              <w:ind w:right="43"/>
              <w:jc w:val="right"/>
              <w:rPr>
                <w:sz w:val="17"/>
                <w:lang w:val="fr-FR"/>
              </w:rPr>
            </w:pPr>
          </w:p>
        </w:tc>
        <w:tc>
          <w:tcPr>
            <w:tcW w:w="1377" w:type="dxa"/>
            <w:gridSpan w:val="2"/>
            <w:tcBorders>
              <w:top w:val="single" w:sz="12" w:space="0" w:color="auto"/>
            </w:tcBorders>
            <w:shd w:val="clear" w:color="auto" w:fill="auto"/>
            <w:vAlign w:val="bottom"/>
          </w:tcPr>
          <w:p w14:paraId="7331B410" w14:textId="77777777" w:rsidR="00744544" w:rsidRPr="00A66C9F" w:rsidRDefault="00744544" w:rsidP="00107D5D">
            <w:pPr>
              <w:keepNext/>
              <w:keepLines/>
              <w:suppressAutoHyphens/>
              <w:spacing w:before="40" w:after="40" w:line="210" w:lineRule="exact"/>
              <w:ind w:right="43"/>
              <w:jc w:val="right"/>
              <w:rPr>
                <w:sz w:val="17"/>
                <w:lang w:val="fr-FR"/>
              </w:rPr>
            </w:pPr>
          </w:p>
        </w:tc>
        <w:tc>
          <w:tcPr>
            <w:tcW w:w="999" w:type="dxa"/>
            <w:tcBorders>
              <w:top w:val="single" w:sz="12" w:space="0" w:color="auto"/>
            </w:tcBorders>
            <w:shd w:val="clear" w:color="auto" w:fill="auto"/>
            <w:vAlign w:val="bottom"/>
          </w:tcPr>
          <w:p w14:paraId="54D5B111" w14:textId="77777777" w:rsidR="00744544" w:rsidRPr="00A66C9F" w:rsidRDefault="00744544" w:rsidP="00107D5D">
            <w:pPr>
              <w:keepNext/>
              <w:keepLines/>
              <w:suppressAutoHyphens/>
              <w:spacing w:before="40" w:after="40" w:line="210" w:lineRule="exact"/>
              <w:ind w:right="43"/>
              <w:jc w:val="right"/>
              <w:rPr>
                <w:sz w:val="17"/>
                <w:lang w:val="fr-FR"/>
              </w:rPr>
            </w:pPr>
          </w:p>
        </w:tc>
        <w:tc>
          <w:tcPr>
            <w:tcW w:w="1134" w:type="dxa"/>
            <w:tcBorders>
              <w:top w:val="single" w:sz="12" w:space="0" w:color="auto"/>
            </w:tcBorders>
            <w:shd w:val="clear" w:color="auto" w:fill="auto"/>
            <w:vAlign w:val="bottom"/>
          </w:tcPr>
          <w:p w14:paraId="24F6AF45" w14:textId="77777777" w:rsidR="00744544" w:rsidRPr="00A66C9F" w:rsidRDefault="00744544" w:rsidP="00107D5D">
            <w:pPr>
              <w:keepNext/>
              <w:keepLines/>
              <w:suppressAutoHyphens/>
              <w:spacing w:before="40" w:after="40" w:line="210" w:lineRule="exact"/>
              <w:ind w:right="43"/>
              <w:jc w:val="right"/>
              <w:rPr>
                <w:sz w:val="17"/>
                <w:lang w:val="fr-FR"/>
              </w:rPr>
            </w:pPr>
          </w:p>
        </w:tc>
      </w:tr>
      <w:tr w:rsidR="00744544" w:rsidRPr="00A66C9F" w14:paraId="0C1C2DDD" w14:textId="77777777" w:rsidTr="00107D5D">
        <w:tc>
          <w:tcPr>
            <w:tcW w:w="2898" w:type="dxa"/>
            <w:shd w:val="clear" w:color="auto" w:fill="auto"/>
            <w:vAlign w:val="bottom"/>
            <w:hideMark/>
          </w:tcPr>
          <w:p w14:paraId="17EC607C" w14:textId="77777777" w:rsidR="00744544" w:rsidRPr="00A66C9F" w:rsidRDefault="00744544" w:rsidP="00107D5D">
            <w:pPr>
              <w:tabs>
                <w:tab w:val="left" w:pos="288"/>
                <w:tab w:val="left" w:pos="576"/>
                <w:tab w:val="left" w:pos="864"/>
                <w:tab w:val="left" w:pos="1152"/>
              </w:tabs>
              <w:suppressAutoHyphens/>
              <w:spacing w:before="40" w:after="40" w:line="210" w:lineRule="exact"/>
              <w:ind w:left="187" w:right="43" w:hanging="187"/>
              <w:rPr>
                <w:sz w:val="17"/>
                <w:szCs w:val="17"/>
                <w:lang w:val="fr-FR"/>
              </w:rPr>
            </w:pPr>
            <w:r w:rsidRPr="00A66C9F">
              <w:rPr>
                <w:sz w:val="17"/>
                <w:lang w:val="fr-FR"/>
              </w:rPr>
              <w:t>Actions</w:t>
            </w:r>
          </w:p>
        </w:tc>
        <w:tc>
          <w:tcPr>
            <w:tcW w:w="1233" w:type="dxa"/>
            <w:shd w:val="clear" w:color="auto" w:fill="auto"/>
            <w:vAlign w:val="bottom"/>
          </w:tcPr>
          <w:p w14:paraId="623E308A"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8 388 111 </w:t>
            </w:r>
          </w:p>
        </w:tc>
        <w:tc>
          <w:tcPr>
            <w:tcW w:w="990" w:type="dxa"/>
            <w:shd w:val="clear" w:color="auto" w:fill="auto"/>
            <w:vAlign w:val="bottom"/>
          </w:tcPr>
          <w:p w14:paraId="06D90084"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72 595 </w:t>
            </w:r>
          </w:p>
        </w:tc>
        <w:tc>
          <w:tcPr>
            <w:tcW w:w="1179" w:type="dxa"/>
            <w:shd w:val="clear" w:color="auto" w:fill="auto"/>
            <w:vAlign w:val="bottom"/>
          </w:tcPr>
          <w:p w14:paraId="4DF58E63"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8 460 706 </w:t>
            </w:r>
          </w:p>
        </w:tc>
        <w:tc>
          <w:tcPr>
            <w:tcW w:w="1377" w:type="dxa"/>
            <w:gridSpan w:val="2"/>
            <w:shd w:val="clear" w:color="auto" w:fill="auto"/>
            <w:vAlign w:val="bottom"/>
            <w:hideMark/>
          </w:tcPr>
          <w:p w14:paraId="60643BE9"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(3 886 905)</w:t>
            </w:r>
          </w:p>
        </w:tc>
        <w:tc>
          <w:tcPr>
            <w:tcW w:w="999" w:type="dxa"/>
            <w:shd w:val="clear" w:color="auto" w:fill="auto"/>
            <w:vAlign w:val="bottom"/>
            <w:hideMark/>
          </w:tcPr>
          <w:p w14:paraId="005B5295"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(504 519)</w:t>
            </w:r>
          </w:p>
        </w:tc>
        <w:tc>
          <w:tcPr>
            <w:tcW w:w="1134" w:type="dxa"/>
            <w:shd w:val="clear" w:color="auto" w:fill="auto"/>
            <w:vAlign w:val="bottom"/>
            <w:hideMark/>
          </w:tcPr>
          <w:p w14:paraId="4A7BD80C"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(4 391 424)</w:t>
            </w:r>
          </w:p>
        </w:tc>
      </w:tr>
      <w:tr w:rsidR="00744544" w:rsidRPr="00A66C9F" w14:paraId="2189177C" w14:textId="77777777" w:rsidTr="00107D5D">
        <w:tc>
          <w:tcPr>
            <w:tcW w:w="2898" w:type="dxa"/>
            <w:shd w:val="clear" w:color="auto" w:fill="auto"/>
            <w:vAlign w:val="bottom"/>
            <w:hideMark/>
          </w:tcPr>
          <w:p w14:paraId="30182F8F" w14:textId="77777777" w:rsidR="00744544" w:rsidRPr="00A66C9F" w:rsidRDefault="00744544" w:rsidP="00107D5D">
            <w:pPr>
              <w:tabs>
                <w:tab w:val="left" w:pos="288"/>
                <w:tab w:val="left" w:pos="576"/>
                <w:tab w:val="left" w:pos="864"/>
                <w:tab w:val="left" w:pos="1152"/>
              </w:tabs>
              <w:suppressAutoHyphens/>
              <w:spacing w:before="40" w:after="40" w:line="210" w:lineRule="exact"/>
              <w:ind w:left="187" w:right="43" w:hanging="187"/>
              <w:rPr>
                <w:sz w:val="17"/>
                <w:szCs w:val="17"/>
                <w:lang w:val="fr-FR"/>
              </w:rPr>
            </w:pPr>
            <w:r w:rsidRPr="00A66C9F">
              <w:rPr>
                <w:sz w:val="17"/>
                <w:lang w:val="fr-FR"/>
              </w:rPr>
              <w:t>Valeurs à revenu fixe</w:t>
            </w:r>
          </w:p>
        </w:tc>
        <w:tc>
          <w:tcPr>
            <w:tcW w:w="1233" w:type="dxa"/>
            <w:shd w:val="clear" w:color="auto" w:fill="auto"/>
            <w:vAlign w:val="bottom"/>
          </w:tcPr>
          <w:p w14:paraId="2AE5443D"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674 440 </w:t>
            </w:r>
          </w:p>
        </w:tc>
        <w:tc>
          <w:tcPr>
            <w:tcW w:w="990" w:type="dxa"/>
            <w:shd w:val="clear" w:color="auto" w:fill="auto"/>
            <w:vAlign w:val="bottom"/>
          </w:tcPr>
          <w:p w14:paraId="38778FFC"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(2 336)</w:t>
            </w:r>
          </w:p>
        </w:tc>
        <w:tc>
          <w:tcPr>
            <w:tcW w:w="1179" w:type="dxa"/>
            <w:shd w:val="clear" w:color="auto" w:fill="auto"/>
            <w:vAlign w:val="bottom"/>
          </w:tcPr>
          <w:p w14:paraId="5DDB7662"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672 104 </w:t>
            </w:r>
          </w:p>
        </w:tc>
        <w:tc>
          <w:tcPr>
            <w:tcW w:w="1377" w:type="dxa"/>
            <w:gridSpan w:val="2"/>
            <w:shd w:val="clear" w:color="auto" w:fill="auto"/>
            <w:vAlign w:val="bottom"/>
            <w:hideMark/>
          </w:tcPr>
          <w:p w14:paraId="47598483"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(189 910)</w:t>
            </w:r>
          </w:p>
        </w:tc>
        <w:tc>
          <w:tcPr>
            <w:tcW w:w="999" w:type="dxa"/>
            <w:shd w:val="clear" w:color="auto" w:fill="auto"/>
            <w:vAlign w:val="bottom"/>
            <w:hideMark/>
          </w:tcPr>
          <w:p w14:paraId="503D798B"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(360 996)</w:t>
            </w:r>
          </w:p>
        </w:tc>
        <w:tc>
          <w:tcPr>
            <w:tcW w:w="1134" w:type="dxa"/>
            <w:shd w:val="clear" w:color="auto" w:fill="auto"/>
            <w:vAlign w:val="bottom"/>
            <w:hideMark/>
          </w:tcPr>
          <w:p w14:paraId="616CAF2C"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(550 906)</w:t>
            </w:r>
          </w:p>
        </w:tc>
      </w:tr>
      <w:tr w:rsidR="00744544" w:rsidRPr="00A66C9F" w14:paraId="0DFF58C9" w14:textId="77777777" w:rsidTr="00107D5D">
        <w:tc>
          <w:tcPr>
            <w:tcW w:w="2898" w:type="dxa"/>
            <w:shd w:val="clear" w:color="auto" w:fill="auto"/>
            <w:vAlign w:val="bottom"/>
            <w:hideMark/>
          </w:tcPr>
          <w:p w14:paraId="2356A420" w14:textId="77777777" w:rsidR="00744544" w:rsidRPr="00A66C9F" w:rsidRDefault="00744544" w:rsidP="00107D5D">
            <w:pPr>
              <w:tabs>
                <w:tab w:val="left" w:pos="288"/>
                <w:tab w:val="left" w:pos="576"/>
                <w:tab w:val="left" w:pos="864"/>
                <w:tab w:val="left" w:pos="1152"/>
              </w:tabs>
              <w:suppressAutoHyphens/>
              <w:spacing w:before="40" w:after="40" w:line="210" w:lineRule="exact"/>
              <w:ind w:left="187" w:right="43" w:hanging="187"/>
              <w:rPr>
                <w:sz w:val="17"/>
                <w:szCs w:val="17"/>
                <w:lang w:val="fr-FR"/>
              </w:rPr>
            </w:pPr>
            <w:r w:rsidRPr="00A66C9F">
              <w:rPr>
                <w:sz w:val="17"/>
                <w:lang w:val="fr-FR"/>
              </w:rPr>
              <w:t>Titres immobiliers</w:t>
            </w:r>
          </w:p>
        </w:tc>
        <w:tc>
          <w:tcPr>
            <w:tcW w:w="1233" w:type="dxa"/>
            <w:shd w:val="clear" w:color="auto" w:fill="auto"/>
            <w:vAlign w:val="bottom"/>
          </w:tcPr>
          <w:p w14:paraId="4DE31C51"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365 531 </w:t>
            </w:r>
          </w:p>
        </w:tc>
        <w:tc>
          <w:tcPr>
            <w:tcW w:w="990" w:type="dxa"/>
            <w:shd w:val="clear" w:color="auto" w:fill="auto"/>
            <w:vAlign w:val="bottom"/>
          </w:tcPr>
          <w:p w14:paraId="1CC22E36"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5 818 </w:t>
            </w:r>
          </w:p>
        </w:tc>
        <w:tc>
          <w:tcPr>
            <w:tcW w:w="1179" w:type="dxa"/>
            <w:shd w:val="clear" w:color="auto" w:fill="auto"/>
            <w:vAlign w:val="bottom"/>
          </w:tcPr>
          <w:p w14:paraId="60739ED6"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371 349 </w:t>
            </w:r>
          </w:p>
        </w:tc>
        <w:tc>
          <w:tcPr>
            <w:tcW w:w="1377" w:type="dxa"/>
            <w:gridSpan w:val="2"/>
            <w:shd w:val="clear" w:color="auto" w:fill="auto"/>
            <w:vAlign w:val="bottom"/>
            <w:hideMark/>
          </w:tcPr>
          <w:p w14:paraId="4EA1740C"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298 456</w:t>
            </w:r>
          </w:p>
        </w:tc>
        <w:tc>
          <w:tcPr>
            <w:tcW w:w="999" w:type="dxa"/>
            <w:shd w:val="clear" w:color="auto" w:fill="auto"/>
            <w:vAlign w:val="bottom"/>
            <w:hideMark/>
          </w:tcPr>
          <w:p w14:paraId="22EDD750"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(42 080)</w:t>
            </w:r>
          </w:p>
        </w:tc>
        <w:tc>
          <w:tcPr>
            <w:tcW w:w="1134" w:type="dxa"/>
            <w:shd w:val="clear" w:color="auto" w:fill="auto"/>
            <w:vAlign w:val="bottom"/>
            <w:hideMark/>
          </w:tcPr>
          <w:p w14:paraId="1969E192"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256 376</w:t>
            </w:r>
          </w:p>
        </w:tc>
      </w:tr>
      <w:tr w:rsidR="00744544" w:rsidRPr="00A66C9F" w14:paraId="70BD91F4" w14:textId="77777777" w:rsidTr="00107D5D">
        <w:tc>
          <w:tcPr>
            <w:tcW w:w="2898" w:type="dxa"/>
            <w:shd w:val="clear" w:color="auto" w:fill="auto"/>
            <w:vAlign w:val="bottom"/>
            <w:hideMark/>
          </w:tcPr>
          <w:p w14:paraId="17FDDA1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rPr>
                <w:sz w:val="17"/>
                <w:szCs w:val="17"/>
                <w:lang w:val="fr-FR"/>
              </w:rPr>
            </w:pPr>
            <w:r w:rsidRPr="00A66C9F">
              <w:rPr>
                <w:sz w:val="17"/>
                <w:lang w:val="fr-FR"/>
              </w:rPr>
              <w:t>Investissements alternatifs</w:t>
            </w:r>
          </w:p>
        </w:tc>
        <w:tc>
          <w:tcPr>
            <w:tcW w:w="1233" w:type="dxa"/>
            <w:shd w:val="clear" w:color="auto" w:fill="auto"/>
            <w:vAlign w:val="bottom"/>
          </w:tcPr>
          <w:p w14:paraId="00A420EA"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513 865 </w:t>
            </w:r>
          </w:p>
        </w:tc>
        <w:tc>
          <w:tcPr>
            <w:tcW w:w="990" w:type="dxa"/>
            <w:shd w:val="clear" w:color="auto" w:fill="auto"/>
            <w:vAlign w:val="bottom"/>
          </w:tcPr>
          <w:p w14:paraId="338F56D9"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(3 556)</w:t>
            </w:r>
          </w:p>
        </w:tc>
        <w:tc>
          <w:tcPr>
            <w:tcW w:w="1179" w:type="dxa"/>
            <w:shd w:val="clear" w:color="auto" w:fill="auto"/>
            <w:vAlign w:val="bottom"/>
          </w:tcPr>
          <w:p w14:paraId="1D039242"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510 309 </w:t>
            </w:r>
          </w:p>
        </w:tc>
        <w:tc>
          <w:tcPr>
            <w:tcW w:w="1377" w:type="dxa"/>
            <w:gridSpan w:val="2"/>
            <w:shd w:val="clear" w:color="auto" w:fill="auto"/>
            <w:vAlign w:val="bottom"/>
            <w:hideMark/>
          </w:tcPr>
          <w:p w14:paraId="2D0EC1A3"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197 327</w:t>
            </w:r>
          </w:p>
        </w:tc>
        <w:tc>
          <w:tcPr>
            <w:tcW w:w="999" w:type="dxa"/>
            <w:shd w:val="clear" w:color="auto" w:fill="auto"/>
            <w:vAlign w:val="bottom"/>
            <w:hideMark/>
          </w:tcPr>
          <w:p w14:paraId="2A274945"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(11 524)</w:t>
            </w:r>
          </w:p>
        </w:tc>
        <w:tc>
          <w:tcPr>
            <w:tcW w:w="1134" w:type="dxa"/>
            <w:shd w:val="clear" w:color="auto" w:fill="auto"/>
            <w:vAlign w:val="bottom"/>
            <w:hideMark/>
          </w:tcPr>
          <w:p w14:paraId="40329CFE"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185 803</w:t>
            </w:r>
          </w:p>
        </w:tc>
      </w:tr>
      <w:tr w:rsidR="00744544" w:rsidRPr="00A66C9F" w14:paraId="5E99AB28" w14:textId="77777777" w:rsidTr="00107D5D">
        <w:tc>
          <w:tcPr>
            <w:tcW w:w="2898" w:type="dxa"/>
            <w:tcBorders>
              <w:bottom w:val="single" w:sz="4" w:space="0" w:color="auto"/>
            </w:tcBorders>
            <w:shd w:val="clear" w:color="auto" w:fill="auto"/>
            <w:vAlign w:val="bottom"/>
            <w:hideMark/>
          </w:tcPr>
          <w:p w14:paraId="33951F59"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rPr>
                <w:sz w:val="17"/>
                <w:szCs w:val="17"/>
                <w:lang w:val="fr-FR"/>
              </w:rPr>
            </w:pPr>
            <w:r w:rsidRPr="00A66C9F">
              <w:rPr>
                <w:sz w:val="17"/>
                <w:lang w:val="fr-FR"/>
              </w:rPr>
              <w:t>Trésorerie, équivalents de trésorerie et comptes débiteurs et créditeurs de la cession de titres</w:t>
            </w:r>
          </w:p>
        </w:tc>
        <w:tc>
          <w:tcPr>
            <w:tcW w:w="1233" w:type="dxa"/>
            <w:tcBorders>
              <w:bottom w:val="single" w:sz="4" w:space="0" w:color="auto"/>
            </w:tcBorders>
            <w:shd w:val="clear" w:color="auto" w:fill="auto"/>
            <w:vAlign w:val="bottom"/>
          </w:tcPr>
          <w:p w14:paraId="7AE06DC6"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lang w:val="fr-FR"/>
              </w:rPr>
              <w:t xml:space="preserve"> – </w:t>
            </w:r>
          </w:p>
        </w:tc>
        <w:tc>
          <w:tcPr>
            <w:tcW w:w="990" w:type="dxa"/>
            <w:tcBorders>
              <w:bottom w:val="single" w:sz="4" w:space="0" w:color="auto"/>
            </w:tcBorders>
            <w:shd w:val="clear" w:color="auto" w:fill="auto"/>
            <w:vAlign w:val="bottom"/>
          </w:tcPr>
          <w:p w14:paraId="0EE039F9"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lang w:val="fr-FR"/>
              </w:rPr>
              <w:t xml:space="preserve"> (4 690)</w:t>
            </w:r>
          </w:p>
        </w:tc>
        <w:tc>
          <w:tcPr>
            <w:tcW w:w="1179" w:type="dxa"/>
            <w:tcBorders>
              <w:bottom w:val="single" w:sz="4" w:space="0" w:color="auto"/>
            </w:tcBorders>
            <w:shd w:val="clear" w:color="auto" w:fill="auto"/>
            <w:vAlign w:val="bottom"/>
          </w:tcPr>
          <w:p w14:paraId="4B1CAE71"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lang w:val="fr-FR"/>
              </w:rPr>
              <w:t xml:space="preserve"> (4 690)</w:t>
            </w:r>
          </w:p>
        </w:tc>
        <w:tc>
          <w:tcPr>
            <w:tcW w:w="1377" w:type="dxa"/>
            <w:gridSpan w:val="2"/>
            <w:tcBorders>
              <w:bottom w:val="single" w:sz="4" w:space="0" w:color="auto"/>
            </w:tcBorders>
            <w:shd w:val="clear" w:color="auto" w:fill="auto"/>
            <w:vAlign w:val="bottom"/>
            <w:hideMark/>
          </w:tcPr>
          <w:p w14:paraId="265D0C9B"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lang w:val="fr-FR"/>
              </w:rPr>
              <w:t>–</w:t>
            </w:r>
          </w:p>
        </w:tc>
        <w:tc>
          <w:tcPr>
            <w:tcW w:w="999" w:type="dxa"/>
            <w:tcBorders>
              <w:bottom w:val="single" w:sz="4" w:space="0" w:color="auto"/>
            </w:tcBorders>
            <w:shd w:val="clear" w:color="auto" w:fill="auto"/>
            <w:vAlign w:val="bottom"/>
            <w:hideMark/>
          </w:tcPr>
          <w:p w14:paraId="5AB94AD5"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lang w:val="fr-FR"/>
              </w:rPr>
              <w:t>(1 924)</w:t>
            </w:r>
          </w:p>
        </w:tc>
        <w:tc>
          <w:tcPr>
            <w:tcW w:w="1134" w:type="dxa"/>
            <w:tcBorders>
              <w:bottom w:val="single" w:sz="4" w:space="0" w:color="auto"/>
            </w:tcBorders>
            <w:shd w:val="clear" w:color="auto" w:fill="auto"/>
            <w:vAlign w:val="bottom"/>
            <w:hideMark/>
          </w:tcPr>
          <w:p w14:paraId="1178B3E2"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lang w:val="fr-FR"/>
              </w:rPr>
              <w:t>(1 924)</w:t>
            </w:r>
          </w:p>
        </w:tc>
      </w:tr>
      <w:tr w:rsidR="00744544" w:rsidRPr="00A66C9F" w14:paraId="16D3375E" w14:textId="77777777" w:rsidTr="00107D5D">
        <w:tc>
          <w:tcPr>
            <w:tcW w:w="2898" w:type="dxa"/>
            <w:tcBorders>
              <w:top w:val="single" w:sz="4" w:space="0" w:color="auto"/>
              <w:bottom w:val="single" w:sz="12" w:space="0" w:color="auto"/>
            </w:tcBorders>
            <w:shd w:val="clear" w:color="auto" w:fill="auto"/>
            <w:vAlign w:val="bottom"/>
            <w:hideMark/>
          </w:tcPr>
          <w:p w14:paraId="4848175D"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rPr>
                <w:b/>
                <w:bCs/>
                <w:sz w:val="17"/>
                <w:szCs w:val="17"/>
                <w:lang w:val="fr-FR"/>
              </w:rPr>
            </w:pPr>
            <w:r w:rsidRPr="00A66C9F">
              <w:rPr>
                <w:b/>
                <w:sz w:val="17"/>
                <w:lang w:val="fr-FR"/>
              </w:rPr>
              <w:tab/>
              <w:t>Total des variations</w:t>
            </w:r>
          </w:p>
        </w:tc>
        <w:tc>
          <w:tcPr>
            <w:tcW w:w="1233" w:type="dxa"/>
            <w:tcBorders>
              <w:top w:val="single" w:sz="4" w:space="0" w:color="auto"/>
              <w:bottom w:val="single" w:sz="12" w:space="0" w:color="auto"/>
            </w:tcBorders>
            <w:shd w:val="clear" w:color="auto" w:fill="auto"/>
            <w:vAlign w:val="bottom"/>
          </w:tcPr>
          <w:p w14:paraId="10B531F7" w14:textId="77777777" w:rsidR="00744544" w:rsidRPr="00A66C9F" w:rsidRDefault="00744544" w:rsidP="00107D5D">
            <w:pPr>
              <w:keepNext/>
              <w:keepLines/>
              <w:tabs>
                <w:tab w:val="left" w:pos="288"/>
                <w:tab w:val="left" w:pos="576"/>
                <w:tab w:val="left" w:pos="864"/>
                <w:tab w:val="left" w:pos="1152"/>
              </w:tabs>
              <w:suppressAutoHyphens/>
              <w:spacing w:before="81" w:after="81" w:line="210" w:lineRule="exact"/>
              <w:ind w:right="43"/>
              <w:jc w:val="right"/>
              <w:rPr>
                <w:b/>
                <w:bCs/>
                <w:sz w:val="17"/>
                <w:szCs w:val="17"/>
                <w:lang w:val="fr-FR"/>
              </w:rPr>
            </w:pPr>
            <w:r w:rsidRPr="00A66C9F">
              <w:rPr>
                <w:b/>
                <w:sz w:val="17"/>
                <w:lang w:val="fr-FR"/>
              </w:rPr>
              <w:t xml:space="preserve"> </w:t>
            </w:r>
            <w:r w:rsidRPr="00A66C9F">
              <w:rPr>
                <w:b/>
                <w:bCs/>
                <w:sz w:val="17"/>
                <w:lang w:val="fr-FR"/>
              </w:rPr>
              <w:t>9 941 947</w:t>
            </w:r>
            <w:r w:rsidRPr="00A66C9F">
              <w:rPr>
                <w:b/>
                <w:sz w:val="17"/>
                <w:lang w:val="fr-FR"/>
              </w:rPr>
              <w:t xml:space="preserve"> </w:t>
            </w:r>
          </w:p>
        </w:tc>
        <w:tc>
          <w:tcPr>
            <w:tcW w:w="990" w:type="dxa"/>
            <w:tcBorders>
              <w:top w:val="single" w:sz="4" w:space="0" w:color="auto"/>
              <w:bottom w:val="single" w:sz="12" w:space="0" w:color="auto"/>
            </w:tcBorders>
            <w:shd w:val="clear" w:color="auto" w:fill="auto"/>
            <w:vAlign w:val="bottom"/>
          </w:tcPr>
          <w:p w14:paraId="124A88C8" w14:textId="77777777" w:rsidR="00744544" w:rsidRPr="00A66C9F" w:rsidRDefault="00744544" w:rsidP="00107D5D">
            <w:pPr>
              <w:keepNext/>
              <w:keepLines/>
              <w:tabs>
                <w:tab w:val="left" w:pos="288"/>
                <w:tab w:val="left" w:pos="576"/>
                <w:tab w:val="left" w:pos="864"/>
                <w:tab w:val="left" w:pos="1152"/>
              </w:tabs>
              <w:suppressAutoHyphens/>
              <w:spacing w:before="81" w:after="81" w:line="210" w:lineRule="exact"/>
              <w:ind w:right="43"/>
              <w:jc w:val="right"/>
              <w:rPr>
                <w:b/>
                <w:bCs/>
                <w:sz w:val="17"/>
                <w:szCs w:val="17"/>
                <w:lang w:val="fr-FR"/>
              </w:rPr>
            </w:pPr>
            <w:r w:rsidRPr="00A66C9F">
              <w:rPr>
                <w:b/>
                <w:sz w:val="17"/>
                <w:lang w:val="fr-FR"/>
              </w:rPr>
              <w:t xml:space="preserve"> </w:t>
            </w:r>
            <w:r w:rsidRPr="00A66C9F">
              <w:rPr>
                <w:b/>
                <w:bCs/>
                <w:sz w:val="17"/>
                <w:lang w:val="fr-FR"/>
              </w:rPr>
              <w:t>67 831</w:t>
            </w:r>
            <w:r w:rsidRPr="00A66C9F">
              <w:rPr>
                <w:b/>
                <w:sz w:val="17"/>
                <w:lang w:val="fr-FR"/>
              </w:rPr>
              <w:t xml:space="preserve"> </w:t>
            </w:r>
          </w:p>
        </w:tc>
        <w:tc>
          <w:tcPr>
            <w:tcW w:w="1179" w:type="dxa"/>
            <w:tcBorders>
              <w:top w:val="single" w:sz="4" w:space="0" w:color="auto"/>
              <w:bottom w:val="single" w:sz="12" w:space="0" w:color="auto"/>
            </w:tcBorders>
            <w:shd w:val="clear" w:color="auto" w:fill="auto"/>
            <w:vAlign w:val="bottom"/>
          </w:tcPr>
          <w:p w14:paraId="506E0F09" w14:textId="77777777" w:rsidR="00744544" w:rsidRPr="00A66C9F" w:rsidRDefault="00744544" w:rsidP="00107D5D">
            <w:pPr>
              <w:keepNext/>
              <w:keepLines/>
              <w:tabs>
                <w:tab w:val="left" w:pos="288"/>
                <w:tab w:val="left" w:pos="576"/>
                <w:tab w:val="left" w:pos="864"/>
                <w:tab w:val="left" w:pos="1152"/>
              </w:tabs>
              <w:suppressAutoHyphens/>
              <w:spacing w:before="81" w:after="81" w:line="210" w:lineRule="exact"/>
              <w:ind w:right="43"/>
              <w:jc w:val="right"/>
              <w:rPr>
                <w:b/>
                <w:bCs/>
                <w:sz w:val="17"/>
                <w:szCs w:val="17"/>
                <w:lang w:val="fr-FR"/>
              </w:rPr>
            </w:pPr>
            <w:r w:rsidRPr="00A66C9F">
              <w:rPr>
                <w:b/>
                <w:sz w:val="17"/>
                <w:lang w:val="fr-FR"/>
              </w:rPr>
              <w:t xml:space="preserve"> </w:t>
            </w:r>
            <w:r w:rsidRPr="00A66C9F">
              <w:rPr>
                <w:b/>
                <w:bCs/>
                <w:sz w:val="17"/>
                <w:lang w:val="fr-FR"/>
              </w:rPr>
              <w:t>10 009 778</w:t>
            </w:r>
            <w:r w:rsidRPr="00A66C9F">
              <w:rPr>
                <w:b/>
                <w:sz w:val="17"/>
                <w:lang w:val="fr-FR"/>
              </w:rPr>
              <w:t xml:space="preserve"> </w:t>
            </w:r>
          </w:p>
        </w:tc>
        <w:tc>
          <w:tcPr>
            <w:tcW w:w="1377" w:type="dxa"/>
            <w:gridSpan w:val="2"/>
            <w:tcBorders>
              <w:top w:val="single" w:sz="4" w:space="0" w:color="auto"/>
              <w:bottom w:val="single" w:sz="12" w:space="0" w:color="auto"/>
            </w:tcBorders>
            <w:shd w:val="clear" w:color="auto" w:fill="auto"/>
            <w:vAlign w:val="bottom"/>
            <w:hideMark/>
          </w:tcPr>
          <w:p w14:paraId="2943B6D2" w14:textId="77777777" w:rsidR="00744544" w:rsidRPr="00A66C9F" w:rsidRDefault="00744544" w:rsidP="00107D5D">
            <w:pPr>
              <w:keepNext/>
              <w:keepLines/>
              <w:tabs>
                <w:tab w:val="left" w:pos="288"/>
                <w:tab w:val="left" w:pos="576"/>
                <w:tab w:val="left" w:pos="864"/>
                <w:tab w:val="left" w:pos="1152"/>
              </w:tabs>
              <w:suppressAutoHyphens/>
              <w:spacing w:before="81" w:after="81" w:line="210" w:lineRule="exact"/>
              <w:ind w:right="43"/>
              <w:jc w:val="right"/>
              <w:rPr>
                <w:b/>
                <w:bCs/>
                <w:sz w:val="17"/>
                <w:szCs w:val="17"/>
                <w:lang w:val="fr-FR"/>
              </w:rPr>
            </w:pPr>
            <w:r w:rsidRPr="00A66C9F">
              <w:rPr>
                <w:b/>
                <w:bCs/>
                <w:sz w:val="17"/>
                <w:lang w:val="fr-FR"/>
              </w:rPr>
              <w:t>(3 581 032)</w:t>
            </w:r>
          </w:p>
        </w:tc>
        <w:tc>
          <w:tcPr>
            <w:tcW w:w="999" w:type="dxa"/>
            <w:tcBorders>
              <w:top w:val="single" w:sz="4" w:space="0" w:color="auto"/>
              <w:bottom w:val="single" w:sz="12" w:space="0" w:color="auto"/>
            </w:tcBorders>
            <w:shd w:val="clear" w:color="auto" w:fill="auto"/>
            <w:vAlign w:val="bottom"/>
            <w:hideMark/>
          </w:tcPr>
          <w:p w14:paraId="25C95502" w14:textId="77777777" w:rsidR="00744544" w:rsidRPr="00A66C9F" w:rsidRDefault="00744544" w:rsidP="00107D5D">
            <w:pPr>
              <w:keepNext/>
              <w:keepLines/>
              <w:tabs>
                <w:tab w:val="left" w:pos="288"/>
                <w:tab w:val="left" w:pos="576"/>
                <w:tab w:val="left" w:pos="864"/>
                <w:tab w:val="left" w:pos="1152"/>
              </w:tabs>
              <w:suppressAutoHyphens/>
              <w:spacing w:before="81" w:after="81" w:line="210" w:lineRule="exact"/>
              <w:ind w:right="43"/>
              <w:jc w:val="right"/>
              <w:rPr>
                <w:b/>
                <w:bCs/>
                <w:sz w:val="17"/>
                <w:szCs w:val="17"/>
                <w:lang w:val="fr-FR"/>
              </w:rPr>
            </w:pPr>
            <w:r w:rsidRPr="00A66C9F">
              <w:rPr>
                <w:b/>
                <w:bCs/>
                <w:sz w:val="17"/>
                <w:lang w:val="fr-FR"/>
              </w:rPr>
              <w:t>(921 043)</w:t>
            </w:r>
          </w:p>
        </w:tc>
        <w:tc>
          <w:tcPr>
            <w:tcW w:w="1134" w:type="dxa"/>
            <w:tcBorders>
              <w:top w:val="single" w:sz="4" w:space="0" w:color="auto"/>
              <w:bottom w:val="single" w:sz="12" w:space="0" w:color="auto"/>
            </w:tcBorders>
            <w:shd w:val="clear" w:color="auto" w:fill="auto"/>
            <w:vAlign w:val="bottom"/>
            <w:hideMark/>
          </w:tcPr>
          <w:p w14:paraId="37CEE27A" w14:textId="77777777" w:rsidR="00744544" w:rsidRPr="00A66C9F" w:rsidRDefault="00744544" w:rsidP="00107D5D">
            <w:pPr>
              <w:keepNext/>
              <w:keepLines/>
              <w:tabs>
                <w:tab w:val="left" w:pos="288"/>
                <w:tab w:val="left" w:pos="576"/>
                <w:tab w:val="left" w:pos="864"/>
                <w:tab w:val="left" w:pos="1152"/>
              </w:tabs>
              <w:suppressAutoHyphens/>
              <w:spacing w:before="81" w:after="81" w:line="210" w:lineRule="exact"/>
              <w:ind w:right="43"/>
              <w:jc w:val="right"/>
              <w:rPr>
                <w:b/>
                <w:bCs/>
                <w:sz w:val="17"/>
                <w:szCs w:val="17"/>
                <w:lang w:val="fr-FR"/>
              </w:rPr>
            </w:pPr>
            <w:r w:rsidRPr="00A66C9F">
              <w:rPr>
                <w:b/>
                <w:bCs/>
                <w:sz w:val="17"/>
                <w:lang w:val="fr-FR"/>
              </w:rPr>
              <w:t>(4 502 075)</w:t>
            </w:r>
          </w:p>
        </w:tc>
      </w:tr>
    </w:tbl>
    <w:p w14:paraId="3FFFCAD8" w14:textId="77777777" w:rsidR="00744544" w:rsidRPr="00A66C9F" w:rsidRDefault="00744544" w:rsidP="00744544">
      <w:pPr>
        <w:pStyle w:val="SingleTxt"/>
        <w:spacing w:after="0" w:line="120" w:lineRule="exact"/>
        <w:rPr>
          <w:sz w:val="10"/>
          <w:lang w:val="fr-FR"/>
        </w:rPr>
      </w:pPr>
    </w:p>
    <w:p w14:paraId="53159510" w14:textId="77777777" w:rsidR="00744544" w:rsidRPr="00A66C9F" w:rsidRDefault="00744544" w:rsidP="00744544">
      <w:pPr>
        <w:pStyle w:val="FootnoteText"/>
        <w:tabs>
          <w:tab w:val="right" w:pos="216"/>
          <w:tab w:val="left" w:pos="288"/>
          <w:tab w:val="right" w:pos="576"/>
          <w:tab w:val="left" w:pos="648"/>
        </w:tabs>
        <w:ind w:left="288" w:hanging="288"/>
        <w:rPr>
          <w:lang w:val="fr-FR"/>
        </w:rPr>
      </w:pPr>
      <w:r w:rsidRPr="00A66C9F">
        <w:rPr>
          <w:i/>
          <w:iCs/>
          <w:vertAlign w:val="superscript"/>
          <w:lang w:val="fr-FR"/>
        </w:rPr>
        <w:tab/>
        <w:t>a</w:t>
      </w:r>
      <w:r w:rsidRPr="00A66C9F">
        <w:rPr>
          <w:lang w:val="fr-FR"/>
        </w:rPr>
        <w:tab/>
        <w:t>La variation comprend une perte de change réalisée de 467,7 millions de dollars (contre 256,0 millions de dollars en 2018) et un gain de change latent de 535,5 millions de dollars (contre une perte de 665,0 millions de dollars en 2018).</w:t>
      </w:r>
    </w:p>
    <w:p w14:paraId="7E04636C" w14:textId="77777777" w:rsidR="00744544" w:rsidRPr="00A66C9F" w:rsidRDefault="00744544" w:rsidP="00744544">
      <w:pPr>
        <w:pStyle w:val="FootnoteText"/>
        <w:tabs>
          <w:tab w:val="right" w:pos="1476"/>
          <w:tab w:val="left" w:pos="1548"/>
          <w:tab w:val="right" w:pos="1836"/>
          <w:tab w:val="left" w:pos="1908"/>
        </w:tabs>
        <w:spacing w:line="120" w:lineRule="exact"/>
        <w:ind w:left="1548" w:hanging="288"/>
        <w:rPr>
          <w:sz w:val="10"/>
          <w:lang w:val="fr-FR"/>
        </w:rPr>
      </w:pPr>
    </w:p>
    <w:p w14:paraId="0967138F" w14:textId="77777777" w:rsidR="00744544" w:rsidRPr="00A66C9F" w:rsidRDefault="00744544" w:rsidP="00744544">
      <w:pPr>
        <w:pStyle w:val="FootnoteText"/>
        <w:tabs>
          <w:tab w:val="right" w:pos="1476"/>
          <w:tab w:val="left" w:pos="1548"/>
          <w:tab w:val="right" w:pos="1836"/>
          <w:tab w:val="left" w:pos="1908"/>
        </w:tabs>
        <w:spacing w:line="120" w:lineRule="exact"/>
        <w:ind w:left="1548" w:hanging="288"/>
        <w:rPr>
          <w:sz w:val="10"/>
          <w:szCs w:val="22"/>
          <w:lang w:val="fr-FR"/>
        </w:rPr>
      </w:pPr>
    </w:p>
    <w:p w14:paraId="52660906" w14:textId="77777777" w:rsidR="00744544" w:rsidRPr="00A66C9F" w:rsidRDefault="00744544" w:rsidP="00744544">
      <w:pPr>
        <w:pStyle w:val="FootnoteText"/>
        <w:tabs>
          <w:tab w:val="right" w:pos="1476"/>
          <w:tab w:val="left" w:pos="1548"/>
          <w:tab w:val="right" w:pos="1836"/>
          <w:tab w:val="left" w:pos="1908"/>
        </w:tabs>
        <w:spacing w:line="120" w:lineRule="exact"/>
        <w:ind w:left="1548" w:hanging="288"/>
        <w:rPr>
          <w:sz w:val="10"/>
          <w:szCs w:val="22"/>
          <w:lang w:val="fr-FR"/>
        </w:rPr>
      </w:pPr>
    </w:p>
    <w:p w14:paraId="2F750E3C"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fr-FR"/>
        </w:rPr>
      </w:pPr>
      <w:r w:rsidRPr="00A66C9F">
        <w:rPr>
          <w:lang w:val="fr-FR"/>
        </w:rPr>
        <w:tab/>
      </w:r>
      <w:r w:rsidRPr="00A66C9F">
        <w:rPr>
          <w:lang w:val="fr-FR"/>
        </w:rPr>
        <w:tab/>
        <w:t>Note 14</w:t>
      </w:r>
    </w:p>
    <w:p w14:paraId="38AFF295"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Cotisations</w:t>
      </w:r>
    </w:p>
    <w:p w14:paraId="50FA0F5A" w14:textId="77777777" w:rsidR="00744544" w:rsidRPr="00A66C9F" w:rsidRDefault="00744544" w:rsidP="00744544">
      <w:pPr>
        <w:pStyle w:val="SingleTxt"/>
        <w:spacing w:after="0" w:line="120" w:lineRule="exact"/>
        <w:rPr>
          <w:sz w:val="10"/>
          <w:lang w:val="fr-FR"/>
        </w:rPr>
      </w:pPr>
    </w:p>
    <w:p w14:paraId="242BC5A4" w14:textId="77777777" w:rsidR="00744544" w:rsidRPr="00A66C9F" w:rsidRDefault="00744544" w:rsidP="00753AB8">
      <w:pPr>
        <w:pStyle w:val="SingleTxt"/>
        <w:numPr>
          <w:ilvl w:val="0"/>
          <w:numId w:val="18"/>
        </w:numPr>
        <w:spacing w:line="240" w:lineRule="exact"/>
        <w:rPr>
          <w:szCs w:val="20"/>
          <w:lang w:val="fr-FR"/>
        </w:rPr>
      </w:pPr>
      <w:bookmarkStart w:id="305" w:name="_Toc511813473"/>
      <w:bookmarkStart w:id="306" w:name="_Toc511813643"/>
      <w:bookmarkStart w:id="307" w:name="_Toc511831754"/>
      <w:bookmarkStart w:id="308" w:name="_Toc511903229"/>
      <w:bookmarkStart w:id="309" w:name="_Toc511920529"/>
      <w:bookmarkEnd w:id="303"/>
      <w:bookmarkEnd w:id="304"/>
      <w:bookmarkEnd w:id="305"/>
      <w:bookmarkEnd w:id="306"/>
      <w:bookmarkEnd w:id="307"/>
      <w:bookmarkEnd w:id="308"/>
      <w:bookmarkEnd w:id="309"/>
      <w:r w:rsidRPr="00A66C9F">
        <w:rPr>
          <w:lang w:val="fr-FR"/>
        </w:rPr>
        <w:t>Les cotisations reçues pendant la période considérée se répartissent comme suit :</w:t>
      </w:r>
    </w:p>
    <w:p w14:paraId="3E49E52B" w14:textId="77777777" w:rsidR="00744544" w:rsidRPr="00A66C9F" w:rsidRDefault="00744544" w:rsidP="00744544">
      <w:pPr>
        <w:pStyle w:val="SingleTxt"/>
        <w:spacing w:after="0" w:line="120" w:lineRule="exact"/>
        <w:rPr>
          <w:sz w:val="10"/>
          <w:lang w:val="fr-FR"/>
        </w:rPr>
      </w:pPr>
    </w:p>
    <w:p w14:paraId="33E96C20" w14:textId="77777777" w:rsidR="00744544" w:rsidRPr="00A66C9F" w:rsidRDefault="00744544" w:rsidP="0074454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lang w:val="fr-FR"/>
        </w:rPr>
        <w:tab/>
      </w:r>
      <w:r w:rsidRPr="00A66C9F">
        <w:rPr>
          <w:lang w:val="fr-FR"/>
        </w:rPr>
        <w:tab/>
      </w:r>
      <w:r w:rsidRPr="00A66C9F">
        <w:rPr>
          <w:sz w:val="14"/>
          <w:szCs w:val="14"/>
          <w:lang w:val="fr-FR"/>
        </w:rPr>
        <w:t>(En milliers de dollars des États-Unis)</w:t>
      </w:r>
    </w:p>
    <w:p w14:paraId="1CE5E8BC" w14:textId="77777777" w:rsidR="00744544" w:rsidRPr="00A66C9F" w:rsidRDefault="00744544" w:rsidP="00744544">
      <w:pPr>
        <w:pStyle w:val="SingleTxt"/>
        <w:spacing w:after="0" w:line="120" w:lineRule="exact"/>
        <w:rPr>
          <w:sz w:val="10"/>
          <w:lang w:val="fr-FR"/>
        </w:rPr>
      </w:pPr>
    </w:p>
    <w:p w14:paraId="3B1E375C" w14:textId="77777777" w:rsidR="00744544" w:rsidRPr="00A66C9F" w:rsidRDefault="00744544" w:rsidP="00744544">
      <w:pPr>
        <w:pStyle w:val="SingleTxt"/>
        <w:spacing w:after="0" w:line="120" w:lineRule="exact"/>
        <w:rPr>
          <w:sz w:val="10"/>
          <w:lang w:val="fr-FR"/>
        </w:rPr>
      </w:pPr>
    </w:p>
    <w:tbl>
      <w:tblPr>
        <w:tblW w:w="7320" w:type="dxa"/>
        <w:tblInd w:w="1260" w:type="dxa"/>
        <w:tblLayout w:type="fixed"/>
        <w:tblCellMar>
          <w:left w:w="0" w:type="dxa"/>
          <w:right w:w="0" w:type="dxa"/>
        </w:tblCellMar>
        <w:tblLook w:val="04A0" w:firstRow="1" w:lastRow="0" w:firstColumn="1" w:lastColumn="0" w:noHBand="0" w:noVBand="1"/>
      </w:tblPr>
      <w:tblGrid>
        <w:gridCol w:w="4860"/>
        <w:gridCol w:w="1170"/>
        <w:gridCol w:w="1290"/>
      </w:tblGrid>
      <w:tr w:rsidR="00744544" w:rsidRPr="00A66C9F" w14:paraId="54626E19" w14:textId="77777777" w:rsidTr="00107D5D">
        <w:trPr>
          <w:trHeight w:val="315"/>
          <w:tblHeader/>
        </w:trPr>
        <w:tc>
          <w:tcPr>
            <w:tcW w:w="4860" w:type="dxa"/>
            <w:tcBorders>
              <w:top w:val="single" w:sz="4" w:space="0" w:color="auto"/>
              <w:bottom w:val="single" w:sz="12" w:space="0" w:color="auto"/>
            </w:tcBorders>
            <w:shd w:val="clear" w:color="auto" w:fill="auto"/>
            <w:noWrap/>
            <w:vAlign w:val="bottom"/>
            <w:hideMark/>
          </w:tcPr>
          <w:p w14:paraId="113E8DB4" w14:textId="77777777" w:rsidR="00744544" w:rsidRPr="00A66C9F" w:rsidRDefault="00744544" w:rsidP="00107D5D">
            <w:pPr>
              <w:suppressAutoHyphens/>
              <w:spacing w:before="81" w:after="81" w:line="160" w:lineRule="exact"/>
              <w:ind w:right="40"/>
              <w:rPr>
                <w:bCs/>
                <w:i/>
                <w:iCs/>
                <w:sz w:val="14"/>
                <w:szCs w:val="18"/>
                <w:lang w:val="fr-FR"/>
              </w:rPr>
            </w:pPr>
            <w:r w:rsidRPr="00A66C9F">
              <w:rPr>
                <w:bCs/>
                <w:i/>
                <w:iCs/>
                <w:sz w:val="14"/>
                <w:szCs w:val="18"/>
                <w:lang w:val="fr-FR"/>
              </w:rPr>
              <w:t> </w:t>
            </w:r>
          </w:p>
        </w:tc>
        <w:tc>
          <w:tcPr>
            <w:tcW w:w="1170" w:type="dxa"/>
            <w:tcBorders>
              <w:top w:val="single" w:sz="4" w:space="0" w:color="auto"/>
              <w:bottom w:val="single" w:sz="12" w:space="0" w:color="auto"/>
            </w:tcBorders>
            <w:shd w:val="clear" w:color="auto" w:fill="auto"/>
            <w:vAlign w:val="bottom"/>
          </w:tcPr>
          <w:p w14:paraId="27CEFE98" w14:textId="77777777" w:rsidR="00744544" w:rsidRPr="00A66C9F" w:rsidRDefault="00744544" w:rsidP="00107D5D">
            <w:pPr>
              <w:suppressAutoHyphens/>
              <w:spacing w:before="81" w:after="81" w:line="160" w:lineRule="exact"/>
              <w:ind w:right="43"/>
              <w:jc w:val="right"/>
              <w:rPr>
                <w:bCs/>
                <w:i/>
                <w:iCs/>
                <w:sz w:val="14"/>
                <w:szCs w:val="18"/>
                <w:lang w:val="fr-FR"/>
              </w:rPr>
            </w:pPr>
            <w:r w:rsidRPr="00A66C9F">
              <w:rPr>
                <w:i/>
                <w:iCs/>
                <w:sz w:val="14"/>
                <w:lang w:val="fr-FR"/>
              </w:rPr>
              <w:t>2019</w:t>
            </w:r>
          </w:p>
        </w:tc>
        <w:tc>
          <w:tcPr>
            <w:tcW w:w="1290" w:type="dxa"/>
            <w:tcBorders>
              <w:top w:val="single" w:sz="4" w:space="0" w:color="auto"/>
              <w:bottom w:val="single" w:sz="12" w:space="0" w:color="auto"/>
            </w:tcBorders>
            <w:shd w:val="clear" w:color="auto" w:fill="auto"/>
            <w:noWrap/>
            <w:vAlign w:val="bottom"/>
            <w:hideMark/>
          </w:tcPr>
          <w:p w14:paraId="4B09DCA4" w14:textId="77777777" w:rsidR="00744544" w:rsidRPr="00A66C9F" w:rsidRDefault="00744544" w:rsidP="00107D5D">
            <w:pPr>
              <w:suppressAutoHyphens/>
              <w:spacing w:before="81" w:after="81" w:line="160" w:lineRule="exact"/>
              <w:ind w:right="43"/>
              <w:jc w:val="right"/>
              <w:rPr>
                <w:bCs/>
                <w:i/>
                <w:iCs/>
                <w:sz w:val="14"/>
                <w:szCs w:val="18"/>
                <w:lang w:val="fr-FR"/>
              </w:rPr>
            </w:pPr>
            <w:r w:rsidRPr="00A66C9F">
              <w:rPr>
                <w:i/>
                <w:iCs/>
                <w:sz w:val="14"/>
                <w:lang w:val="fr-FR"/>
              </w:rPr>
              <w:t>2018</w:t>
            </w:r>
          </w:p>
        </w:tc>
      </w:tr>
      <w:tr w:rsidR="00744544" w:rsidRPr="00A66C9F" w14:paraId="26E18DE6" w14:textId="77777777" w:rsidTr="00107D5D">
        <w:trPr>
          <w:trHeight w:hRule="exact" w:val="115"/>
          <w:tblHeader/>
        </w:trPr>
        <w:tc>
          <w:tcPr>
            <w:tcW w:w="4860" w:type="dxa"/>
            <w:tcBorders>
              <w:top w:val="single" w:sz="12" w:space="0" w:color="auto"/>
            </w:tcBorders>
            <w:shd w:val="clear" w:color="auto" w:fill="auto"/>
            <w:noWrap/>
            <w:vAlign w:val="bottom"/>
          </w:tcPr>
          <w:p w14:paraId="5F268BD9" w14:textId="77777777" w:rsidR="00744544" w:rsidRPr="00A66C9F" w:rsidRDefault="00744544" w:rsidP="00107D5D">
            <w:pPr>
              <w:suppressAutoHyphens/>
              <w:spacing w:before="40" w:after="40" w:line="210" w:lineRule="exact"/>
              <w:ind w:right="40"/>
              <w:rPr>
                <w:b/>
                <w:bCs/>
                <w:sz w:val="17"/>
                <w:lang w:val="fr-FR"/>
              </w:rPr>
            </w:pPr>
          </w:p>
        </w:tc>
        <w:tc>
          <w:tcPr>
            <w:tcW w:w="1170" w:type="dxa"/>
            <w:tcBorders>
              <w:top w:val="single" w:sz="12" w:space="0" w:color="auto"/>
            </w:tcBorders>
            <w:shd w:val="clear" w:color="auto" w:fill="auto"/>
            <w:vAlign w:val="bottom"/>
          </w:tcPr>
          <w:p w14:paraId="64CFEAB5" w14:textId="77777777" w:rsidR="00744544" w:rsidRPr="00A66C9F" w:rsidRDefault="00744544" w:rsidP="00107D5D">
            <w:pPr>
              <w:suppressAutoHyphens/>
              <w:spacing w:before="40" w:after="40" w:line="210" w:lineRule="exact"/>
              <w:ind w:right="43"/>
              <w:jc w:val="right"/>
              <w:rPr>
                <w:sz w:val="17"/>
                <w:szCs w:val="17"/>
                <w:lang w:val="fr-FR"/>
              </w:rPr>
            </w:pPr>
          </w:p>
        </w:tc>
        <w:tc>
          <w:tcPr>
            <w:tcW w:w="1290" w:type="dxa"/>
            <w:tcBorders>
              <w:top w:val="single" w:sz="12" w:space="0" w:color="auto"/>
            </w:tcBorders>
            <w:shd w:val="clear" w:color="auto" w:fill="auto"/>
            <w:noWrap/>
            <w:vAlign w:val="bottom"/>
          </w:tcPr>
          <w:p w14:paraId="176C0AA8" w14:textId="77777777" w:rsidR="00744544" w:rsidRPr="00A66C9F" w:rsidRDefault="00744544" w:rsidP="00107D5D">
            <w:pPr>
              <w:suppressAutoHyphens/>
              <w:spacing w:before="40" w:after="40" w:line="210" w:lineRule="exact"/>
              <w:ind w:right="43"/>
              <w:jc w:val="right"/>
              <w:rPr>
                <w:sz w:val="17"/>
                <w:szCs w:val="17"/>
                <w:lang w:val="fr-FR"/>
              </w:rPr>
            </w:pPr>
          </w:p>
        </w:tc>
      </w:tr>
      <w:tr w:rsidR="00744544" w:rsidRPr="00A66C9F" w14:paraId="4AB208EB" w14:textId="77777777" w:rsidTr="00107D5D">
        <w:tc>
          <w:tcPr>
            <w:tcW w:w="4860" w:type="dxa"/>
            <w:shd w:val="clear" w:color="auto" w:fill="auto"/>
            <w:noWrap/>
            <w:vAlign w:val="bottom"/>
            <w:hideMark/>
          </w:tcPr>
          <w:p w14:paraId="360D733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b/>
                <w:bCs/>
                <w:sz w:val="17"/>
                <w:szCs w:val="17"/>
                <w:lang w:val="fr-FR"/>
              </w:rPr>
            </w:pPr>
            <w:r w:rsidRPr="00A66C9F">
              <w:rPr>
                <w:b/>
                <w:bCs/>
                <w:sz w:val="17"/>
                <w:lang w:val="fr-FR"/>
              </w:rPr>
              <w:t>Cotisations des participants</w:t>
            </w:r>
          </w:p>
        </w:tc>
        <w:tc>
          <w:tcPr>
            <w:tcW w:w="1170" w:type="dxa"/>
            <w:shd w:val="clear" w:color="auto" w:fill="auto"/>
            <w:vAlign w:val="bottom"/>
          </w:tcPr>
          <w:p w14:paraId="3D0ADE5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1290" w:type="dxa"/>
            <w:shd w:val="clear" w:color="auto" w:fill="auto"/>
            <w:noWrap/>
            <w:vAlign w:val="bottom"/>
            <w:hideMark/>
          </w:tcPr>
          <w:p w14:paraId="64FFF6F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p>
        </w:tc>
      </w:tr>
      <w:tr w:rsidR="00744544" w:rsidRPr="00A66C9F" w14:paraId="3C55F974" w14:textId="77777777" w:rsidTr="00107D5D">
        <w:tc>
          <w:tcPr>
            <w:tcW w:w="4860" w:type="dxa"/>
            <w:shd w:val="clear" w:color="auto" w:fill="auto"/>
            <w:noWrap/>
            <w:vAlign w:val="bottom"/>
            <w:hideMark/>
          </w:tcPr>
          <w:p w14:paraId="2B0CF92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Cotisations ordinaires</w:t>
            </w:r>
          </w:p>
        </w:tc>
        <w:tc>
          <w:tcPr>
            <w:tcW w:w="1170" w:type="dxa"/>
            <w:shd w:val="clear" w:color="auto" w:fill="auto"/>
            <w:vAlign w:val="bottom"/>
          </w:tcPr>
          <w:p w14:paraId="2BBE7E6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884 515 </w:t>
            </w:r>
          </w:p>
        </w:tc>
        <w:tc>
          <w:tcPr>
            <w:tcW w:w="1290" w:type="dxa"/>
            <w:shd w:val="clear" w:color="auto" w:fill="auto"/>
            <w:noWrap/>
            <w:vAlign w:val="bottom"/>
          </w:tcPr>
          <w:p w14:paraId="4604AC6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814 410</w:t>
            </w:r>
          </w:p>
        </w:tc>
      </w:tr>
      <w:tr w:rsidR="00744544" w:rsidRPr="00A66C9F" w14:paraId="58D89BE9" w14:textId="77777777" w:rsidTr="00107D5D">
        <w:tc>
          <w:tcPr>
            <w:tcW w:w="4860" w:type="dxa"/>
            <w:shd w:val="clear" w:color="auto" w:fill="auto"/>
            <w:noWrap/>
            <w:vAlign w:val="bottom"/>
            <w:hideMark/>
          </w:tcPr>
          <w:p w14:paraId="494FA66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Cotisations pour validation</w:t>
            </w:r>
          </w:p>
        </w:tc>
        <w:tc>
          <w:tcPr>
            <w:tcW w:w="1170" w:type="dxa"/>
            <w:shd w:val="clear" w:color="auto" w:fill="auto"/>
            <w:vAlign w:val="bottom"/>
          </w:tcPr>
          <w:p w14:paraId="0FB0111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1 006 </w:t>
            </w:r>
          </w:p>
        </w:tc>
        <w:tc>
          <w:tcPr>
            <w:tcW w:w="1290" w:type="dxa"/>
            <w:shd w:val="clear" w:color="auto" w:fill="auto"/>
            <w:noWrap/>
            <w:vAlign w:val="bottom"/>
          </w:tcPr>
          <w:p w14:paraId="708C7E5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992</w:t>
            </w:r>
          </w:p>
        </w:tc>
      </w:tr>
      <w:tr w:rsidR="00744544" w:rsidRPr="00A66C9F" w14:paraId="5141390A" w14:textId="77777777" w:rsidTr="00107D5D">
        <w:tc>
          <w:tcPr>
            <w:tcW w:w="4860" w:type="dxa"/>
            <w:shd w:val="clear" w:color="auto" w:fill="auto"/>
            <w:noWrap/>
            <w:vAlign w:val="bottom"/>
            <w:hideMark/>
          </w:tcPr>
          <w:p w14:paraId="08E229A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Cotisations pour restitution</w:t>
            </w:r>
          </w:p>
        </w:tc>
        <w:tc>
          <w:tcPr>
            <w:tcW w:w="1170" w:type="dxa"/>
            <w:tcBorders>
              <w:bottom w:val="single" w:sz="4" w:space="0" w:color="auto"/>
            </w:tcBorders>
            <w:shd w:val="clear" w:color="auto" w:fill="auto"/>
            <w:vAlign w:val="bottom"/>
          </w:tcPr>
          <w:p w14:paraId="6765277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4 860 </w:t>
            </w:r>
          </w:p>
        </w:tc>
        <w:tc>
          <w:tcPr>
            <w:tcW w:w="1290" w:type="dxa"/>
            <w:tcBorders>
              <w:bottom w:val="single" w:sz="4" w:space="0" w:color="auto"/>
            </w:tcBorders>
            <w:shd w:val="clear" w:color="auto" w:fill="auto"/>
            <w:noWrap/>
            <w:vAlign w:val="bottom"/>
          </w:tcPr>
          <w:p w14:paraId="2EA6D4D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4 807</w:t>
            </w:r>
          </w:p>
        </w:tc>
      </w:tr>
      <w:tr w:rsidR="00744544" w:rsidRPr="00A66C9F" w14:paraId="3C9EFBD1" w14:textId="77777777" w:rsidTr="00107D5D">
        <w:tc>
          <w:tcPr>
            <w:tcW w:w="4860" w:type="dxa"/>
            <w:shd w:val="clear" w:color="auto" w:fill="auto"/>
            <w:noWrap/>
            <w:vAlign w:val="bottom"/>
            <w:hideMark/>
          </w:tcPr>
          <w:p w14:paraId="4E36202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p>
        </w:tc>
        <w:tc>
          <w:tcPr>
            <w:tcW w:w="1170" w:type="dxa"/>
            <w:tcBorders>
              <w:top w:val="single" w:sz="4" w:space="0" w:color="auto"/>
            </w:tcBorders>
            <w:shd w:val="clear" w:color="auto" w:fill="auto"/>
            <w:vAlign w:val="bottom"/>
          </w:tcPr>
          <w:p w14:paraId="0D7C6B1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b/>
                <w:sz w:val="17"/>
                <w:szCs w:val="17"/>
                <w:lang w:val="fr-FR"/>
              </w:rPr>
            </w:pPr>
            <w:r w:rsidRPr="00A66C9F">
              <w:rPr>
                <w:sz w:val="17"/>
                <w:lang w:val="fr-FR"/>
              </w:rPr>
              <w:t xml:space="preserve"> </w:t>
            </w:r>
            <w:r w:rsidRPr="00A66C9F">
              <w:rPr>
                <w:b/>
                <w:bCs/>
                <w:sz w:val="17"/>
                <w:lang w:val="fr-FR"/>
              </w:rPr>
              <w:t>890 381</w:t>
            </w:r>
            <w:r w:rsidRPr="00A66C9F">
              <w:rPr>
                <w:sz w:val="17"/>
                <w:lang w:val="fr-FR"/>
              </w:rPr>
              <w:t xml:space="preserve"> </w:t>
            </w:r>
          </w:p>
        </w:tc>
        <w:tc>
          <w:tcPr>
            <w:tcW w:w="1290" w:type="dxa"/>
            <w:tcBorders>
              <w:top w:val="single" w:sz="4" w:space="0" w:color="auto"/>
            </w:tcBorders>
            <w:shd w:val="clear" w:color="auto" w:fill="auto"/>
            <w:noWrap/>
            <w:vAlign w:val="bottom"/>
          </w:tcPr>
          <w:p w14:paraId="7925DD1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b/>
                <w:sz w:val="17"/>
                <w:szCs w:val="17"/>
                <w:lang w:val="fr-FR"/>
              </w:rPr>
            </w:pPr>
            <w:r w:rsidRPr="00A66C9F">
              <w:rPr>
                <w:b/>
                <w:bCs/>
                <w:sz w:val="17"/>
                <w:lang w:val="fr-FR"/>
              </w:rPr>
              <w:t>820 209</w:t>
            </w:r>
          </w:p>
        </w:tc>
      </w:tr>
      <w:tr w:rsidR="00744544" w:rsidRPr="00A66C9F" w14:paraId="42CA1E2F" w14:textId="77777777" w:rsidTr="00107D5D">
        <w:tc>
          <w:tcPr>
            <w:tcW w:w="4860" w:type="dxa"/>
            <w:shd w:val="clear" w:color="auto" w:fill="auto"/>
            <w:noWrap/>
            <w:vAlign w:val="bottom"/>
            <w:hideMark/>
          </w:tcPr>
          <w:p w14:paraId="3A2F599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b/>
                <w:bCs/>
                <w:sz w:val="17"/>
                <w:szCs w:val="17"/>
                <w:lang w:val="fr-FR"/>
              </w:rPr>
            </w:pPr>
            <w:r w:rsidRPr="00A66C9F">
              <w:rPr>
                <w:b/>
                <w:bCs/>
                <w:sz w:val="17"/>
                <w:lang w:val="fr-FR"/>
              </w:rPr>
              <w:t>Cotisations des organisations affiliées</w:t>
            </w:r>
          </w:p>
        </w:tc>
        <w:tc>
          <w:tcPr>
            <w:tcW w:w="1170" w:type="dxa"/>
            <w:shd w:val="clear" w:color="auto" w:fill="auto"/>
            <w:vAlign w:val="bottom"/>
          </w:tcPr>
          <w:p w14:paraId="458BE4F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1290" w:type="dxa"/>
            <w:shd w:val="clear" w:color="auto" w:fill="auto"/>
            <w:noWrap/>
            <w:vAlign w:val="bottom"/>
          </w:tcPr>
          <w:p w14:paraId="22DAE68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p>
        </w:tc>
      </w:tr>
      <w:tr w:rsidR="00744544" w:rsidRPr="00A66C9F" w14:paraId="51DA4CCA" w14:textId="77777777" w:rsidTr="00107D5D">
        <w:tc>
          <w:tcPr>
            <w:tcW w:w="4860" w:type="dxa"/>
            <w:shd w:val="clear" w:color="auto" w:fill="auto"/>
            <w:noWrap/>
            <w:vAlign w:val="bottom"/>
            <w:hideMark/>
          </w:tcPr>
          <w:p w14:paraId="5EF4CEC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lastRenderedPageBreak/>
              <w:t>Cotisations ordinaires</w:t>
            </w:r>
          </w:p>
        </w:tc>
        <w:tc>
          <w:tcPr>
            <w:tcW w:w="1170" w:type="dxa"/>
            <w:shd w:val="clear" w:color="auto" w:fill="auto"/>
            <w:vAlign w:val="bottom"/>
          </w:tcPr>
          <w:p w14:paraId="70AEBDF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1 769 030 </w:t>
            </w:r>
          </w:p>
        </w:tc>
        <w:tc>
          <w:tcPr>
            <w:tcW w:w="1290" w:type="dxa"/>
            <w:shd w:val="clear" w:color="auto" w:fill="auto"/>
            <w:noWrap/>
            <w:vAlign w:val="bottom"/>
          </w:tcPr>
          <w:p w14:paraId="7ABA22E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1 628 818</w:t>
            </w:r>
          </w:p>
        </w:tc>
      </w:tr>
      <w:tr w:rsidR="00744544" w:rsidRPr="00A66C9F" w14:paraId="66BF502D" w14:textId="77777777" w:rsidTr="00107D5D">
        <w:tc>
          <w:tcPr>
            <w:tcW w:w="4860" w:type="dxa"/>
            <w:shd w:val="clear" w:color="auto" w:fill="auto"/>
            <w:noWrap/>
            <w:vAlign w:val="bottom"/>
            <w:hideMark/>
          </w:tcPr>
          <w:p w14:paraId="3EC0BCD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Cotisations pour validation</w:t>
            </w:r>
          </w:p>
        </w:tc>
        <w:tc>
          <w:tcPr>
            <w:tcW w:w="1170" w:type="dxa"/>
            <w:tcBorders>
              <w:bottom w:val="single" w:sz="4" w:space="0" w:color="auto"/>
            </w:tcBorders>
            <w:shd w:val="clear" w:color="auto" w:fill="auto"/>
            <w:vAlign w:val="bottom"/>
          </w:tcPr>
          <w:p w14:paraId="031A888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2 228 </w:t>
            </w:r>
          </w:p>
        </w:tc>
        <w:tc>
          <w:tcPr>
            <w:tcW w:w="1290" w:type="dxa"/>
            <w:tcBorders>
              <w:bottom w:val="single" w:sz="4" w:space="0" w:color="auto"/>
            </w:tcBorders>
            <w:shd w:val="clear" w:color="auto" w:fill="auto"/>
            <w:noWrap/>
            <w:vAlign w:val="bottom"/>
          </w:tcPr>
          <w:p w14:paraId="2BF4BB3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2 020</w:t>
            </w:r>
          </w:p>
        </w:tc>
      </w:tr>
      <w:tr w:rsidR="00744544" w:rsidRPr="00A66C9F" w14:paraId="1EE32ACB" w14:textId="77777777" w:rsidTr="00107D5D">
        <w:tc>
          <w:tcPr>
            <w:tcW w:w="4860" w:type="dxa"/>
            <w:shd w:val="clear" w:color="auto" w:fill="auto"/>
            <w:noWrap/>
            <w:vAlign w:val="bottom"/>
            <w:hideMark/>
          </w:tcPr>
          <w:p w14:paraId="5473B05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p>
        </w:tc>
        <w:tc>
          <w:tcPr>
            <w:tcW w:w="1170" w:type="dxa"/>
            <w:tcBorders>
              <w:top w:val="single" w:sz="4" w:space="0" w:color="auto"/>
            </w:tcBorders>
            <w:shd w:val="clear" w:color="auto" w:fill="auto"/>
            <w:vAlign w:val="bottom"/>
          </w:tcPr>
          <w:p w14:paraId="75415D0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b/>
                <w:sz w:val="17"/>
                <w:szCs w:val="17"/>
                <w:lang w:val="fr-FR"/>
              </w:rPr>
            </w:pPr>
            <w:r w:rsidRPr="00A66C9F">
              <w:rPr>
                <w:sz w:val="17"/>
                <w:lang w:val="fr-FR"/>
              </w:rPr>
              <w:t xml:space="preserve"> </w:t>
            </w:r>
            <w:r w:rsidRPr="00A66C9F">
              <w:rPr>
                <w:b/>
                <w:bCs/>
                <w:sz w:val="17"/>
                <w:lang w:val="fr-FR"/>
              </w:rPr>
              <w:t>1 771 258</w:t>
            </w:r>
            <w:r w:rsidRPr="00A66C9F">
              <w:rPr>
                <w:sz w:val="17"/>
                <w:lang w:val="fr-FR"/>
              </w:rPr>
              <w:t xml:space="preserve"> </w:t>
            </w:r>
          </w:p>
        </w:tc>
        <w:tc>
          <w:tcPr>
            <w:tcW w:w="1290" w:type="dxa"/>
            <w:tcBorders>
              <w:top w:val="single" w:sz="4" w:space="0" w:color="auto"/>
            </w:tcBorders>
            <w:shd w:val="clear" w:color="auto" w:fill="auto"/>
            <w:noWrap/>
            <w:vAlign w:val="bottom"/>
          </w:tcPr>
          <w:p w14:paraId="679A20A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b/>
                <w:sz w:val="17"/>
                <w:szCs w:val="17"/>
                <w:lang w:val="fr-FR"/>
              </w:rPr>
            </w:pPr>
            <w:r w:rsidRPr="00A66C9F">
              <w:rPr>
                <w:b/>
                <w:bCs/>
                <w:sz w:val="17"/>
                <w:lang w:val="fr-FR"/>
              </w:rPr>
              <w:t>1 630 838</w:t>
            </w:r>
          </w:p>
        </w:tc>
      </w:tr>
      <w:tr w:rsidR="00744544" w:rsidRPr="00A66C9F" w14:paraId="434218B3" w14:textId="77777777" w:rsidTr="00107D5D">
        <w:tc>
          <w:tcPr>
            <w:tcW w:w="4860" w:type="dxa"/>
            <w:shd w:val="clear" w:color="auto" w:fill="auto"/>
            <w:noWrap/>
            <w:vAlign w:val="bottom"/>
            <w:hideMark/>
          </w:tcPr>
          <w:p w14:paraId="0BED60D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b/>
                <w:bCs/>
                <w:sz w:val="17"/>
                <w:szCs w:val="17"/>
                <w:lang w:val="fr-FR"/>
              </w:rPr>
            </w:pPr>
            <w:r w:rsidRPr="00A66C9F">
              <w:rPr>
                <w:b/>
                <w:bCs/>
                <w:sz w:val="17"/>
                <w:lang w:val="fr-FR"/>
              </w:rPr>
              <w:t>Cotisations diverses</w:t>
            </w:r>
          </w:p>
        </w:tc>
        <w:tc>
          <w:tcPr>
            <w:tcW w:w="1170" w:type="dxa"/>
            <w:shd w:val="clear" w:color="auto" w:fill="auto"/>
            <w:vAlign w:val="bottom"/>
          </w:tcPr>
          <w:p w14:paraId="2CA93A0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1290" w:type="dxa"/>
            <w:shd w:val="clear" w:color="auto" w:fill="auto"/>
            <w:noWrap/>
            <w:vAlign w:val="bottom"/>
          </w:tcPr>
          <w:p w14:paraId="7323E62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p>
        </w:tc>
      </w:tr>
      <w:tr w:rsidR="00744544" w:rsidRPr="00A66C9F" w14:paraId="5EE7ADAB" w14:textId="77777777" w:rsidTr="00107D5D">
        <w:tc>
          <w:tcPr>
            <w:tcW w:w="4860" w:type="dxa"/>
            <w:shd w:val="clear" w:color="auto" w:fill="auto"/>
            <w:noWrap/>
            <w:vAlign w:val="bottom"/>
            <w:hideMark/>
          </w:tcPr>
          <w:p w14:paraId="59BA687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Cotisations perçues pour le compte de participants en vertu d’un accord de transfert à la Caisse</w:t>
            </w:r>
          </w:p>
        </w:tc>
        <w:tc>
          <w:tcPr>
            <w:tcW w:w="1170" w:type="dxa"/>
            <w:shd w:val="clear" w:color="auto" w:fill="auto"/>
            <w:vAlign w:val="bottom"/>
          </w:tcPr>
          <w:p w14:paraId="5F46641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23 013 </w:t>
            </w:r>
          </w:p>
        </w:tc>
        <w:tc>
          <w:tcPr>
            <w:tcW w:w="1290" w:type="dxa"/>
            <w:shd w:val="clear" w:color="auto" w:fill="auto"/>
            <w:noWrap/>
            <w:vAlign w:val="bottom"/>
          </w:tcPr>
          <w:p w14:paraId="2A7B7FE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2 296</w:t>
            </w:r>
          </w:p>
        </w:tc>
      </w:tr>
      <w:tr w:rsidR="00744544" w:rsidRPr="00A66C9F" w14:paraId="4B5121AB" w14:textId="77777777" w:rsidTr="00107D5D">
        <w:tc>
          <w:tcPr>
            <w:tcW w:w="4860" w:type="dxa"/>
            <w:shd w:val="clear" w:color="auto" w:fill="auto"/>
            <w:noWrap/>
            <w:vAlign w:val="bottom"/>
            <w:hideMark/>
          </w:tcPr>
          <w:p w14:paraId="78FE5BA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Excédents des cotisations calculées sur la base de la valeur actuarielle par rapport aux cotisations ordinaires</w:t>
            </w:r>
          </w:p>
        </w:tc>
        <w:tc>
          <w:tcPr>
            <w:tcW w:w="1170" w:type="dxa"/>
            <w:shd w:val="clear" w:color="auto" w:fill="auto"/>
            <w:vAlign w:val="bottom"/>
          </w:tcPr>
          <w:p w14:paraId="510EEA0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444 </w:t>
            </w:r>
          </w:p>
        </w:tc>
        <w:tc>
          <w:tcPr>
            <w:tcW w:w="1290" w:type="dxa"/>
            <w:shd w:val="clear" w:color="auto" w:fill="auto"/>
            <w:noWrap/>
            <w:vAlign w:val="bottom"/>
          </w:tcPr>
          <w:p w14:paraId="4435497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236</w:t>
            </w:r>
          </w:p>
        </w:tc>
      </w:tr>
      <w:tr w:rsidR="00744544" w:rsidRPr="00A66C9F" w14:paraId="374DDD7B" w14:textId="77777777" w:rsidTr="00107D5D">
        <w:tc>
          <w:tcPr>
            <w:tcW w:w="4860" w:type="dxa"/>
            <w:shd w:val="clear" w:color="auto" w:fill="auto"/>
            <w:noWrap/>
            <w:vAlign w:val="bottom"/>
            <w:hideMark/>
          </w:tcPr>
          <w:p w14:paraId="02856E1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Autres cotisations/ajustements</w:t>
            </w:r>
          </w:p>
        </w:tc>
        <w:tc>
          <w:tcPr>
            <w:tcW w:w="1170" w:type="dxa"/>
            <w:tcBorders>
              <w:bottom w:val="single" w:sz="4" w:space="0" w:color="auto"/>
            </w:tcBorders>
            <w:shd w:val="clear" w:color="auto" w:fill="auto"/>
            <w:vAlign w:val="bottom"/>
          </w:tcPr>
          <w:p w14:paraId="53DE5C4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3 760 </w:t>
            </w:r>
          </w:p>
        </w:tc>
        <w:tc>
          <w:tcPr>
            <w:tcW w:w="1290" w:type="dxa"/>
            <w:tcBorders>
              <w:bottom w:val="single" w:sz="4" w:space="0" w:color="auto"/>
            </w:tcBorders>
            <w:shd w:val="clear" w:color="auto" w:fill="auto"/>
            <w:noWrap/>
            <w:vAlign w:val="bottom"/>
          </w:tcPr>
          <w:p w14:paraId="1487C2E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3 572</w:t>
            </w:r>
          </w:p>
        </w:tc>
      </w:tr>
      <w:tr w:rsidR="00744544" w:rsidRPr="00A66C9F" w14:paraId="79416AF0" w14:textId="77777777" w:rsidTr="00107D5D">
        <w:tc>
          <w:tcPr>
            <w:tcW w:w="4860" w:type="dxa"/>
            <w:tcBorders>
              <w:bottom w:val="single" w:sz="4" w:space="0" w:color="auto"/>
            </w:tcBorders>
            <w:shd w:val="clear" w:color="auto" w:fill="auto"/>
            <w:noWrap/>
            <w:vAlign w:val="bottom"/>
            <w:hideMark/>
          </w:tcPr>
          <w:p w14:paraId="41369A4A" w14:textId="77777777" w:rsidR="00744544" w:rsidRPr="00A66C9F" w:rsidRDefault="00744544" w:rsidP="00107D5D">
            <w:pPr>
              <w:tabs>
                <w:tab w:val="left" w:pos="288"/>
                <w:tab w:val="left" w:pos="576"/>
                <w:tab w:val="left" w:pos="864"/>
                <w:tab w:val="left" w:pos="1152"/>
              </w:tabs>
              <w:suppressAutoHyphens/>
              <w:spacing w:before="40" w:after="81" w:line="210" w:lineRule="exact"/>
              <w:ind w:right="40"/>
              <w:rPr>
                <w:sz w:val="17"/>
                <w:szCs w:val="17"/>
                <w:lang w:val="fr-FR"/>
              </w:rPr>
            </w:pPr>
          </w:p>
        </w:tc>
        <w:tc>
          <w:tcPr>
            <w:tcW w:w="1170" w:type="dxa"/>
            <w:tcBorders>
              <w:top w:val="single" w:sz="4" w:space="0" w:color="auto"/>
              <w:bottom w:val="single" w:sz="4" w:space="0" w:color="auto"/>
            </w:tcBorders>
            <w:shd w:val="clear" w:color="auto" w:fill="auto"/>
            <w:vAlign w:val="bottom"/>
          </w:tcPr>
          <w:p w14:paraId="66C9E438"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b/>
                <w:sz w:val="17"/>
                <w:szCs w:val="17"/>
                <w:lang w:val="fr-FR"/>
              </w:rPr>
            </w:pPr>
            <w:r w:rsidRPr="00A66C9F">
              <w:rPr>
                <w:sz w:val="17"/>
                <w:lang w:val="fr-FR"/>
              </w:rPr>
              <w:t xml:space="preserve"> </w:t>
            </w:r>
            <w:r w:rsidRPr="00A66C9F">
              <w:rPr>
                <w:b/>
                <w:bCs/>
                <w:sz w:val="17"/>
                <w:lang w:val="fr-FR"/>
              </w:rPr>
              <w:t>27 217</w:t>
            </w:r>
            <w:r w:rsidRPr="00A66C9F">
              <w:rPr>
                <w:sz w:val="17"/>
                <w:lang w:val="fr-FR"/>
              </w:rPr>
              <w:t xml:space="preserve"> </w:t>
            </w:r>
          </w:p>
        </w:tc>
        <w:tc>
          <w:tcPr>
            <w:tcW w:w="1290" w:type="dxa"/>
            <w:tcBorders>
              <w:top w:val="single" w:sz="4" w:space="0" w:color="auto"/>
              <w:bottom w:val="single" w:sz="4" w:space="0" w:color="auto"/>
            </w:tcBorders>
            <w:shd w:val="clear" w:color="auto" w:fill="auto"/>
            <w:noWrap/>
            <w:vAlign w:val="bottom"/>
          </w:tcPr>
          <w:p w14:paraId="6A45224A"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b/>
                <w:sz w:val="17"/>
                <w:szCs w:val="17"/>
                <w:lang w:val="fr-FR"/>
              </w:rPr>
            </w:pPr>
            <w:r w:rsidRPr="00A66C9F">
              <w:rPr>
                <w:b/>
                <w:bCs/>
                <w:sz w:val="17"/>
                <w:lang w:val="fr-FR"/>
              </w:rPr>
              <w:t>6 104</w:t>
            </w:r>
          </w:p>
        </w:tc>
      </w:tr>
      <w:tr w:rsidR="00744544" w:rsidRPr="00A66C9F" w14:paraId="117C7F67" w14:textId="77777777" w:rsidTr="00107D5D">
        <w:tc>
          <w:tcPr>
            <w:tcW w:w="4860" w:type="dxa"/>
            <w:tcBorders>
              <w:top w:val="single" w:sz="4" w:space="0" w:color="auto"/>
              <w:bottom w:val="single" w:sz="12" w:space="0" w:color="auto"/>
            </w:tcBorders>
            <w:shd w:val="clear" w:color="auto" w:fill="auto"/>
            <w:noWrap/>
            <w:vAlign w:val="bottom"/>
            <w:hideMark/>
          </w:tcPr>
          <w:p w14:paraId="5DB07544" w14:textId="77777777" w:rsidR="00744544" w:rsidRPr="00A66C9F" w:rsidRDefault="00744544" w:rsidP="00107D5D">
            <w:pPr>
              <w:tabs>
                <w:tab w:val="left" w:pos="288"/>
                <w:tab w:val="left" w:pos="576"/>
                <w:tab w:val="left" w:pos="864"/>
                <w:tab w:val="left" w:pos="1152"/>
              </w:tabs>
              <w:suppressAutoHyphens/>
              <w:spacing w:before="81" w:after="81" w:line="210" w:lineRule="exact"/>
              <w:ind w:right="40"/>
              <w:rPr>
                <w:b/>
                <w:bCs/>
                <w:sz w:val="17"/>
                <w:szCs w:val="17"/>
                <w:lang w:val="fr-FR"/>
              </w:rPr>
            </w:pPr>
            <w:r w:rsidRPr="00A66C9F">
              <w:rPr>
                <w:b/>
                <w:bCs/>
                <w:sz w:val="17"/>
                <w:lang w:val="fr-FR"/>
              </w:rPr>
              <w:tab/>
              <w:t>Total</w:t>
            </w:r>
          </w:p>
        </w:tc>
        <w:tc>
          <w:tcPr>
            <w:tcW w:w="1170" w:type="dxa"/>
            <w:tcBorders>
              <w:top w:val="single" w:sz="4" w:space="0" w:color="auto"/>
              <w:bottom w:val="single" w:sz="12" w:space="0" w:color="auto"/>
            </w:tcBorders>
            <w:shd w:val="clear" w:color="auto" w:fill="auto"/>
            <w:vAlign w:val="bottom"/>
          </w:tcPr>
          <w:p w14:paraId="558FAA1D"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szCs w:val="17"/>
                <w:lang w:val="fr-FR"/>
              </w:rPr>
            </w:pPr>
            <w:r w:rsidRPr="00A66C9F">
              <w:rPr>
                <w:b/>
                <w:bCs/>
                <w:sz w:val="17"/>
                <w:lang w:val="fr-FR"/>
              </w:rPr>
              <w:t>2 688 856</w:t>
            </w:r>
          </w:p>
        </w:tc>
        <w:tc>
          <w:tcPr>
            <w:tcW w:w="1290" w:type="dxa"/>
            <w:tcBorders>
              <w:top w:val="single" w:sz="4" w:space="0" w:color="auto"/>
              <w:bottom w:val="single" w:sz="12" w:space="0" w:color="auto"/>
            </w:tcBorders>
            <w:shd w:val="clear" w:color="auto" w:fill="auto"/>
            <w:noWrap/>
            <w:vAlign w:val="bottom"/>
          </w:tcPr>
          <w:p w14:paraId="037DF068"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szCs w:val="17"/>
                <w:lang w:val="fr-FR"/>
              </w:rPr>
            </w:pPr>
            <w:r w:rsidRPr="00A66C9F">
              <w:rPr>
                <w:b/>
                <w:bCs/>
                <w:sz w:val="17"/>
                <w:lang w:val="fr-FR"/>
              </w:rPr>
              <w:t>2 457 151</w:t>
            </w:r>
          </w:p>
        </w:tc>
      </w:tr>
    </w:tbl>
    <w:p w14:paraId="7030600B" w14:textId="77777777" w:rsidR="00744544" w:rsidRPr="00A66C9F" w:rsidRDefault="00744544" w:rsidP="00744544">
      <w:pPr>
        <w:pStyle w:val="SingleTxt"/>
        <w:spacing w:after="0" w:line="120" w:lineRule="exact"/>
        <w:rPr>
          <w:sz w:val="10"/>
          <w:lang w:val="fr-FR"/>
        </w:rPr>
      </w:pPr>
    </w:p>
    <w:p w14:paraId="0AE166BB" w14:textId="77777777" w:rsidR="00744544" w:rsidRPr="00A66C9F" w:rsidRDefault="00744544" w:rsidP="00744544">
      <w:pPr>
        <w:pStyle w:val="SingleTxt"/>
        <w:spacing w:after="0" w:line="120" w:lineRule="exact"/>
        <w:rPr>
          <w:sz w:val="10"/>
          <w:lang w:val="fr-FR"/>
        </w:rPr>
      </w:pPr>
    </w:p>
    <w:p w14:paraId="042EDA98" w14:textId="77777777" w:rsidR="00744544" w:rsidRPr="00A66C9F" w:rsidRDefault="00744544" w:rsidP="00753AB8">
      <w:pPr>
        <w:pStyle w:val="SingleTxt"/>
        <w:numPr>
          <w:ilvl w:val="0"/>
          <w:numId w:val="18"/>
        </w:numPr>
        <w:spacing w:line="240" w:lineRule="exact"/>
        <w:rPr>
          <w:szCs w:val="20"/>
          <w:lang w:val="fr-FR"/>
        </w:rPr>
      </w:pPr>
      <w:r w:rsidRPr="00A66C9F">
        <w:rPr>
          <w:lang w:val="fr-FR"/>
        </w:rPr>
        <w:t>Le montant des cotisations varie en fonction du nombre des participants, de leur répartition et de la rémunération considérée aux fins de la pension, qui elle-même varie en fonction des hausses du coût de la vie établies par la Commission de la fonction publique internationale (CFPI) et, au plan individuel, des augmentations annuelles d’échelon dont bénéficient tous les participants.</w:t>
      </w:r>
    </w:p>
    <w:p w14:paraId="1484B7B6" w14:textId="77777777" w:rsidR="00744544" w:rsidRPr="00A66C9F" w:rsidRDefault="00744544" w:rsidP="00753AB8">
      <w:pPr>
        <w:pStyle w:val="SingleTxt"/>
        <w:numPr>
          <w:ilvl w:val="0"/>
          <w:numId w:val="18"/>
        </w:numPr>
        <w:spacing w:line="240" w:lineRule="exact"/>
        <w:rPr>
          <w:szCs w:val="20"/>
          <w:lang w:val="fr-FR"/>
        </w:rPr>
      </w:pPr>
      <w:r w:rsidRPr="00A66C9F">
        <w:rPr>
          <w:lang w:val="fr-FR"/>
        </w:rPr>
        <w:t xml:space="preserve">En 2019, la CFPI a révisé à deux reprises les taux de rémunération considérée aux fins de la </w:t>
      </w:r>
      <w:r w:rsidRPr="00A66C9F">
        <w:rPr>
          <w:szCs w:val="20"/>
          <w:lang w:val="fr-FR"/>
        </w:rPr>
        <w:t>pension</w:t>
      </w:r>
      <w:r w:rsidRPr="00A66C9F">
        <w:rPr>
          <w:lang w:val="fr-FR"/>
        </w:rPr>
        <w:t xml:space="preserve"> des administrateurs et des fonctionnaires de rang supérieur, avec effet au 1</w:t>
      </w:r>
      <w:r w:rsidRPr="00A66C9F">
        <w:rPr>
          <w:vertAlign w:val="superscript"/>
          <w:lang w:val="fr-FR"/>
        </w:rPr>
        <w:t>er</w:t>
      </w:r>
      <w:r w:rsidRPr="00A66C9F">
        <w:rPr>
          <w:lang w:val="fr-FR"/>
        </w:rPr>
        <w:t xml:space="preserve"> janvier 2019 et au 1</w:t>
      </w:r>
      <w:r w:rsidRPr="00A66C9F">
        <w:rPr>
          <w:vertAlign w:val="superscript"/>
          <w:lang w:val="fr-FR"/>
        </w:rPr>
        <w:t xml:space="preserve">er </w:t>
      </w:r>
      <w:r w:rsidRPr="00A66C9F">
        <w:rPr>
          <w:lang w:val="fr-FR"/>
        </w:rPr>
        <w:t>février 2019. En conséquence, les taux ont augmenté de 7,2 % en moyenne pour le personnel de cette catégorie par rapport à la précédente révision, qui avait pris effet le 1</w:t>
      </w:r>
      <w:r w:rsidRPr="00A66C9F">
        <w:rPr>
          <w:vertAlign w:val="superscript"/>
          <w:lang w:val="fr-FR"/>
        </w:rPr>
        <w:t xml:space="preserve">er </w:t>
      </w:r>
      <w:r w:rsidRPr="00A66C9F">
        <w:rPr>
          <w:lang w:val="fr-FR"/>
        </w:rPr>
        <w:t>février 2018.</w:t>
      </w:r>
    </w:p>
    <w:p w14:paraId="42888753" w14:textId="77777777" w:rsidR="00744544" w:rsidRPr="00A66C9F" w:rsidRDefault="00744544" w:rsidP="00753AB8">
      <w:pPr>
        <w:pStyle w:val="SingleTxt"/>
        <w:numPr>
          <w:ilvl w:val="0"/>
          <w:numId w:val="18"/>
        </w:numPr>
        <w:spacing w:line="240" w:lineRule="exact"/>
        <w:rPr>
          <w:szCs w:val="20"/>
          <w:lang w:val="fr-FR"/>
        </w:rPr>
      </w:pPr>
      <w:r w:rsidRPr="00A66C9F">
        <w:rPr>
          <w:lang w:val="fr-FR"/>
        </w:rPr>
        <w:t>Le 1</w:t>
      </w:r>
      <w:r w:rsidRPr="00A66C9F">
        <w:rPr>
          <w:vertAlign w:val="superscript"/>
          <w:lang w:val="fr-FR"/>
        </w:rPr>
        <w:t>er</w:t>
      </w:r>
      <w:r w:rsidRPr="00A66C9F">
        <w:rPr>
          <w:lang w:val="fr-FR"/>
        </w:rPr>
        <w:t xml:space="preserve"> janvier 2019, l’Organisation du Traité d’interdiction complète des essais nucléaires est devenue la vingt-quatrième organisation affiliée de la Caisse ; son adhésion a apporté 285 nouveaux participants. Les cotisations perçues pour le compte de participants en vertu d’un accord de transferts à la Caisse comprennent 18,7 millions de dollars provenant de 107 participants ayant transféré à la Caisse leurs droits à pension pour une période de service à l’Organisation du Traité d’interdiction complète des essais nucléaires antérieure.</w:t>
      </w:r>
    </w:p>
    <w:p w14:paraId="0ABC5C90" w14:textId="77777777" w:rsidR="00744544" w:rsidRPr="00A66C9F" w:rsidRDefault="00744544" w:rsidP="00744544">
      <w:pPr>
        <w:pStyle w:val="SingleTxt"/>
        <w:spacing w:after="0" w:line="120" w:lineRule="exact"/>
        <w:rPr>
          <w:sz w:val="10"/>
          <w:lang w:val="fr-FR"/>
        </w:rPr>
      </w:pPr>
    </w:p>
    <w:p w14:paraId="7737B8E1" w14:textId="77777777" w:rsidR="00744544" w:rsidRPr="00A66C9F" w:rsidRDefault="00744544" w:rsidP="00744544">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fr-FR"/>
        </w:rPr>
      </w:pPr>
      <w:r w:rsidRPr="00A66C9F">
        <w:rPr>
          <w:lang w:val="fr-FR"/>
        </w:rPr>
        <w:tab/>
      </w:r>
      <w:r w:rsidRPr="00A66C9F">
        <w:rPr>
          <w:lang w:val="fr-FR"/>
        </w:rPr>
        <w:tab/>
        <w:t>Note 15</w:t>
      </w:r>
    </w:p>
    <w:p w14:paraId="2FBC9543" w14:textId="77777777" w:rsidR="00744544" w:rsidRPr="00A66C9F" w:rsidRDefault="00744544" w:rsidP="00744544">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Paiement des prestations</w:t>
      </w:r>
      <w:bookmarkStart w:id="310" w:name="_Toc6224427"/>
      <w:bookmarkStart w:id="311" w:name="_Toc6224611"/>
      <w:bookmarkEnd w:id="310"/>
      <w:bookmarkEnd w:id="311"/>
    </w:p>
    <w:p w14:paraId="70B6F930" w14:textId="77777777" w:rsidR="00744544" w:rsidRPr="00A66C9F" w:rsidRDefault="00744544" w:rsidP="00744544">
      <w:pPr>
        <w:pStyle w:val="SingleTxt"/>
        <w:spacing w:after="0" w:line="120" w:lineRule="exact"/>
        <w:rPr>
          <w:sz w:val="10"/>
          <w:lang w:val="fr-FR"/>
        </w:rPr>
      </w:pPr>
    </w:p>
    <w:p w14:paraId="36829C13" w14:textId="77777777" w:rsidR="00744544" w:rsidRPr="00A66C9F" w:rsidRDefault="00744544" w:rsidP="00753AB8">
      <w:pPr>
        <w:pStyle w:val="SingleTxt"/>
        <w:numPr>
          <w:ilvl w:val="0"/>
          <w:numId w:val="18"/>
        </w:numPr>
        <w:spacing w:line="240" w:lineRule="exact"/>
        <w:rPr>
          <w:szCs w:val="20"/>
          <w:lang w:val="fr-FR"/>
        </w:rPr>
      </w:pPr>
      <w:r w:rsidRPr="00A66C9F">
        <w:rPr>
          <w:lang w:val="fr-FR"/>
        </w:rPr>
        <w:t>Les paiements de prestations effectués pendant la période considérée se répartissent comme suit :</w:t>
      </w:r>
    </w:p>
    <w:p w14:paraId="4BAA65A2" w14:textId="77777777" w:rsidR="00744544" w:rsidRPr="00A66C9F" w:rsidRDefault="00744544" w:rsidP="00744544">
      <w:pPr>
        <w:pStyle w:val="SingleTxt"/>
        <w:spacing w:after="0" w:line="120" w:lineRule="exact"/>
        <w:rPr>
          <w:sz w:val="10"/>
          <w:lang w:val="fr-FR"/>
        </w:rPr>
      </w:pPr>
    </w:p>
    <w:p w14:paraId="6309E4CC" w14:textId="77777777" w:rsidR="00744544" w:rsidRPr="00A66C9F" w:rsidRDefault="00744544" w:rsidP="0074454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lang w:val="fr-FR"/>
        </w:rPr>
        <w:tab/>
      </w:r>
      <w:r w:rsidRPr="00A66C9F">
        <w:rPr>
          <w:lang w:val="fr-FR"/>
        </w:rPr>
        <w:tab/>
      </w:r>
      <w:r w:rsidRPr="00A66C9F">
        <w:rPr>
          <w:sz w:val="14"/>
          <w:szCs w:val="14"/>
          <w:lang w:val="fr-FR"/>
        </w:rPr>
        <w:t xml:space="preserve">(En milliers de dollars des États-Unis) </w:t>
      </w:r>
    </w:p>
    <w:p w14:paraId="0D9B43FF" w14:textId="77777777" w:rsidR="00744544" w:rsidRPr="00A66C9F" w:rsidRDefault="00744544" w:rsidP="00744544">
      <w:pPr>
        <w:pStyle w:val="SingleTxt"/>
        <w:spacing w:after="0" w:line="120" w:lineRule="exact"/>
        <w:rPr>
          <w:sz w:val="10"/>
          <w:szCs w:val="14"/>
          <w:lang w:val="fr-FR"/>
        </w:rPr>
      </w:pPr>
    </w:p>
    <w:p w14:paraId="188C57F8" w14:textId="77777777" w:rsidR="00744544" w:rsidRPr="00A66C9F" w:rsidRDefault="00744544" w:rsidP="00744544">
      <w:pPr>
        <w:pStyle w:val="SingleTxt"/>
        <w:spacing w:after="0" w:line="120" w:lineRule="exact"/>
        <w:rPr>
          <w:sz w:val="10"/>
          <w:szCs w:val="14"/>
          <w:lang w:val="fr-FR"/>
        </w:rPr>
      </w:pPr>
    </w:p>
    <w:tbl>
      <w:tblPr>
        <w:tblW w:w="7362" w:type="dxa"/>
        <w:tblInd w:w="1260" w:type="dxa"/>
        <w:tblLayout w:type="fixed"/>
        <w:tblCellMar>
          <w:left w:w="0" w:type="dxa"/>
          <w:right w:w="0" w:type="dxa"/>
        </w:tblCellMar>
        <w:tblLook w:val="04A0" w:firstRow="1" w:lastRow="0" w:firstColumn="1" w:lastColumn="0" w:noHBand="0" w:noVBand="1"/>
      </w:tblPr>
      <w:tblGrid>
        <w:gridCol w:w="5328"/>
        <w:gridCol w:w="990"/>
        <w:gridCol w:w="1044"/>
      </w:tblGrid>
      <w:tr w:rsidR="00744544" w:rsidRPr="00A66C9F" w14:paraId="68C8B9EA" w14:textId="77777777" w:rsidTr="00107D5D">
        <w:trPr>
          <w:trHeight w:val="315"/>
          <w:tblHeader/>
        </w:trPr>
        <w:tc>
          <w:tcPr>
            <w:tcW w:w="5328" w:type="dxa"/>
            <w:tcBorders>
              <w:top w:val="single" w:sz="4" w:space="0" w:color="auto"/>
              <w:bottom w:val="single" w:sz="12" w:space="0" w:color="auto"/>
            </w:tcBorders>
            <w:shd w:val="clear" w:color="auto" w:fill="auto"/>
            <w:noWrap/>
            <w:vAlign w:val="bottom"/>
            <w:hideMark/>
          </w:tcPr>
          <w:p w14:paraId="5B177FC3" w14:textId="77777777" w:rsidR="00744544" w:rsidRPr="00A66C9F" w:rsidRDefault="00744544" w:rsidP="00107D5D">
            <w:pPr>
              <w:suppressAutoHyphens/>
              <w:spacing w:before="81" w:after="81" w:line="160" w:lineRule="exact"/>
              <w:ind w:right="40"/>
              <w:rPr>
                <w:bCs/>
                <w:i/>
                <w:iCs/>
                <w:sz w:val="14"/>
                <w:szCs w:val="20"/>
                <w:lang w:val="fr-FR"/>
              </w:rPr>
            </w:pPr>
            <w:r w:rsidRPr="00A66C9F">
              <w:rPr>
                <w:bCs/>
                <w:i/>
                <w:iCs/>
                <w:sz w:val="14"/>
                <w:szCs w:val="20"/>
                <w:lang w:val="fr-FR"/>
              </w:rPr>
              <w:t> </w:t>
            </w:r>
          </w:p>
        </w:tc>
        <w:tc>
          <w:tcPr>
            <w:tcW w:w="990" w:type="dxa"/>
            <w:tcBorders>
              <w:top w:val="single" w:sz="4" w:space="0" w:color="auto"/>
              <w:bottom w:val="single" w:sz="12" w:space="0" w:color="auto"/>
            </w:tcBorders>
            <w:shd w:val="clear" w:color="auto" w:fill="auto"/>
            <w:vAlign w:val="bottom"/>
          </w:tcPr>
          <w:p w14:paraId="2F8D3E4C" w14:textId="77777777" w:rsidR="00744544" w:rsidRPr="00A66C9F" w:rsidRDefault="00744544" w:rsidP="00107D5D">
            <w:pPr>
              <w:suppressAutoHyphens/>
              <w:spacing w:before="81" w:after="81" w:line="160" w:lineRule="exact"/>
              <w:ind w:right="43"/>
              <w:jc w:val="right"/>
              <w:rPr>
                <w:bCs/>
                <w:i/>
                <w:iCs/>
                <w:sz w:val="14"/>
                <w:szCs w:val="20"/>
                <w:lang w:val="fr-FR"/>
              </w:rPr>
            </w:pPr>
            <w:r w:rsidRPr="00A66C9F">
              <w:rPr>
                <w:i/>
                <w:iCs/>
                <w:sz w:val="14"/>
                <w:lang w:val="fr-FR"/>
              </w:rPr>
              <w:t>2019</w:t>
            </w:r>
          </w:p>
        </w:tc>
        <w:tc>
          <w:tcPr>
            <w:tcW w:w="1044" w:type="dxa"/>
            <w:tcBorders>
              <w:top w:val="single" w:sz="4" w:space="0" w:color="auto"/>
              <w:bottom w:val="single" w:sz="12" w:space="0" w:color="auto"/>
            </w:tcBorders>
            <w:shd w:val="clear" w:color="auto" w:fill="auto"/>
            <w:noWrap/>
            <w:vAlign w:val="bottom"/>
            <w:hideMark/>
          </w:tcPr>
          <w:p w14:paraId="589BB702" w14:textId="77777777" w:rsidR="00744544" w:rsidRPr="00A66C9F" w:rsidRDefault="00744544" w:rsidP="00107D5D">
            <w:pPr>
              <w:suppressAutoHyphens/>
              <w:spacing w:before="81" w:after="81" w:line="160" w:lineRule="exact"/>
              <w:ind w:right="43"/>
              <w:jc w:val="right"/>
              <w:rPr>
                <w:bCs/>
                <w:i/>
                <w:iCs/>
                <w:sz w:val="14"/>
                <w:szCs w:val="20"/>
                <w:lang w:val="fr-FR"/>
              </w:rPr>
            </w:pPr>
            <w:r w:rsidRPr="00A66C9F">
              <w:rPr>
                <w:i/>
                <w:iCs/>
                <w:sz w:val="14"/>
                <w:lang w:val="fr-FR"/>
              </w:rPr>
              <w:t>2018</w:t>
            </w:r>
          </w:p>
        </w:tc>
      </w:tr>
      <w:tr w:rsidR="00744544" w:rsidRPr="00A66C9F" w14:paraId="61F8B7BD" w14:textId="77777777" w:rsidTr="00107D5D">
        <w:trPr>
          <w:trHeight w:hRule="exact" w:val="115"/>
          <w:tblHeader/>
        </w:trPr>
        <w:tc>
          <w:tcPr>
            <w:tcW w:w="5328" w:type="dxa"/>
            <w:tcBorders>
              <w:top w:val="single" w:sz="12" w:space="0" w:color="auto"/>
            </w:tcBorders>
            <w:shd w:val="clear" w:color="auto" w:fill="auto"/>
            <w:noWrap/>
            <w:vAlign w:val="bottom"/>
          </w:tcPr>
          <w:p w14:paraId="77913F50" w14:textId="77777777" w:rsidR="00744544" w:rsidRPr="00A66C9F" w:rsidRDefault="00744544" w:rsidP="00107D5D">
            <w:pPr>
              <w:suppressAutoHyphens/>
              <w:spacing w:before="40" w:after="40" w:line="210" w:lineRule="exact"/>
              <w:ind w:right="40"/>
              <w:rPr>
                <w:b/>
                <w:bCs/>
                <w:sz w:val="17"/>
                <w:lang w:val="fr-FR"/>
              </w:rPr>
            </w:pPr>
          </w:p>
        </w:tc>
        <w:tc>
          <w:tcPr>
            <w:tcW w:w="990" w:type="dxa"/>
            <w:tcBorders>
              <w:top w:val="single" w:sz="12" w:space="0" w:color="auto"/>
            </w:tcBorders>
            <w:shd w:val="clear" w:color="auto" w:fill="auto"/>
            <w:noWrap/>
            <w:vAlign w:val="bottom"/>
          </w:tcPr>
          <w:p w14:paraId="1A36E331" w14:textId="77777777" w:rsidR="00744544" w:rsidRPr="00A66C9F" w:rsidRDefault="00744544" w:rsidP="00107D5D">
            <w:pPr>
              <w:suppressAutoHyphens/>
              <w:spacing w:before="40" w:after="40" w:line="210" w:lineRule="exact"/>
              <w:ind w:right="40"/>
              <w:rPr>
                <w:sz w:val="17"/>
                <w:szCs w:val="17"/>
                <w:lang w:val="fr-FR"/>
              </w:rPr>
            </w:pPr>
          </w:p>
        </w:tc>
        <w:tc>
          <w:tcPr>
            <w:tcW w:w="1044" w:type="dxa"/>
            <w:tcBorders>
              <w:top w:val="single" w:sz="12" w:space="0" w:color="auto"/>
            </w:tcBorders>
            <w:shd w:val="clear" w:color="auto" w:fill="auto"/>
            <w:vAlign w:val="bottom"/>
          </w:tcPr>
          <w:p w14:paraId="46B67D7B" w14:textId="77777777" w:rsidR="00744544" w:rsidRPr="00A66C9F" w:rsidRDefault="00744544" w:rsidP="00107D5D">
            <w:pPr>
              <w:suppressAutoHyphens/>
              <w:spacing w:before="40" w:after="40" w:line="210" w:lineRule="exact"/>
              <w:ind w:right="40"/>
              <w:rPr>
                <w:sz w:val="17"/>
                <w:szCs w:val="17"/>
                <w:lang w:val="fr-FR"/>
              </w:rPr>
            </w:pPr>
          </w:p>
        </w:tc>
      </w:tr>
      <w:tr w:rsidR="00744544" w:rsidRPr="00A66C9F" w14:paraId="55AFFAB9" w14:textId="77777777" w:rsidTr="00107D5D">
        <w:tc>
          <w:tcPr>
            <w:tcW w:w="5328" w:type="dxa"/>
            <w:shd w:val="clear" w:color="auto" w:fill="auto"/>
            <w:noWrap/>
            <w:vAlign w:val="bottom"/>
            <w:hideMark/>
          </w:tcPr>
          <w:p w14:paraId="1DADC89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b/>
                <w:bCs/>
                <w:sz w:val="17"/>
                <w:szCs w:val="17"/>
                <w:lang w:val="fr-FR"/>
              </w:rPr>
            </w:pPr>
            <w:r w:rsidRPr="00A66C9F">
              <w:rPr>
                <w:b/>
                <w:bCs/>
                <w:sz w:val="17"/>
                <w:lang w:val="fr-FR"/>
              </w:rPr>
              <w:t>Versements de départ au titre de la liquidation des droits (y compris les prestations intégralement converties en capital)</w:t>
            </w:r>
          </w:p>
        </w:tc>
        <w:tc>
          <w:tcPr>
            <w:tcW w:w="990" w:type="dxa"/>
            <w:shd w:val="clear" w:color="auto" w:fill="auto"/>
            <w:noWrap/>
            <w:vAlign w:val="bottom"/>
            <w:hideMark/>
          </w:tcPr>
          <w:p w14:paraId="2EF6320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p>
        </w:tc>
        <w:tc>
          <w:tcPr>
            <w:tcW w:w="1044" w:type="dxa"/>
            <w:shd w:val="clear" w:color="auto" w:fill="auto"/>
            <w:vAlign w:val="bottom"/>
          </w:tcPr>
          <w:p w14:paraId="35E9640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p>
        </w:tc>
      </w:tr>
      <w:tr w:rsidR="00744544" w:rsidRPr="00A66C9F" w14:paraId="38EFFAEB" w14:textId="77777777" w:rsidTr="00107D5D">
        <w:tc>
          <w:tcPr>
            <w:tcW w:w="5328" w:type="dxa"/>
            <w:shd w:val="clear" w:color="auto" w:fill="auto"/>
            <w:noWrap/>
            <w:vAlign w:val="bottom"/>
            <w:hideMark/>
          </w:tcPr>
          <w:p w14:paraId="5B32674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ab/>
              <w:t>Période d’affiliation inférieure ou égale à 5 ans</w:t>
            </w:r>
          </w:p>
        </w:tc>
        <w:tc>
          <w:tcPr>
            <w:tcW w:w="990" w:type="dxa"/>
            <w:shd w:val="clear" w:color="auto" w:fill="auto"/>
            <w:vAlign w:val="bottom"/>
          </w:tcPr>
          <w:p w14:paraId="37B18B2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54 360 </w:t>
            </w:r>
          </w:p>
        </w:tc>
        <w:tc>
          <w:tcPr>
            <w:tcW w:w="1044" w:type="dxa"/>
            <w:shd w:val="clear" w:color="auto" w:fill="auto"/>
            <w:noWrap/>
            <w:vAlign w:val="bottom"/>
          </w:tcPr>
          <w:p w14:paraId="3134280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47 506</w:t>
            </w:r>
          </w:p>
        </w:tc>
      </w:tr>
      <w:tr w:rsidR="00744544" w:rsidRPr="00A66C9F" w14:paraId="20176F16" w14:textId="77777777" w:rsidTr="00107D5D">
        <w:tc>
          <w:tcPr>
            <w:tcW w:w="5328" w:type="dxa"/>
            <w:shd w:val="clear" w:color="auto" w:fill="auto"/>
            <w:noWrap/>
            <w:vAlign w:val="bottom"/>
            <w:hideMark/>
          </w:tcPr>
          <w:p w14:paraId="6979DE9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ab/>
              <w:t>Période d’affiliation supérieure à 5 ans</w:t>
            </w:r>
          </w:p>
        </w:tc>
        <w:tc>
          <w:tcPr>
            <w:tcW w:w="990" w:type="dxa"/>
            <w:tcBorders>
              <w:bottom w:val="single" w:sz="4" w:space="0" w:color="auto"/>
            </w:tcBorders>
            <w:shd w:val="clear" w:color="auto" w:fill="auto"/>
            <w:vAlign w:val="bottom"/>
          </w:tcPr>
          <w:p w14:paraId="035C285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140 222 </w:t>
            </w:r>
          </w:p>
        </w:tc>
        <w:tc>
          <w:tcPr>
            <w:tcW w:w="1044" w:type="dxa"/>
            <w:tcBorders>
              <w:bottom w:val="single" w:sz="4" w:space="0" w:color="auto"/>
            </w:tcBorders>
            <w:shd w:val="clear" w:color="auto" w:fill="auto"/>
            <w:noWrap/>
            <w:vAlign w:val="bottom"/>
          </w:tcPr>
          <w:p w14:paraId="01832B0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134 165</w:t>
            </w:r>
          </w:p>
        </w:tc>
      </w:tr>
      <w:tr w:rsidR="00744544" w:rsidRPr="00A66C9F" w14:paraId="5078A7E2" w14:textId="77777777" w:rsidTr="00107D5D">
        <w:tc>
          <w:tcPr>
            <w:tcW w:w="5328" w:type="dxa"/>
            <w:shd w:val="clear" w:color="auto" w:fill="auto"/>
            <w:noWrap/>
            <w:vAlign w:val="bottom"/>
          </w:tcPr>
          <w:p w14:paraId="3E0D5EE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p>
        </w:tc>
        <w:tc>
          <w:tcPr>
            <w:tcW w:w="990" w:type="dxa"/>
            <w:tcBorders>
              <w:top w:val="single" w:sz="4" w:space="0" w:color="auto"/>
            </w:tcBorders>
            <w:shd w:val="clear" w:color="auto" w:fill="auto"/>
            <w:vAlign w:val="bottom"/>
          </w:tcPr>
          <w:p w14:paraId="21FECD4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lang w:val="fr-FR"/>
              </w:rPr>
            </w:pPr>
            <w:r w:rsidRPr="00A66C9F">
              <w:rPr>
                <w:b/>
                <w:bCs/>
                <w:sz w:val="17"/>
                <w:lang w:val="fr-FR"/>
              </w:rPr>
              <w:t>194 582</w:t>
            </w:r>
          </w:p>
        </w:tc>
        <w:tc>
          <w:tcPr>
            <w:tcW w:w="1044" w:type="dxa"/>
            <w:tcBorders>
              <w:top w:val="single" w:sz="4" w:space="0" w:color="auto"/>
            </w:tcBorders>
            <w:shd w:val="clear" w:color="auto" w:fill="auto"/>
            <w:noWrap/>
            <w:vAlign w:val="bottom"/>
          </w:tcPr>
          <w:p w14:paraId="4716CB0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lang w:val="fr-FR"/>
              </w:rPr>
            </w:pPr>
            <w:r w:rsidRPr="00A66C9F">
              <w:rPr>
                <w:b/>
                <w:bCs/>
                <w:sz w:val="17"/>
                <w:lang w:val="fr-FR"/>
              </w:rPr>
              <w:t>181 671</w:t>
            </w:r>
          </w:p>
        </w:tc>
      </w:tr>
      <w:tr w:rsidR="00744544" w:rsidRPr="00A66C9F" w14:paraId="566330BD" w14:textId="77777777" w:rsidTr="00107D5D">
        <w:tc>
          <w:tcPr>
            <w:tcW w:w="5328" w:type="dxa"/>
            <w:shd w:val="clear" w:color="auto" w:fill="auto"/>
            <w:noWrap/>
            <w:vAlign w:val="bottom"/>
            <w:hideMark/>
          </w:tcPr>
          <w:p w14:paraId="3FCD7419"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rPr>
                <w:b/>
                <w:bCs/>
                <w:sz w:val="17"/>
                <w:szCs w:val="17"/>
                <w:lang w:val="fr-FR"/>
              </w:rPr>
            </w:pPr>
            <w:r w:rsidRPr="00A66C9F">
              <w:rPr>
                <w:b/>
                <w:bCs/>
                <w:sz w:val="17"/>
                <w:lang w:val="fr-FR"/>
              </w:rPr>
              <w:lastRenderedPageBreak/>
              <w:t>Pension de retraite</w:t>
            </w:r>
          </w:p>
        </w:tc>
        <w:tc>
          <w:tcPr>
            <w:tcW w:w="990" w:type="dxa"/>
            <w:shd w:val="clear" w:color="auto" w:fill="auto"/>
            <w:noWrap/>
            <w:vAlign w:val="bottom"/>
          </w:tcPr>
          <w:p w14:paraId="47EBCB9B"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p>
        </w:tc>
        <w:tc>
          <w:tcPr>
            <w:tcW w:w="1044" w:type="dxa"/>
            <w:shd w:val="clear" w:color="auto" w:fill="auto"/>
            <w:vAlign w:val="bottom"/>
          </w:tcPr>
          <w:p w14:paraId="3BEEE20F"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p>
        </w:tc>
      </w:tr>
      <w:tr w:rsidR="00744544" w:rsidRPr="00A66C9F" w14:paraId="2DD759B8" w14:textId="77777777" w:rsidTr="00107D5D">
        <w:tc>
          <w:tcPr>
            <w:tcW w:w="5328" w:type="dxa"/>
            <w:shd w:val="clear" w:color="auto" w:fill="auto"/>
            <w:noWrap/>
            <w:vAlign w:val="bottom"/>
            <w:hideMark/>
          </w:tcPr>
          <w:p w14:paraId="3651B3F4"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ab/>
              <w:t>Pensions de retraite complète</w:t>
            </w:r>
          </w:p>
        </w:tc>
        <w:tc>
          <w:tcPr>
            <w:tcW w:w="990" w:type="dxa"/>
            <w:shd w:val="clear" w:color="auto" w:fill="auto"/>
            <w:vAlign w:val="bottom"/>
          </w:tcPr>
          <w:p w14:paraId="777163B1"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1 308 496 </w:t>
            </w:r>
          </w:p>
        </w:tc>
        <w:tc>
          <w:tcPr>
            <w:tcW w:w="1044" w:type="dxa"/>
            <w:shd w:val="clear" w:color="auto" w:fill="auto"/>
            <w:noWrap/>
            <w:vAlign w:val="bottom"/>
          </w:tcPr>
          <w:p w14:paraId="540A6527"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1 335 160</w:t>
            </w:r>
          </w:p>
        </w:tc>
      </w:tr>
      <w:tr w:rsidR="00744544" w:rsidRPr="00A66C9F" w14:paraId="11599F94" w14:textId="77777777" w:rsidTr="00107D5D">
        <w:tc>
          <w:tcPr>
            <w:tcW w:w="5328" w:type="dxa"/>
            <w:shd w:val="clear" w:color="auto" w:fill="auto"/>
            <w:noWrap/>
            <w:vAlign w:val="bottom"/>
            <w:hideMark/>
          </w:tcPr>
          <w:p w14:paraId="3999A56F"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ab/>
              <w:t>Pensions de retraite anticipée</w:t>
            </w:r>
          </w:p>
        </w:tc>
        <w:tc>
          <w:tcPr>
            <w:tcW w:w="990" w:type="dxa"/>
            <w:shd w:val="clear" w:color="auto" w:fill="auto"/>
            <w:vAlign w:val="bottom"/>
          </w:tcPr>
          <w:p w14:paraId="566C7900"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717 656 </w:t>
            </w:r>
          </w:p>
        </w:tc>
        <w:tc>
          <w:tcPr>
            <w:tcW w:w="1044" w:type="dxa"/>
            <w:shd w:val="clear" w:color="auto" w:fill="auto"/>
            <w:noWrap/>
            <w:vAlign w:val="bottom"/>
          </w:tcPr>
          <w:p w14:paraId="1A6AE180"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717 804</w:t>
            </w:r>
          </w:p>
        </w:tc>
      </w:tr>
      <w:tr w:rsidR="00744544" w:rsidRPr="00A66C9F" w14:paraId="5ABC69C0" w14:textId="77777777" w:rsidTr="00107D5D">
        <w:tc>
          <w:tcPr>
            <w:tcW w:w="5328" w:type="dxa"/>
            <w:shd w:val="clear" w:color="auto" w:fill="auto"/>
            <w:noWrap/>
            <w:vAlign w:val="bottom"/>
            <w:hideMark/>
          </w:tcPr>
          <w:p w14:paraId="364BAD75"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ab/>
              <w:t>Pensions de retraite différée</w:t>
            </w:r>
          </w:p>
        </w:tc>
        <w:tc>
          <w:tcPr>
            <w:tcW w:w="990" w:type="dxa"/>
            <w:shd w:val="clear" w:color="auto" w:fill="auto"/>
            <w:vAlign w:val="bottom"/>
          </w:tcPr>
          <w:p w14:paraId="104A404B"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107 173 </w:t>
            </w:r>
          </w:p>
        </w:tc>
        <w:tc>
          <w:tcPr>
            <w:tcW w:w="1044" w:type="dxa"/>
            <w:shd w:val="clear" w:color="auto" w:fill="auto"/>
            <w:noWrap/>
            <w:vAlign w:val="bottom"/>
          </w:tcPr>
          <w:p w14:paraId="0B91281C"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104 730</w:t>
            </w:r>
          </w:p>
        </w:tc>
      </w:tr>
      <w:tr w:rsidR="00744544" w:rsidRPr="00A66C9F" w14:paraId="435BDE09" w14:textId="77777777" w:rsidTr="00107D5D">
        <w:tc>
          <w:tcPr>
            <w:tcW w:w="5328" w:type="dxa"/>
            <w:shd w:val="clear" w:color="auto" w:fill="auto"/>
            <w:noWrap/>
            <w:vAlign w:val="bottom"/>
            <w:hideMark/>
          </w:tcPr>
          <w:p w14:paraId="0931D1B5"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ab/>
              <w:t>Pensions d’invalidité</w:t>
            </w:r>
          </w:p>
        </w:tc>
        <w:tc>
          <w:tcPr>
            <w:tcW w:w="990" w:type="dxa"/>
            <w:shd w:val="clear" w:color="auto" w:fill="auto"/>
            <w:vAlign w:val="bottom"/>
          </w:tcPr>
          <w:p w14:paraId="5746AFE5"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86 227 </w:t>
            </w:r>
          </w:p>
        </w:tc>
        <w:tc>
          <w:tcPr>
            <w:tcW w:w="1044" w:type="dxa"/>
            <w:shd w:val="clear" w:color="auto" w:fill="auto"/>
            <w:noWrap/>
            <w:vAlign w:val="bottom"/>
          </w:tcPr>
          <w:p w14:paraId="4DD6C54C"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80 269</w:t>
            </w:r>
          </w:p>
        </w:tc>
      </w:tr>
      <w:tr w:rsidR="00744544" w:rsidRPr="00A66C9F" w14:paraId="40E71C56" w14:textId="77777777" w:rsidTr="00107D5D">
        <w:tc>
          <w:tcPr>
            <w:tcW w:w="5328" w:type="dxa"/>
            <w:shd w:val="clear" w:color="auto" w:fill="auto"/>
            <w:noWrap/>
            <w:vAlign w:val="bottom"/>
            <w:hideMark/>
          </w:tcPr>
          <w:p w14:paraId="3661C88D"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ab/>
              <w:t>Pensions de réversion</w:t>
            </w:r>
          </w:p>
        </w:tc>
        <w:tc>
          <w:tcPr>
            <w:tcW w:w="990" w:type="dxa"/>
            <w:shd w:val="clear" w:color="auto" w:fill="auto"/>
            <w:vAlign w:val="bottom"/>
          </w:tcPr>
          <w:p w14:paraId="6057956C"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259 820 </w:t>
            </w:r>
          </w:p>
        </w:tc>
        <w:tc>
          <w:tcPr>
            <w:tcW w:w="1044" w:type="dxa"/>
            <w:shd w:val="clear" w:color="auto" w:fill="auto"/>
            <w:noWrap/>
            <w:vAlign w:val="bottom"/>
          </w:tcPr>
          <w:p w14:paraId="1B0C4606"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259 848</w:t>
            </w:r>
          </w:p>
        </w:tc>
      </w:tr>
      <w:tr w:rsidR="00744544" w:rsidRPr="00A66C9F" w14:paraId="3F713891" w14:textId="77777777" w:rsidTr="00107D5D">
        <w:tc>
          <w:tcPr>
            <w:tcW w:w="5328" w:type="dxa"/>
            <w:shd w:val="clear" w:color="auto" w:fill="auto"/>
            <w:noWrap/>
            <w:vAlign w:val="bottom"/>
            <w:hideMark/>
          </w:tcPr>
          <w:p w14:paraId="7D36E601"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ab/>
              <w:t>Pensions d’enfant</w:t>
            </w:r>
          </w:p>
        </w:tc>
        <w:tc>
          <w:tcPr>
            <w:tcW w:w="990" w:type="dxa"/>
            <w:tcBorders>
              <w:bottom w:val="single" w:sz="4" w:space="0" w:color="auto"/>
            </w:tcBorders>
            <w:shd w:val="clear" w:color="auto" w:fill="auto"/>
            <w:vAlign w:val="bottom"/>
          </w:tcPr>
          <w:p w14:paraId="3E22C19B"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31 747 </w:t>
            </w:r>
          </w:p>
        </w:tc>
        <w:tc>
          <w:tcPr>
            <w:tcW w:w="1044" w:type="dxa"/>
            <w:tcBorders>
              <w:bottom w:val="single" w:sz="4" w:space="0" w:color="auto"/>
            </w:tcBorders>
            <w:shd w:val="clear" w:color="auto" w:fill="auto"/>
            <w:noWrap/>
            <w:vAlign w:val="bottom"/>
          </w:tcPr>
          <w:p w14:paraId="566A19EB"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32 687</w:t>
            </w:r>
          </w:p>
        </w:tc>
      </w:tr>
      <w:tr w:rsidR="00744544" w:rsidRPr="00A66C9F" w14:paraId="3BC817EE" w14:textId="77777777" w:rsidTr="00107D5D">
        <w:tc>
          <w:tcPr>
            <w:tcW w:w="5328" w:type="dxa"/>
            <w:shd w:val="clear" w:color="auto" w:fill="auto"/>
            <w:noWrap/>
            <w:vAlign w:val="bottom"/>
            <w:hideMark/>
          </w:tcPr>
          <w:p w14:paraId="7593F79A"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rPr>
                <w:sz w:val="17"/>
                <w:szCs w:val="17"/>
                <w:lang w:val="fr-FR"/>
              </w:rPr>
            </w:pPr>
          </w:p>
        </w:tc>
        <w:tc>
          <w:tcPr>
            <w:tcW w:w="990" w:type="dxa"/>
            <w:tcBorders>
              <w:top w:val="single" w:sz="4" w:space="0" w:color="auto"/>
            </w:tcBorders>
            <w:shd w:val="clear" w:color="auto" w:fill="auto"/>
            <w:vAlign w:val="bottom"/>
          </w:tcPr>
          <w:p w14:paraId="488EC27C"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b/>
                <w:bCs/>
                <w:sz w:val="17"/>
                <w:szCs w:val="17"/>
                <w:lang w:val="fr-FR"/>
              </w:rPr>
            </w:pPr>
            <w:r w:rsidRPr="00A66C9F">
              <w:rPr>
                <w:sz w:val="17"/>
                <w:lang w:val="fr-FR"/>
              </w:rPr>
              <w:t xml:space="preserve"> </w:t>
            </w:r>
            <w:r w:rsidRPr="00A66C9F">
              <w:rPr>
                <w:b/>
                <w:bCs/>
                <w:sz w:val="17"/>
                <w:lang w:val="fr-FR"/>
              </w:rPr>
              <w:t>2 511 119</w:t>
            </w:r>
            <w:r w:rsidRPr="00A66C9F">
              <w:rPr>
                <w:sz w:val="17"/>
                <w:lang w:val="fr-FR"/>
              </w:rPr>
              <w:t xml:space="preserve"> </w:t>
            </w:r>
          </w:p>
        </w:tc>
        <w:tc>
          <w:tcPr>
            <w:tcW w:w="1044" w:type="dxa"/>
            <w:tcBorders>
              <w:top w:val="single" w:sz="4" w:space="0" w:color="auto"/>
            </w:tcBorders>
            <w:shd w:val="clear" w:color="auto" w:fill="auto"/>
            <w:noWrap/>
            <w:vAlign w:val="bottom"/>
          </w:tcPr>
          <w:p w14:paraId="27C7EC7C"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b/>
                <w:bCs/>
                <w:sz w:val="17"/>
                <w:szCs w:val="17"/>
                <w:lang w:val="fr-FR"/>
              </w:rPr>
            </w:pPr>
            <w:r w:rsidRPr="00A66C9F">
              <w:rPr>
                <w:b/>
                <w:bCs/>
                <w:sz w:val="17"/>
                <w:lang w:val="fr-FR"/>
              </w:rPr>
              <w:t>2 530 498</w:t>
            </w:r>
          </w:p>
        </w:tc>
      </w:tr>
      <w:tr w:rsidR="00744544" w:rsidRPr="00A66C9F" w14:paraId="00EBCEAC" w14:textId="77777777" w:rsidTr="00107D5D">
        <w:tc>
          <w:tcPr>
            <w:tcW w:w="5328" w:type="dxa"/>
            <w:shd w:val="clear" w:color="auto" w:fill="auto"/>
            <w:noWrap/>
            <w:vAlign w:val="bottom"/>
            <w:hideMark/>
          </w:tcPr>
          <w:p w14:paraId="064AD8DC"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rPr>
                <w:b/>
                <w:bCs/>
                <w:sz w:val="17"/>
                <w:szCs w:val="17"/>
                <w:lang w:val="fr-FR"/>
              </w:rPr>
            </w:pPr>
            <w:r w:rsidRPr="00A66C9F">
              <w:rPr>
                <w:b/>
                <w:bCs/>
                <w:sz w:val="17"/>
                <w:lang w:val="fr-FR"/>
              </w:rPr>
              <w:t>Autres prestations/ajustements</w:t>
            </w:r>
          </w:p>
        </w:tc>
        <w:tc>
          <w:tcPr>
            <w:tcW w:w="990" w:type="dxa"/>
            <w:shd w:val="clear" w:color="auto" w:fill="auto"/>
            <w:noWrap/>
            <w:vAlign w:val="bottom"/>
          </w:tcPr>
          <w:p w14:paraId="006E29C5"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p>
        </w:tc>
        <w:tc>
          <w:tcPr>
            <w:tcW w:w="1044" w:type="dxa"/>
            <w:shd w:val="clear" w:color="auto" w:fill="auto"/>
            <w:vAlign w:val="bottom"/>
          </w:tcPr>
          <w:p w14:paraId="1D4526BC"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p>
        </w:tc>
      </w:tr>
      <w:tr w:rsidR="00744544" w:rsidRPr="00A66C9F" w14:paraId="79375D7A" w14:textId="77777777" w:rsidTr="00107D5D">
        <w:tc>
          <w:tcPr>
            <w:tcW w:w="5328" w:type="dxa"/>
            <w:shd w:val="clear" w:color="auto" w:fill="auto"/>
            <w:noWrap/>
            <w:vAlign w:val="bottom"/>
            <w:hideMark/>
          </w:tcPr>
          <w:p w14:paraId="71644954"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left="288" w:right="40" w:hanging="288"/>
              <w:rPr>
                <w:sz w:val="17"/>
                <w:szCs w:val="17"/>
                <w:lang w:val="fr-FR"/>
              </w:rPr>
            </w:pPr>
            <w:r w:rsidRPr="00A66C9F">
              <w:rPr>
                <w:sz w:val="17"/>
                <w:lang w:val="fr-FR"/>
              </w:rPr>
              <w:tab/>
              <w:t>Versements pour le compte de participants en vertu d’un accord de transfert à une autre caisse</w:t>
            </w:r>
          </w:p>
        </w:tc>
        <w:tc>
          <w:tcPr>
            <w:tcW w:w="990" w:type="dxa"/>
            <w:shd w:val="clear" w:color="auto" w:fill="auto"/>
            <w:vAlign w:val="bottom"/>
          </w:tcPr>
          <w:p w14:paraId="2F5DFD7D"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1 232 </w:t>
            </w:r>
          </w:p>
        </w:tc>
        <w:tc>
          <w:tcPr>
            <w:tcW w:w="1044" w:type="dxa"/>
            <w:shd w:val="clear" w:color="auto" w:fill="auto"/>
            <w:noWrap/>
            <w:vAlign w:val="bottom"/>
          </w:tcPr>
          <w:p w14:paraId="43D26346"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2 772</w:t>
            </w:r>
          </w:p>
        </w:tc>
      </w:tr>
      <w:tr w:rsidR="00744544" w:rsidRPr="00A66C9F" w14:paraId="69EA29D3" w14:textId="77777777" w:rsidTr="00107D5D">
        <w:tc>
          <w:tcPr>
            <w:tcW w:w="5328" w:type="dxa"/>
            <w:shd w:val="clear" w:color="auto" w:fill="auto"/>
            <w:noWrap/>
            <w:vAlign w:val="bottom"/>
          </w:tcPr>
          <w:p w14:paraId="5C0A047C"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ab/>
              <w:t>Pertes des droits</w:t>
            </w:r>
          </w:p>
        </w:tc>
        <w:tc>
          <w:tcPr>
            <w:tcW w:w="990" w:type="dxa"/>
            <w:shd w:val="clear" w:color="auto" w:fill="auto"/>
            <w:vAlign w:val="bottom"/>
          </w:tcPr>
          <w:p w14:paraId="075AE9EF"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(1 408)</w:t>
            </w:r>
          </w:p>
        </w:tc>
        <w:tc>
          <w:tcPr>
            <w:tcW w:w="1044" w:type="dxa"/>
            <w:shd w:val="clear" w:color="auto" w:fill="auto"/>
            <w:noWrap/>
            <w:vAlign w:val="bottom"/>
          </w:tcPr>
          <w:p w14:paraId="45CD23FB"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(42 222)</w:t>
            </w:r>
          </w:p>
        </w:tc>
      </w:tr>
      <w:tr w:rsidR="00744544" w:rsidRPr="00A66C9F" w14:paraId="31992EEF" w14:textId="77777777" w:rsidTr="00107D5D">
        <w:tc>
          <w:tcPr>
            <w:tcW w:w="5328" w:type="dxa"/>
            <w:shd w:val="clear" w:color="auto" w:fill="auto"/>
            <w:noWrap/>
            <w:vAlign w:val="bottom"/>
            <w:hideMark/>
          </w:tcPr>
          <w:p w14:paraId="57537518"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rPr>
                <w:sz w:val="17"/>
                <w:szCs w:val="17"/>
                <w:lang w:val="fr-FR"/>
              </w:rPr>
            </w:pPr>
            <w:r w:rsidRPr="00A66C9F">
              <w:rPr>
                <w:bCs/>
                <w:sz w:val="17"/>
                <w:lang w:val="fr-FR"/>
              </w:rPr>
              <w:tab/>
              <w:t>Autres prestations/ajustements</w:t>
            </w:r>
          </w:p>
        </w:tc>
        <w:tc>
          <w:tcPr>
            <w:tcW w:w="990" w:type="dxa"/>
            <w:tcBorders>
              <w:bottom w:val="single" w:sz="4" w:space="0" w:color="auto"/>
            </w:tcBorders>
            <w:shd w:val="clear" w:color="auto" w:fill="auto"/>
            <w:vAlign w:val="bottom"/>
          </w:tcPr>
          <w:p w14:paraId="37BFF3B5"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(5 560)</w:t>
            </w:r>
          </w:p>
        </w:tc>
        <w:tc>
          <w:tcPr>
            <w:tcW w:w="1044" w:type="dxa"/>
            <w:tcBorders>
              <w:bottom w:val="single" w:sz="4" w:space="0" w:color="auto"/>
            </w:tcBorders>
            <w:shd w:val="clear" w:color="auto" w:fill="auto"/>
            <w:noWrap/>
            <w:vAlign w:val="bottom"/>
          </w:tcPr>
          <w:p w14:paraId="59F5465C"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(3 159)</w:t>
            </w:r>
          </w:p>
        </w:tc>
      </w:tr>
      <w:tr w:rsidR="00744544" w:rsidRPr="00A66C9F" w14:paraId="06EA8186" w14:textId="77777777" w:rsidTr="00107D5D">
        <w:tc>
          <w:tcPr>
            <w:tcW w:w="5328" w:type="dxa"/>
            <w:tcBorders>
              <w:bottom w:val="single" w:sz="4" w:space="0" w:color="auto"/>
            </w:tcBorders>
            <w:shd w:val="clear" w:color="auto" w:fill="auto"/>
            <w:noWrap/>
            <w:vAlign w:val="bottom"/>
            <w:hideMark/>
          </w:tcPr>
          <w:p w14:paraId="5CAA55CC" w14:textId="77777777" w:rsidR="00744544" w:rsidRPr="00A66C9F" w:rsidRDefault="00744544" w:rsidP="00107D5D">
            <w:pPr>
              <w:keepNext/>
              <w:keepLines/>
              <w:tabs>
                <w:tab w:val="left" w:pos="288"/>
                <w:tab w:val="left" w:pos="576"/>
                <w:tab w:val="left" w:pos="864"/>
                <w:tab w:val="left" w:pos="1152"/>
              </w:tabs>
              <w:suppressAutoHyphens/>
              <w:spacing w:before="40" w:after="81" w:line="210" w:lineRule="exact"/>
              <w:ind w:right="40"/>
              <w:rPr>
                <w:sz w:val="17"/>
                <w:szCs w:val="17"/>
                <w:lang w:val="fr-FR"/>
              </w:rPr>
            </w:pPr>
          </w:p>
        </w:tc>
        <w:tc>
          <w:tcPr>
            <w:tcW w:w="990" w:type="dxa"/>
            <w:tcBorders>
              <w:top w:val="single" w:sz="4" w:space="0" w:color="auto"/>
              <w:bottom w:val="single" w:sz="4" w:space="0" w:color="auto"/>
            </w:tcBorders>
            <w:shd w:val="clear" w:color="auto" w:fill="auto"/>
            <w:vAlign w:val="bottom"/>
          </w:tcPr>
          <w:p w14:paraId="0DAA5E2F" w14:textId="77777777" w:rsidR="00744544" w:rsidRPr="00A66C9F" w:rsidRDefault="00744544" w:rsidP="00107D5D">
            <w:pPr>
              <w:keepNext/>
              <w:keepLines/>
              <w:tabs>
                <w:tab w:val="left" w:pos="288"/>
                <w:tab w:val="left" w:pos="576"/>
                <w:tab w:val="left" w:pos="864"/>
                <w:tab w:val="left" w:pos="1152"/>
              </w:tabs>
              <w:suppressAutoHyphens/>
              <w:spacing w:before="40" w:after="81" w:line="210" w:lineRule="exact"/>
              <w:ind w:right="40"/>
              <w:jc w:val="right"/>
              <w:rPr>
                <w:b/>
                <w:bCs/>
                <w:sz w:val="17"/>
                <w:szCs w:val="17"/>
                <w:lang w:val="fr-FR"/>
              </w:rPr>
            </w:pPr>
            <w:r w:rsidRPr="00A66C9F">
              <w:rPr>
                <w:sz w:val="17"/>
                <w:lang w:val="fr-FR"/>
              </w:rPr>
              <w:t xml:space="preserve"> </w:t>
            </w:r>
            <w:r w:rsidRPr="00A66C9F">
              <w:rPr>
                <w:b/>
                <w:bCs/>
                <w:sz w:val="17"/>
                <w:lang w:val="fr-FR"/>
              </w:rPr>
              <w:t>(5 736)</w:t>
            </w:r>
          </w:p>
        </w:tc>
        <w:tc>
          <w:tcPr>
            <w:tcW w:w="1044" w:type="dxa"/>
            <w:tcBorders>
              <w:top w:val="single" w:sz="4" w:space="0" w:color="auto"/>
              <w:bottom w:val="single" w:sz="4" w:space="0" w:color="auto"/>
            </w:tcBorders>
            <w:shd w:val="clear" w:color="auto" w:fill="auto"/>
            <w:noWrap/>
            <w:vAlign w:val="bottom"/>
          </w:tcPr>
          <w:p w14:paraId="5BEBFA34" w14:textId="77777777" w:rsidR="00744544" w:rsidRPr="00A66C9F" w:rsidRDefault="00744544" w:rsidP="00107D5D">
            <w:pPr>
              <w:keepNext/>
              <w:keepLines/>
              <w:tabs>
                <w:tab w:val="left" w:pos="288"/>
                <w:tab w:val="left" w:pos="576"/>
                <w:tab w:val="left" w:pos="864"/>
                <w:tab w:val="left" w:pos="1152"/>
              </w:tabs>
              <w:suppressAutoHyphens/>
              <w:spacing w:before="40" w:after="81" w:line="210" w:lineRule="exact"/>
              <w:ind w:right="40"/>
              <w:jc w:val="right"/>
              <w:rPr>
                <w:b/>
                <w:bCs/>
                <w:sz w:val="17"/>
                <w:szCs w:val="17"/>
                <w:lang w:val="fr-FR"/>
              </w:rPr>
            </w:pPr>
            <w:r w:rsidRPr="00A66C9F">
              <w:rPr>
                <w:b/>
                <w:bCs/>
                <w:sz w:val="17"/>
                <w:lang w:val="fr-FR"/>
              </w:rPr>
              <w:t>(42 609)</w:t>
            </w:r>
          </w:p>
        </w:tc>
      </w:tr>
      <w:tr w:rsidR="00744544" w:rsidRPr="00A66C9F" w14:paraId="12E07F60" w14:textId="77777777" w:rsidTr="00107D5D">
        <w:tc>
          <w:tcPr>
            <w:tcW w:w="5328" w:type="dxa"/>
            <w:tcBorders>
              <w:top w:val="single" w:sz="4" w:space="0" w:color="auto"/>
              <w:bottom w:val="single" w:sz="12" w:space="0" w:color="auto"/>
            </w:tcBorders>
            <w:shd w:val="clear" w:color="auto" w:fill="auto"/>
            <w:noWrap/>
            <w:vAlign w:val="bottom"/>
            <w:hideMark/>
          </w:tcPr>
          <w:p w14:paraId="6D77A2FB" w14:textId="77777777" w:rsidR="00744544" w:rsidRPr="00A66C9F" w:rsidRDefault="00744544" w:rsidP="00107D5D">
            <w:pPr>
              <w:keepNext/>
              <w:keepLines/>
              <w:tabs>
                <w:tab w:val="left" w:pos="288"/>
                <w:tab w:val="left" w:pos="576"/>
                <w:tab w:val="left" w:pos="864"/>
                <w:tab w:val="left" w:pos="1152"/>
              </w:tabs>
              <w:suppressAutoHyphens/>
              <w:spacing w:before="81" w:after="81" w:line="210" w:lineRule="exact"/>
              <w:ind w:right="43"/>
              <w:rPr>
                <w:b/>
                <w:bCs/>
                <w:sz w:val="17"/>
                <w:szCs w:val="17"/>
                <w:lang w:val="fr-FR"/>
              </w:rPr>
            </w:pPr>
            <w:r w:rsidRPr="00A66C9F">
              <w:rPr>
                <w:b/>
                <w:bCs/>
                <w:sz w:val="17"/>
                <w:lang w:val="fr-FR"/>
              </w:rPr>
              <w:tab/>
              <w:t>Total</w:t>
            </w:r>
          </w:p>
        </w:tc>
        <w:tc>
          <w:tcPr>
            <w:tcW w:w="990" w:type="dxa"/>
            <w:tcBorders>
              <w:top w:val="single" w:sz="4" w:space="0" w:color="auto"/>
              <w:bottom w:val="single" w:sz="12" w:space="0" w:color="auto"/>
            </w:tcBorders>
            <w:shd w:val="clear" w:color="auto" w:fill="auto"/>
            <w:noWrap/>
            <w:vAlign w:val="bottom"/>
          </w:tcPr>
          <w:p w14:paraId="21B464F5" w14:textId="77777777" w:rsidR="00744544" w:rsidRPr="00A66C9F" w:rsidRDefault="00744544" w:rsidP="00107D5D">
            <w:pPr>
              <w:keepNext/>
              <w:keepLines/>
              <w:tabs>
                <w:tab w:val="left" w:pos="288"/>
                <w:tab w:val="left" w:pos="576"/>
                <w:tab w:val="left" w:pos="864"/>
                <w:tab w:val="left" w:pos="1152"/>
              </w:tabs>
              <w:suppressAutoHyphens/>
              <w:spacing w:before="81" w:after="81" w:line="210" w:lineRule="exact"/>
              <w:ind w:right="40"/>
              <w:jc w:val="right"/>
              <w:rPr>
                <w:b/>
                <w:bCs/>
                <w:sz w:val="17"/>
                <w:szCs w:val="17"/>
                <w:lang w:val="fr-FR"/>
              </w:rPr>
            </w:pPr>
            <w:r w:rsidRPr="00A66C9F">
              <w:rPr>
                <w:b/>
                <w:bCs/>
                <w:sz w:val="17"/>
                <w:lang w:val="fr-FR"/>
              </w:rPr>
              <w:t>2 699 965</w:t>
            </w:r>
          </w:p>
        </w:tc>
        <w:tc>
          <w:tcPr>
            <w:tcW w:w="1044" w:type="dxa"/>
            <w:tcBorders>
              <w:top w:val="single" w:sz="4" w:space="0" w:color="auto"/>
              <w:bottom w:val="single" w:sz="12" w:space="0" w:color="auto"/>
            </w:tcBorders>
            <w:shd w:val="clear" w:color="auto" w:fill="auto"/>
            <w:vAlign w:val="bottom"/>
          </w:tcPr>
          <w:p w14:paraId="2091C287" w14:textId="77777777" w:rsidR="00744544" w:rsidRPr="00A66C9F" w:rsidRDefault="00744544" w:rsidP="00107D5D">
            <w:pPr>
              <w:keepNext/>
              <w:keepLines/>
              <w:tabs>
                <w:tab w:val="left" w:pos="288"/>
                <w:tab w:val="left" w:pos="576"/>
                <w:tab w:val="left" w:pos="864"/>
                <w:tab w:val="left" w:pos="1152"/>
              </w:tabs>
              <w:suppressAutoHyphens/>
              <w:spacing w:before="81" w:after="81" w:line="210" w:lineRule="exact"/>
              <w:ind w:right="40"/>
              <w:jc w:val="right"/>
              <w:rPr>
                <w:b/>
                <w:bCs/>
                <w:sz w:val="17"/>
                <w:szCs w:val="17"/>
                <w:lang w:val="fr-FR"/>
              </w:rPr>
            </w:pPr>
            <w:r w:rsidRPr="00A66C9F">
              <w:rPr>
                <w:b/>
                <w:bCs/>
                <w:sz w:val="17"/>
                <w:lang w:val="fr-FR"/>
              </w:rPr>
              <w:t>2 669 560</w:t>
            </w:r>
          </w:p>
        </w:tc>
      </w:tr>
    </w:tbl>
    <w:p w14:paraId="4983408B" w14:textId="77777777" w:rsidR="00744544" w:rsidRPr="00A66C9F" w:rsidRDefault="00744544" w:rsidP="00744544">
      <w:pPr>
        <w:pStyle w:val="SingleTxt"/>
        <w:spacing w:after="0" w:line="120" w:lineRule="exact"/>
        <w:rPr>
          <w:sz w:val="10"/>
          <w:lang w:val="fr-FR"/>
        </w:rPr>
      </w:pPr>
    </w:p>
    <w:p w14:paraId="4B4FF6F4" w14:textId="77777777" w:rsidR="00744544" w:rsidRPr="00A66C9F" w:rsidRDefault="00744544" w:rsidP="00744544">
      <w:pPr>
        <w:pStyle w:val="SingleTxt"/>
        <w:spacing w:after="0" w:line="120" w:lineRule="exact"/>
        <w:rPr>
          <w:sz w:val="10"/>
          <w:lang w:val="fr-FR"/>
        </w:rPr>
      </w:pPr>
    </w:p>
    <w:p w14:paraId="55C1BC0A" w14:textId="77777777" w:rsidR="00744544" w:rsidRPr="00A66C9F" w:rsidRDefault="00744544" w:rsidP="00744544">
      <w:pPr>
        <w:pStyle w:val="SingleTxt"/>
        <w:spacing w:after="0" w:line="120" w:lineRule="exact"/>
        <w:rPr>
          <w:sz w:val="10"/>
          <w:lang w:val="fr-FR"/>
        </w:rPr>
      </w:pPr>
    </w:p>
    <w:p w14:paraId="0457BDD4"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Arial"/>
          <w:color w:val="00011F"/>
          <w:szCs w:val="30"/>
          <w:lang w:val="fr-FR"/>
        </w:rPr>
      </w:pPr>
      <w:bookmarkStart w:id="312" w:name="_Toc452735880"/>
      <w:bookmarkStart w:id="313" w:name="_Toc452735942"/>
      <w:bookmarkStart w:id="314" w:name="_Toc452736003"/>
      <w:bookmarkStart w:id="315" w:name="_Toc452736063"/>
      <w:bookmarkStart w:id="316" w:name="_Toc452739279"/>
      <w:bookmarkStart w:id="317" w:name="_Toc452740461"/>
      <w:bookmarkStart w:id="318" w:name="_Toc452740542"/>
      <w:bookmarkStart w:id="319" w:name="_Toc452740768"/>
      <w:bookmarkStart w:id="320" w:name="_Toc452735881"/>
      <w:bookmarkStart w:id="321" w:name="_Toc452735943"/>
      <w:bookmarkStart w:id="322" w:name="_Toc452736004"/>
      <w:bookmarkStart w:id="323" w:name="_Toc452736064"/>
      <w:bookmarkStart w:id="324" w:name="_Toc452739280"/>
      <w:bookmarkStart w:id="325" w:name="_Toc452740462"/>
      <w:bookmarkStart w:id="326" w:name="_Toc452740543"/>
      <w:bookmarkStart w:id="327" w:name="_Toc452740769"/>
      <w:bookmarkStart w:id="328" w:name="_Toc452735882"/>
      <w:bookmarkStart w:id="329" w:name="_Toc452735944"/>
      <w:bookmarkStart w:id="330" w:name="_Toc452736005"/>
      <w:bookmarkStart w:id="331" w:name="_Toc452736065"/>
      <w:bookmarkStart w:id="332" w:name="_Toc452739281"/>
      <w:bookmarkStart w:id="333" w:name="_Toc452740463"/>
      <w:bookmarkStart w:id="334" w:name="_Toc452740544"/>
      <w:bookmarkStart w:id="335" w:name="_Toc452740770"/>
      <w:bookmarkStart w:id="336" w:name="_Toc452735883"/>
      <w:bookmarkStart w:id="337" w:name="_Toc452735945"/>
      <w:bookmarkStart w:id="338" w:name="_Toc452736006"/>
      <w:bookmarkStart w:id="339" w:name="_Toc452736066"/>
      <w:bookmarkStart w:id="340" w:name="_Toc452739282"/>
      <w:bookmarkStart w:id="341" w:name="_Toc452740464"/>
      <w:bookmarkStart w:id="342" w:name="_Toc452740545"/>
      <w:bookmarkStart w:id="343" w:name="_Toc452740771"/>
      <w:bookmarkStart w:id="344" w:name="_Toc452735884"/>
      <w:bookmarkStart w:id="345" w:name="_Toc452735946"/>
      <w:bookmarkStart w:id="346" w:name="_Toc452736007"/>
      <w:bookmarkStart w:id="347" w:name="_Toc452736067"/>
      <w:bookmarkStart w:id="348" w:name="_Toc452739283"/>
      <w:bookmarkStart w:id="349" w:name="_Toc452740465"/>
      <w:bookmarkStart w:id="350" w:name="_Toc452740546"/>
      <w:bookmarkStart w:id="351" w:name="_Toc452740772"/>
      <w:bookmarkStart w:id="352" w:name="_Toc452735885"/>
      <w:bookmarkStart w:id="353" w:name="_Toc452735947"/>
      <w:bookmarkStart w:id="354" w:name="_Toc452736008"/>
      <w:bookmarkStart w:id="355" w:name="_Toc452736068"/>
      <w:bookmarkStart w:id="356" w:name="_Toc452739284"/>
      <w:bookmarkStart w:id="357" w:name="_Toc452740466"/>
      <w:bookmarkStart w:id="358" w:name="_Toc452740547"/>
      <w:bookmarkStart w:id="359" w:name="_Toc452740773"/>
      <w:bookmarkStart w:id="360" w:name="_Toc452735886"/>
      <w:bookmarkStart w:id="361" w:name="_Toc452735948"/>
      <w:bookmarkStart w:id="362" w:name="_Toc452736009"/>
      <w:bookmarkStart w:id="363" w:name="_Toc452736069"/>
      <w:bookmarkStart w:id="364" w:name="_Toc452739285"/>
      <w:bookmarkStart w:id="365" w:name="_Toc452740467"/>
      <w:bookmarkStart w:id="366" w:name="_Toc452740548"/>
      <w:bookmarkStart w:id="367" w:name="_Toc452740774"/>
      <w:bookmarkStart w:id="368" w:name="_Toc452735887"/>
      <w:bookmarkStart w:id="369" w:name="_Toc452735949"/>
      <w:bookmarkStart w:id="370" w:name="_Toc452736010"/>
      <w:bookmarkStart w:id="371" w:name="_Toc452736070"/>
      <w:bookmarkStart w:id="372" w:name="_Toc452739286"/>
      <w:bookmarkStart w:id="373" w:name="_Toc452740468"/>
      <w:bookmarkStart w:id="374" w:name="_Toc452740549"/>
      <w:bookmarkStart w:id="375" w:name="_Toc452740775"/>
      <w:bookmarkStart w:id="376" w:name="_Toc452735888"/>
      <w:bookmarkStart w:id="377" w:name="_Toc452735950"/>
      <w:bookmarkStart w:id="378" w:name="_Toc452736011"/>
      <w:bookmarkStart w:id="379" w:name="_Toc452736071"/>
      <w:bookmarkStart w:id="380" w:name="_Toc452739287"/>
      <w:bookmarkStart w:id="381" w:name="_Toc452740469"/>
      <w:bookmarkStart w:id="382" w:name="_Toc452740550"/>
      <w:bookmarkStart w:id="383" w:name="_Toc452740776"/>
      <w:bookmarkStart w:id="384" w:name="_Toc452735889"/>
      <w:bookmarkStart w:id="385" w:name="_Toc452735951"/>
      <w:bookmarkStart w:id="386" w:name="_Toc452736012"/>
      <w:bookmarkStart w:id="387" w:name="_Toc452736072"/>
      <w:bookmarkStart w:id="388" w:name="_Toc452739288"/>
      <w:bookmarkStart w:id="389" w:name="_Toc452740470"/>
      <w:bookmarkStart w:id="390" w:name="_Toc452740551"/>
      <w:bookmarkStart w:id="391" w:name="_Toc452740777"/>
      <w:bookmarkStart w:id="392" w:name="_Toc295380119"/>
      <w:bookmarkStart w:id="393" w:name="_Toc307817884"/>
      <w:bookmarkStart w:id="394" w:name="_Toc339633755"/>
      <w:bookmarkStart w:id="395" w:name="_Toc339634090"/>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A66C9F">
        <w:rPr>
          <w:lang w:val="fr-FR"/>
        </w:rPr>
        <w:tab/>
      </w:r>
      <w:r w:rsidRPr="00A66C9F">
        <w:rPr>
          <w:lang w:val="fr-FR"/>
        </w:rPr>
        <w:tab/>
        <w:t>Note 16</w:t>
      </w:r>
    </w:p>
    <w:p w14:paraId="351A1A99"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Dépenses d’administration</w:t>
      </w:r>
    </w:p>
    <w:p w14:paraId="457B3C58" w14:textId="77777777" w:rsidR="00744544" w:rsidRPr="00A66C9F" w:rsidRDefault="00744544" w:rsidP="00744544">
      <w:pPr>
        <w:pStyle w:val="SingleTxt"/>
        <w:spacing w:after="0" w:line="120" w:lineRule="exact"/>
        <w:rPr>
          <w:sz w:val="10"/>
          <w:lang w:val="fr-FR"/>
        </w:rPr>
      </w:pPr>
    </w:p>
    <w:bookmarkEnd w:id="392"/>
    <w:bookmarkEnd w:id="393"/>
    <w:bookmarkEnd w:id="394"/>
    <w:bookmarkEnd w:id="395"/>
    <w:p w14:paraId="23C6D0DD" w14:textId="77777777" w:rsidR="00744544" w:rsidRPr="00A66C9F" w:rsidRDefault="00744544" w:rsidP="00753AB8">
      <w:pPr>
        <w:pStyle w:val="SingleTxt"/>
        <w:numPr>
          <w:ilvl w:val="0"/>
          <w:numId w:val="18"/>
        </w:numPr>
        <w:spacing w:line="240" w:lineRule="exact"/>
        <w:rPr>
          <w:szCs w:val="20"/>
          <w:lang w:val="fr-FR"/>
        </w:rPr>
      </w:pPr>
      <w:r w:rsidRPr="00A66C9F">
        <w:rPr>
          <w:lang w:val="fr-FR"/>
        </w:rPr>
        <w:t>On trouvera ci-dessous le récapitulatif des dépenses d’administration engagées en 2019 et 2018.</w:t>
      </w:r>
    </w:p>
    <w:p w14:paraId="1D478069" w14:textId="77777777" w:rsidR="00744544" w:rsidRPr="00A66C9F" w:rsidRDefault="00744544" w:rsidP="00744544">
      <w:pPr>
        <w:pStyle w:val="SingleTxt"/>
        <w:spacing w:after="0" w:line="120" w:lineRule="exact"/>
        <w:rPr>
          <w:sz w:val="10"/>
          <w:lang w:val="fr-FR"/>
        </w:rPr>
      </w:pPr>
    </w:p>
    <w:p w14:paraId="5B15F29E" w14:textId="77777777" w:rsidR="00744544" w:rsidRPr="00A66C9F" w:rsidRDefault="00744544" w:rsidP="0074454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lang w:val="fr-FR"/>
        </w:rPr>
        <w:tab/>
      </w:r>
      <w:r w:rsidRPr="00A66C9F">
        <w:rPr>
          <w:sz w:val="14"/>
          <w:szCs w:val="14"/>
          <w:lang w:val="fr-FR"/>
        </w:rPr>
        <w:tab/>
        <w:t>(En milliers de dollars des États-Unis)</w:t>
      </w:r>
    </w:p>
    <w:p w14:paraId="74097342" w14:textId="77777777" w:rsidR="00744544" w:rsidRPr="00A66C9F" w:rsidRDefault="00744544" w:rsidP="00744544">
      <w:pPr>
        <w:pStyle w:val="SingleTxt"/>
        <w:spacing w:after="0" w:line="120" w:lineRule="exact"/>
        <w:rPr>
          <w:sz w:val="10"/>
          <w:lang w:val="fr-FR"/>
        </w:rPr>
      </w:pPr>
    </w:p>
    <w:p w14:paraId="29979F58" w14:textId="77777777" w:rsidR="00744544" w:rsidRPr="00A66C9F" w:rsidRDefault="00744544" w:rsidP="00744544">
      <w:pPr>
        <w:pStyle w:val="SingleTxt"/>
        <w:spacing w:after="0" w:line="120" w:lineRule="exact"/>
        <w:rPr>
          <w:sz w:val="10"/>
          <w:lang w:val="fr-FR"/>
        </w:rPr>
      </w:pPr>
    </w:p>
    <w:tbl>
      <w:tblPr>
        <w:tblW w:w="7353" w:type="dxa"/>
        <w:tblInd w:w="1260" w:type="dxa"/>
        <w:tblLayout w:type="fixed"/>
        <w:tblCellMar>
          <w:left w:w="0" w:type="dxa"/>
          <w:right w:w="0" w:type="dxa"/>
        </w:tblCellMar>
        <w:tblLook w:val="04A0" w:firstRow="1" w:lastRow="0" w:firstColumn="1" w:lastColumn="0" w:noHBand="0" w:noVBand="1"/>
      </w:tblPr>
      <w:tblGrid>
        <w:gridCol w:w="2907"/>
        <w:gridCol w:w="889"/>
        <w:gridCol w:w="1055"/>
        <w:gridCol w:w="834"/>
        <w:gridCol w:w="834"/>
        <w:gridCol w:w="834"/>
      </w:tblGrid>
      <w:tr w:rsidR="00744544" w:rsidRPr="00A66C9F" w14:paraId="47F66D5A" w14:textId="77777777" w:rsidTr="00107D5D">
        <w:trPr>
          <w:tblHeader/>
        </w:trPr>
        <w:tc>
          <w:tcPr>
            <w:tcW w:w="2907" w:type="dxa"/>
            <w:tcBorders>
              <w:top w:val="single" w:sz="4" w:space="0" w:color="auto"/>
            </w:tcBorders>
            <w:shd w:val="clear" w:color="auto" w:fill="auto"/>
            <w:vAlign w:val="bottom"/>
          </w:tcPr>
          <w:p w14:paraId="38C8A9E4" w14:textId="77777777" w:rsidR="00744544" w:rsidRPr="00A66C9F" w:rsidRDefault="00744544" w:rsidP="00107D5D">
            <w:pPr>
              <w:suppressAutoHyphens/>
              <w:spacing w:before="81" w:after="81" w:line="160" w:lineRule="exact"/>
              <w:ind w:right="40"/>
              <w:rPr>
                <w:i/>
                <w:iCs/>
                <w:sz w:val="14"/>
                <w:lang w:val="fr-FR"/>
              </w:rPr>
            </w:pPr>
          </w:p>
        </w:tc>
        <w:tc>
          <w:tcPr>
            <w:tcW w:w="4446" w:type="dxa"/>
            <w:gridSpan w:val="5"/>
            <w:tcBorders>
              <w:top w:val="single" w:sz="4" w:space="0" w:color="auto"/>
              <w:bottom w:val="single" w:sz="4" w:space="0" w:color="auto"/>
            </w:tcBorders>
            <w:shd w:val="clear" w:color="auto" w:fill="auto"/>
            <w:vAlign w:val="bottom"/>
          </w:tcPr>
          <w:p w14:paraId="052A6F24" w14:textId="77777777" w:rsidR="00744544" w:rsidRPr="00A66C9F" w:rsidRDefault="00744544" w:rsidP="00107D5D">
            <w:pPr>
              <w:suppressAutoHyphens/>
              <w:spacing w:before="81" w:after="81" w:line="160" w:lineRule="exact"/>
              <w:ind w:right="43"/>
              <w:jc w:val="center"/>
              <w:rPr>
                <w:i/>
                <w:iCs/>
                <w:sz w:val="14"/>
                <w:lang w:val="fr-FR"/>
              </w:rPr>
            </w:pPr>
            <w:r w:rsidRPr="00A66C9F">
              <w:rPr>
                <w:i/>
                <w:iCs/>
                <w:sz w:val="14"/>
                <w:lang w:val="fr-FR"/>
              </w:rPr>
              <w:t>2019</w:t>
            </w:r>
          </w:p>
        </w:tc>
      </w:tr>
      <w:tr w:rsidR="00744544" w:rsidRPr="00A66C9F" w14:paraId="5AD00835" w14:textId="77777777" w:rsidTr="00107D5D">
        <w:trPr>
          <w:tblHeader/>
        </w:trPr>
        <w:tc>
          <w:tcPr>
            <w:tcW w:w="2907" w:type="dxa"/>
            <w:tcBorders>
              <w:bottom w:val="single" w:sz="12" w:space="0" w:color="auto"/>
            </w:tcBorders>
            <w:shd w:val="clear" w:color="auto" w:fill="auto"/>
            <w:vAlign w:val="bottom"/>
            <w:hideMark/>
          </w:tcPr>
          <w:p w14:paraId="53CDF527" w14:textId="77777777" w:rsidR="00744544" w:rsidRPr="00A66C9F" w:rsidRDefault="00744544" w:rsidP="00107D5D">
            <w:pPr>
              <w:suppressAutoHyphens/>
              <w:spacing w:before="81" w:after="81" w:line="160" w:lineRule="exact"/>
              <w:ind w:right="40"/>
              <w:rPr>
                <w:i/>
                <w:iCs/>
                <w:sz w:val="14"/>
                <w:lang w:val="fr-FR"/>
              </w:rPr>
            </w:pPr>
          </w:p>
        </w:tc>
        <w:tc>
          <w:tcPr>
            <w:tcW w:w="889" w:type="dxa"/>
            <w:tcBorders>
              <w:top w:val="single" w:sz="4" w:space="0" w:color="auto"/>
              <w:bottom w:val="single" w:sz="12" w:space="0" w:color="auto"/>
            </w:tcBorders>
            <w:shd w:val="clear" w:color="auto" w:fill="auto"/>
            <w:vAlign w:val="bottom"/>
            <w:hideMark/>
          </w:tcPr>
          <w:p w14:paraId="1F42C2BF" w14:textId="77777777" w:rsidR="00744544" w:rsidRPr="00A66C9F" w:rsidRDefault="00744544" w:rsidP="00107D5D">
            <w:pPr>
              <w:suppressAutoHyphens/>
              <w:spacing w:before="81" w:after="81" w:line="160" w:lineRule="exact"/>
              <w:ind w:right="40"/>
              <w:jc w:val="right"/>
              <w:rPr>
                <w:i/>
                <w:iCs/>
                <w:sz w:val="14"/>
                <w:lang w:val="fr-FR"/>
              </w:rPr>
            </w:pPr>
            <w:r w:rsidRPr="00A66C9F">
              <w:rPr>
                <w:i/>
                <w:iCs/>
                <w:sz w:val="14"/>
                <w:lang w:val="fr-FR"/>
              </w:rPr>
              <w:t xml:space="preserve">Secrétariat </w:t>
            </w:r>
            <w:r w:rsidRPr="00A66C9F">
              <w:rPr>
                <w:i/>
                <w:iCs/>
                <w:sz w:val="14"/>
                <w:lang w:val="fr-FR"/>
              </w:rPr>
              <w:br/>
              <w:t>de la Caisse</w:t>
            </w:r>
          </w:p>
        </w:tc>
        <w:tc>
          <w:tcPr>
            <w:tcW w:w="1055" w:type="dxa"/>
            <w:tcBorders>
              <w:top w:val="single" w:sz="4" w:space="0" w:color="auto"/>
              <w:bottom w:val="single" w:sz="12" w:space="0" w:color="auto"/>
            </w:tcBorders>
            <w:shd w:val="clear" w:color="auto" w:fill="auto"/>
            <w:vAlign w:val="bottom"/>
            <w:hideMark/>
          </w:tcPr>
          <w:p w14:paraId="5F35CA3D" w14:textId="77777777" w:rsidR="00744544" w:rsidRPr="00A66C9F" w:rsidRDefault="00744544" w:rsidP="00107D5D">
            <w:pPr>
              <w:suppressAutoHyphens/>
              <w:spacing w:before="81" w:after="81" w:line="160" w:lineRule="exact"/>
              <w:ind w:right="40"/>
              <w:jc w:val="right"/>
              <w:rPr>
                <w:i/>
                <w:iCs/>
                <w:sz w:val="14"/>
                <w:lang w:val="fr-FR"/>
              </w:rPr>
            </w:pPr>
            <w:r w:rsidRPr="00A66C9F">
              <w:rPr>
                <w:i/>
                <w:iCs/>
                <w:sz w:val="14"/>
                <w:lang w:val="fr-FR"/>
              </w:rPr>
              <w:t>Bureau de la gestion des investissements</w:t>
            </w:r>
          </w:p>
        </w:tc>
        <w:tc>
          <w:tcPr>
            <w:tcW w:w="834" w:type="dxa"/>
            <w:tcBorders>
              <w:top w:val="single" w:sz="4" w:space="0" w:color="auto"/>
              <w:bottom w:val="single" w:sz="12" w:space="0" w:color="auto"/>
            </w:tcBorders>
            <w:shd w:val="clear" w:color="auto" w:fill="auto"/>
            <w:vAlign w:val="bottom"/>
            <w:hideMark/>
          </w:tcPr>
          <w:p w14:paraId="2D9C707C" w14:textId="77777777" w:rsidR="00744544" w:rsidRPr="00A66C9F" w:rsidRDefault="00744544" w:rsidP="00107D5D">
            <w:pPr>
              <w:suppressAutoHyphens/>
              <w:spacing w:before="81" w:after="81" w:line="160" w:lineRule="exact"/>
              <w:ind w:right="43"/>
              <w:jc w:val="right"/>
              <w:rPr>
                <w:i/>
                <w:iCs/>
                <w:sz w:val="14"/>
                <w:lang w:val="fr-FR"/>
              </w:rPr>
            </w:pPr>
            <w:r w:rsidRPr="00A66C9F">
              <w:rPr>
                <w:i/>
                <w:iCs/>
                <w:sz w:val="14"/>
                <w:lang w:val="fr-FR"/>
              </w:rPr>
              <w:t>Audit</w:t>
            </w:r>
            <w:r w:rsidRPr="00A66C9F">
              <w:rPr>
                <w:i/>
                <w:sz w:val="14"/>
                <w:lang w:val="fr-FR"/>
              </w:rPr>
              <w:t xml:space="preserve"> </w:t>
            </w:r>
          </w:p>
        </w:tc>
        <w:tc>
          <w:tcPr>
            <w:tcW w:w="834" w:type="dxa"/>
            <w:tcBorders>
              <w:top w:val="single" w:sz="4" w:space="0" w:color="auto"/>
              <w:bottom w:val="single" w:sz="12" w:space="0" w:color="auto"/>
            </w:tcBorders>
            <w:shd w:val="clear" w:color="auto" w:fill="auto"/>
            <w:vAlign w:val="bottom"/>
            <w:hideMark/>
          </w:tcPr>
          <w:p w14:paraId="65941538" w14:textId="77777777" w:rsidR="00744544" w:rsidRPr="00A66C9F" w:rsidRDefault="00744544" w:rsidP="00107D5D">
            <w:pPr>
              <w:suppressAutoHyphens/>
              <w:spacing w:before="81" w:after="81" w:line="160" w:lineRule="exact"/>
              <w:ind w:right="43"/>
              <w:jc w:val="right"/>
              <w:rPr>
                <w:i/>
                <w:iCs/>
                <w:sz w:val="14"/>
                <w:lang w:val="fr-FR"/>
              </w:rPr>
            </w:pPr>
            <w:r w:rsidRPr="00A66C9F">
              <w:rPr>
                <w:i/>
                <w:iCs/>
                <w:sz w:val="14"/>
                <w:lang w:val="fr-FR"/>
              </w:rPr>
              <w:t>Comité mixte</w:t>
            </w:r>
            <w:r w:rsidRPr="00A66C9F">
              <w:rPr>
                <w:i/>
                <w:sz w:val="14"/>
                <w:lang w:val="fr-FR"/>
              </w:rPr>
              <w:t xml:space="preserve"> </w:t>
            </w:r>
          </w:p>
        </w:tc>
        <w:tc>
          <w:tcPr>
            <w:tcW w:w="834" w:type="dxa"/>
            <w:tcBorders>
              <w:top w:val="single" w:sz="4" w:space="0" w:color="auto"/>
              <w:bottom w:val="single" w:sz="12" w:space="0" w:color="auto"/>
            </w:tcBorders>
            <w:shd w:val="clear" w:color="auto" w:fill="auto"/>
            <w:vAlign w:val="bottom"/>
            <w:hideMark/>
          </w:tcPr>
          <w:p w14:paraId="7CFEECD1" w14:textId="77777777" w:rsidR="00744544" w:rsidRPr="00A66C9F" w:rsidRDefault="00744544" w:rsidP="00107D5D">
            <w:pPr>
              <w:suppressAutoHyphens/>
              <w:spacing w:before="81" w:after="81" w:line="160" w:lineRule="exact"/>
              <w:ind w:right="43"/>
              <w:jc w:val="right"/>
              <w:rPr>
                <w:i/>
                <w:iCs/>
                <w:sz w:val="14"/>
                <w:lang w:val="fr-FR"/>
              </w:rPr>
            </w:pPr>
            <w:r w:rsidRPr="00A66C9F">
              <w:rPr>
                <w:i/>
                <w:iCs/>
                <w:sz w:val="14"/>
                <w:lang w:val="fr-FR"/>
              </w:rPr>
              <w:t>Total</w:t>
            </w:r>
          </w:p>
        </w:tc>
      </w:tr>
      <w:tr w:rsidR="00744544" w:rsidRPr="00A66C9F" w14:paraId="3E48D6ED" w14:textId="77777777" w:rsidTr="00107D5D">
        <w:trPr>
          <w:trHeight w:hRule="exact" w:val="115"/>
          <w:tblHeader/>
        </w:trPr>
        <w:tc>
          <w:tcPr>
            <w:tcW w:w="2907" w:type="dxa"/>
            <w:tcBorders>
              <w:top w:val="single" w:sz="12" w:space="0" w:color="auto"/>
            </w:tcBorders>
            <w:shd w:val="clear" w:color="auto" w:fill="auto"/>
            <w:vAlign w:val="bottom"/>
          </w:tcPr>
          <w:p w14:paraId="79D7C3E0" w14:textId="77777777" w:rsidR="00744544" w:rsidRPr="00A66C9F" w:rsidRDefault="00744544" w:rsidP="00107D5D">
            <w:pPr>
              <w:suppressAutoHyphens/>
              <w:spacing w:before="40" w:after="40" w:line="210" w:lineRule="exact"/>
              <w:ind w:right="40"/>
              <w:rPr>
                <w:sz w:val="17"/>
                <w:lang w:val="fr-FR"/>
              </w:rPr>
            </w:pPr>
          </w:p>
        </w:tc>
        <w:tc>
          <w:tcPr>
            <w:tcW w:w="889" w:type="dxa"/>
            <w:tcBorders>
              <w:top w:val="single" w:sz="12" w:space="0" w:color="auto"/>
            </w:tcBorders>
            <w:shd w:val="clear" w:color="auto" w:fill="auto"/>
            <w:vAlign w:val="bottom"/>
          </w:tcPr>
          <w:p w14:paraId="6582546B" w14:textId="77777777" w:rsidR="00744544" w:rsidRPr="00A66C9F" w:rsidRDefault="00744544" w:rsidP="00107D5D">
            <w:pPr>
              <w:suppressAutoHyphens/>
              <w:spacing w:before="40" w:after="40" w:line="210" w:lineRule="exact"/>
              <w:ind w:right="40"/>
              <w:jc w:val="right"/>
              <w:rPr>
                <w:sz w:val="17"/>
                <w:lang w:val="fr-FR"/>
              </w:rPr>
            </w:pPr>
          </w:p>
        </w:tc>
        <w:tc>
          <w:tcPr>
            <w:tcW w:w="1055" w:type="dxa"/>
            <w:tcBorders>
              <w:top w:val="single" w:sz="12" w:space="0" w:color="auto"/>
            </w:tcBorders>
            <w:shd w:val="clear" w:color="auto" w:fill="auto"/>
            <w:vAlign w:val="bottom"/>
          </w:tcPr>
          <w:p w14:paraId="53ED8A60" w14:textId="77777777" w:rsidR="00744544" w:rsidRPr="00A66C9F" w:rsidRDefault="00744544" w:rsidP="00107D5D">
            <w:pPr>
              <w:suppressAutoHyphens/>
              <w:spacing w:before="40" w:after="40" w:line="210" w:lineRule="exact"/>
              <w:ind w:right="40"/>
              <w:jc w:val="right"/>
              <w:rPr>
                <w:sz w:val="17"/>
                <w:lang w:val="fr-FR"/>
              </w:rPr>
            </w:pPr>
          </w:p>
        </w:tc>
        <w:tc>
          <w:tcPr>
            <w:tcW w:w="834" w:type="dxa"/>
            <w:tcBorders>
              <w:top w:val="single" w:sz="12" w:space="0" w:color="auto"/>
            </w:tcBorders>
            <w:shd w:val="clear" w:color="auto" w:fill="auto"/>
            <w:vAlign w:val="bottom"/>
          </w:tcPr>
          <w:p w14:paraId="5AE2683B" w14:textId="77777777" w:rsidR="00744544" w:rsidRPr="00A66C9F" w:rsidRDefault="00744544" w:rsidP="00107D5D">
            <w:pPr>
              <w:suppressAutoHyphens/>
              <w:spacing w:before="40" w:after="40" w:line="210" w:lineRule="exact"/>
              <w:ind w:right="43"/>
              <w:jc w:val="right"/>
              <w:rPr>
                <w:sz w:val="17"/>
                <w:lang w:val="fr-FR"/>
              </w:rPr>
            </w:pPr>
          </w:p>
        </w:tc>
        <w:tc>
          <w:tcPr>
            <w:tcW w:w="834" w:type="dxa"/>
            <w:tcBorders>
              <w:top w:val="single" w:sz="12" w:space="0" w:color="auto"/>
            </w:tcBorders>
            <w:shd w:val="clear" w:color="auto" w:fill="auto"/>
            <w:vAlign w:val="bottom"/>
          </w:tcPr>
          <w:p w14:paraId="3AC573BB" w14:textId="77777777" w:rsidR="00744544" w:rsidRPr="00A66C9F" w:rsidRDefault="00744544" w:rsidP="00107D5D">
            <w:pPr>
              <w:suppressAutoHyphens/>
              <w:spacing w:before="40" w:after="40" w:line="210" w:lineRule="exact"/>
              <w:ind w:right="43"/>
              <w:jc w:val="right"/>
              <w:rPr>
                <w:sz w:val="17"/>
                <w:lang w:val="fr-FR"/>
              </w:rPr>
            </w:pPr>
          </w:p>
        </w:tc>
        <w:tc>
          <w:tcPr>
            <w:tcW w:w="834" w:type="dxa"/>
            <w:tcBorders>
              <w:top w:val="single" w:sz="12" w:space="0" w:color="auto"/>
            </w:tcBorders>
            <w:shd w:val="clear" w:color="auto" w:fill="auto"/>
            <w:vAlign w:val="bottom"/>
          </w:tcPr>
          <w:p w14:paraId="43F58DAC" w14:textId="77777777" w:rsidR="00744544" w:rsidRPr="00A66C9F" w:rsidRDefault="00744544" w:rsidP="00107D5D">
            <w:pPr>
              <w:suppressAutoHyphens/>
              <w:spacing w:before="40" w:after="40" w:line="210" w:lineRule="exact"/>
              <w:ind w:right="43"/>
              <w:jc w:val="right"/>
              <w:rPr>
                <w:sz w:val="17"/>
                <w:lang w:val="fr-FR"/>
              </w:rPr>
            </w:pPr>
          </w:p>
        </w:tc>
      </w:tr>
      <w:tr w:rsidR="00744544" w:rsidRPr="00A66C9F" w14:paraId="22BD7EEE" w14:textId="77777777" w:rsidTr="00107D5D">
        <w:tc>
          <w:tcPr>
            <w:tcW w:w="2907" w:type="dxa"/>
            <w:shd w:val="clear" w:color="auto" w:fill="auto"/>
            <w:vAlign w:val="bottom"/>
            <w:hideMark/>
          </w:tcPr>
          <w:p w14:paraId="0B6A1AF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Postes permanents (hors variation de la valeur de l’engagement au titre de l’assurance maladie après la cessation de service)</w:t>
            </w:r>
          </w:p>
        </w:tc>
        <w:tc>
          <w:tcPr>
            <w:tcW w:w="889" w:type="dxa"/>
            <w:shd w:val="clear" w:color="auto" w:fill="auto"/>
            <w:vAlign w:val="bottom"/>
          </w:tcPr>
          <w:p w14:paraId="0099398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19 660 </w:t>
            </w:r>
          </w:p>
        </w:tc>
        <w:tc>
          <w:tcPr>
            <w:tcW w:w="1055" w:type="dxa"/>
            <w:shd w:val="clear" w:color="auto" w:fill="auto"/>
            <w:vAlign w:val="bottom"/>
          </w:tcPr>
          <w:p w14:paraId="11414BB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14 604 </w:t>
            </w:r>
          </w:p>
        </w:tc>
        <w:tc>
          <w:tcPr>
            <w:tcW w:w="834" w:type="dxa"/>
            <w:shd w:val="clear" w:color="auto" w:fill="auto"/>
            <w:vAlign w:val="bottom"/>
          </w:tcPr>
          <w:p w14:paraId="110334A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 </w:t>
            </w:r>
          </w:p>
        </w:tc>
        <w:tc>
          <w:tcPr>
            <w:tcW w:w="834" w:type="dxa"/>
            <w:shd w:val="clear" w:color="auto" w:fill="auto"/>
            <w:vAlign w:val="bottom"/>
          </w:tcPr>
          <w:p w14:paraId="4307C95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 </w:t>
            </w:r>
          </w:p>
        </w:tc>
        <w:tc>
          <w:tcPr>
            <w:tcW w:w="834" w:type="dxa"/>
            <w:shd w:val="clear" w:color="auto" w:fill="auto"/>
            <w:vAlign w:val="bottom"/>
          </w:tcPr>
          <w:p w14:paraId="1CC3E88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b/>
                <w:sz w:val="17"/>
                <w:szCs w:val="17"/>
                <w:lang w:val="fr-FR"/>
              </w:rPr>
            </w:pPr>
            <w:r w:rsidRPr="00A66C9F">
              <w:rPr>
                <w:sz w:val="17"/>
                <w:lang w:val="fr-FR"/>
              </w:rPr>
              <w:t xml:space="preserve"> 34 264 </w:t>
            </w:r>
          </w:p>
        </w:tc>
      </w:tr>
      <w:tr w:rsidR="00744544" w:rsidRPr="00A66C9F" w14:paraId="79155346" w14:textId="77777777" w:rsidTr="00107D5D">
        <w:tc>
          <w:tcPr>
            <w:tcW w:w="2907" w:type="dxa"/>
            <w:shd w:val="clear" w:color="auto" w:fill="auto"/>
            <w:vAlign w:val="bottom"/>
            <w:hideMark/>
          </w:tcPr>
          <w:p w14:paraId="5ABB472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Variation de la valeur de l’engagement au titre de l’assurance maladie après la cessation de service</w:t>
            </w:r>
          </w:p>
        </w:tc>
        <w:tc>
          <w:tcPr>
            <w:tcW w:w="889" w:type="dxa"/>
            <w:shd w:val="clear" w:color="auto" w:fill="auto"/>
            <w:vAlign w:val="bottom"/>
          </w:tcPr>
          <w:p w14:paraId="5DA5831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9 114 </w:t>
            </w:r>
          </w:p>
        </w:tc>
        <w:tc>
          <w:tcPr>
            <w:tcW w:w="1055" w:type="dxa"/>
            <w:shd w:val="clear" w:color="auto" w:fill="auto"/>
            <w:vAlign w:val="bottom"/>
          </w:tcPr>
          <w:p w14:paraId="31A25CE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3 797 </w:t>
            </w:r>
          </w:p>
        </w:tc>
        <w:tc>
          <w:tcPr>
            <w:tcW w:w="834" w:type="dxa"/>
            <w:shd w:val="clear" w:color="auto" w:fill="auto"/>
            <w:vAlign w:val="bottom"/>
          </w:tcPr>
          <w:p w14:paraId="3CD3AE9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222 </w:t>
            </w:r>
          </w:p>
        </w:tc>
        <w:tc>
          <w:tcPr>
            <w:tcW w:w="834" w:type="dxa"/>
            <w:shd w:val="clear" w:color="auto" w:fill="auto"/>
            <w:vAlign w:val="bottom"/>
          </w:tcPr>
          <w:p w14:paraId="1FDD9D1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 </w:t>
            </w:r>
          </w:p>
        </w:tc>
        <w:tc>
          <w:tcPr>
            <w:tcW w:w="834" w:type="dxa"/>
            <w:shd w:val="clear" w:color="auto" w:fill="auto"/>
            <w:vAlign w:val="bottom"/>
          </w:tcPr>
          <w:p w14:paraId="13DF503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b/>
                <w:sz w:val="17"/>
                <w:szCs w:val="17"/>
                <w:lang w:val="fr-FR"/>
              </w:rPr>
            </w:pPr>
            <w:r w:rsidRPr="00A66C9F">
              <w:rPr>
                <w:sz w:val="17"/>
                <w:lang w:val="fr-FR"/>
              </w:rPr>
              <w:t xml:space="preserve"> 13 133 </w:t>
            </w:r>
          </w:p>
        </w:tc>
      </w:tr>
      <w:tr w:rsidR="00744544" w:rsidRPr="00A66C9F" w14:paraId="7B468CEB" w14:textId="77777777" w:rsidTr="00107D5D">
        <w:tc>
          <w:tcPr>
            <w:tcW w:w="2907" w:type="dxa"/>
            <w:shd w:val="clear" w:color="auto" w:fill="auto"/>
            <w:vAlign w:val="bottom"/>
            <w:hideMark/>
          </w:tcPr>
          <w:p w14:paraId="4228A9F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rPr>
                <w:sz w:val="17"/>
                <w:szCs w:val="17"/>
                <w:lang w:val="fr-FR"/>
              </w:rPr>
            </w:pPr>
            <w:r w:rsidRPr="00A66C9F">
              <w:rPr>
                <w:sz w:val="17"/>
                <w:lang w:val="fr-FR"/>
              </w:rPr>
              <w:t>Autres dépenses de personnel</w:t>
            </w:r>
          </w:p>
        </w:tc>
        <w:tc>
          <w:tcPr>
            <w:tcW w:w="889" w:type="dxa"/>
            <w:shd w:val="clear" w:color="auto" w:fill="auto"/>
            <w:vAlign w:val="bottom"/>
          </w:tcPr>
          <w:p w14:paraId="2D0CC37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4 822 </w:t>
            </w:r>
          </w:p>
        </w:tc>
        <w:tc>
          <w:tcPr>
            <w:tcW w:w="1055" w:type="dxa"/>
            <w:shd w:val="clear" w:color="auto" w:fill="auto"/>
            <w:vAlign w:val="bottom"/>
          </w:tcPr>
          <w:p w14:paraId="5DB4880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2 262 </w:t>
            </w:r>
          </w:p>
        </w:tc>
        <w:tc>
          <w:tcPr>
            <w:tcW w:w="834" w:type="dxa"/>
            <w:shd w:val="clear" w:color="auto" w:fill="auto"/>
            <w:vAlign w:val="bottom"/>
          </w:tcPr>
          <w:p w14:paraId="71D414F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 </w:t>
            </w:r>
          </w:p>
        </w:tc>
        <w:tc>
          <w:tcPr>
            <w:tcW w:w="834" w:type="dxa"/>
            <w:shd w:val="clear" w:color="auto" w:fill="auto"/>
            <w:vAlign w:val="bottom"/>
          </w:tcPr>
          <w:p w14:paraId="7034408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 </w:t>
            </w:r>
          </w:p>
        </w:tc>
        <w:tc>
          <w:tcPr>
            <w:tcW w:w="834" w:type="dxa"/>
            <w:shd w:val="clear" w:color="auto" w:fill="auto"/>
            <w:vAlign w:val="bottom"/>
          </w:tcPr>
          <w:p w14:paraId="1F9D941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b/>
                <w:sz w:val="17"/>
                <w:szCs w:val="17"/>
                <w:lang w:val="fr-FR"/>
              </w:rPr>
            </w:pPr>
            <w:r w:rsidRPr="00A66C9F">
              <w:rPr>
                <w:sz w:val="17"/>
                <w:lang w:val="fr-FR"/>
              </w:rPr>
              <w:t xml:space="preserve"> 7 084 </w:t>
            </w:r>
          </w:p>
        </w:tc>
      </w:tr>
      <w:tr w:rsidR="00744544" w:rsidRPr="00A66C9F" w14:paraId="63E1A486" w14:textId="77777777" w:rsidTr="00107D5D">
        <w:tc>
          <w:tcPr>
            <w:tcW w:w="2907" w:type="dxa"/>
            <w:shd w:val="clear" w:color="auto" w:fill="auto"/>
            <w:vAlign w:val="bottom"/>
            <w:hideMark/>
          </w:tcPr>
          <w:p w14:paraId="5C99026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Dépenses de représentation</w:t>
            </w:r>
          </w:p>
        </w:tc>
        <w:tc>
          <w:tcPr>
            <w:tcW w:w="889" w:type="dxa"/>
            <w:shd w:val="clear" w:color="auto" w:fill="auto"/>
            <w:vAlign w:val="bottom"/>
          </w:tcPr>
          <w:p w14:paraId="74FE7DD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 </w:t>
            </w:r>
          </w:p>
        </w:tc>
        <w:tc>
          <w:tcPr>
            <w:tcW w:w="1055" w:type="dxa"/>
            <w:shd w:val="clear" w:color="auto" w:fill="auto"/>
            <w:vAlign w:val="bottom"/>
          </w:tcPr>
          <w:p w14:paraId="622E791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3 </w:t>
            </w:r>
          </w:p>
        </w:tc>
        <w:tc>
          <w:tcPr>
            <w:tcW w:w="834" w:type="dxa"/>
            <w:shd w:val="clear" w:color="auto" w:fill="auto"/>
            <w:vAlign w:val="bottom"/>
          </w:tcPr>
          <w:p w14:paraId="2BE78AF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 </w:t>
            </w:r>
          </w:p>
        </w:tc>
        <w:tc>
          <w:tcPr>
            <w:tcW w:w="834" w:type="dxa"/>
            <w:shd w:val="clear" w:color="auto" w:fill="auto"/>
            <w:vAlign w:val="bottom"/>
          </w:tcPr>
          <w:p w14:paraId="6CCB275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 </w:t>
            </w:r>
          </w:p>
        </w:tc>
        <w:tc>
          <w:tcPr>
            <w:tcW w:w="834" w:type="dxa"/>
            <w:shd w:val="clear" w:color="auto" w:fill="auto"/>
            <w:vAlign w:val="bottom"/>
          </w:tcPr>
          <w:p w14:paraId="48B1B10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b/>
                <w:sz w:val="17"/>
                <w:szCs w:val="17"/>
                <w:lang w:val="fr-FR"/>
              </w:rPr>
            </w:pPr>
            <w:r w:rsidRPr="00A66C9F">
              <w:rPr>
                <w:sz w:val="17"/>
                <w:lang w:val="fr-FR"/>
              </w:rPr>
              <w:t xml:space="preserve"> 3 </w:t>
            </w:r>
          </w:p>
        </w:tc>
      </w:tr>
      <w:tr w:rsidR="00744544" w:rsidRPr="00A66C9F" w14:paraId="2BBA9C55" w14:textId="77777777" w:rsidTr="00107D5D">
        <w:tc>
          <w:tcPr>
            <w:tcW w:w="2907" w:type="dxa"/>
            <w:shd w:val="clear" w:color="auto" w:fill="auto"/>
            <w:vAlign w:val="bottom"/>
            <w:hideMark/>
          </w:tcPr>
          <w:p w14:paraId="627184F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Consultants</w:t>
            </w:r>
          </w:p>
        </w:tc>
        <w:tc>
          <w:tcPr>
            <w:tcW w:w="889" w:type="dxa"/>
            <w:shd w:val="clear" w:color="auto" w:fill="auto"/>
            <w:vAlign w:val="bottom"/>
          </w:tcPr>
          <w:p w14:paraId="3807D5B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148 </w:t>
            </w:r>
          </w:p>
        </w:tc>
        <w:tc>
          <w:tcPr>
            <w:tcW w:w="1055" w:type="dxa"/>
            <w:shd w:val="clear" w:color="auto" w:fill="auto"/>
            <w:vAlign w:val="bottom"/>
          </w:tcPr>
          <w:p w14:paraId="1F9EDEB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105 </w:t>
            </w:r>
          </w:p>
        </w:tc>
        <w:tc>
          <w:tcPr>
            <w:tcW w:w="834" w:type="dxa"/>
            <w:shd w:val="clear" w:color="auto" w:fill="auto"/>
            <w:vAlign w:val="bottom"/>
          </w:tcPr>
          <w:p w14:paraId="2CD206E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 </w:t>
            </w:r>
          </w:p>
        </w:tc>
        <w:tc>
          <w:tcPr>
            <w:tcW w:w="834" w:type="dxa"/>
            <w:shd w:val="clear" w:color="auto" w:fill="auto"/>
            <w:vAlign w:val="bottom"/>
          </w:tcPr>
          <w:p w14:paraId="105F237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 </w:t>
            </w:r>
          </w:p>
        </w:tc>
        <w:tc>
          <w:tcPr>
            <w:tcW w:w="834" w:type="dxa"/>
            <w:shd w:val="clear" w:color="auto" w:fill="auto"/>
            <w:vAlign w:val="bottom"/>
          </w:tcPr>
          <w:p w14:paraId="2CE0160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b/>
                <w:sz w:val="17"/>
                <w:szCs w:val="17"/>
                <w:lang w:val="fr-FR"/>
              </w:rPr>
            </w:pPr>
            <w:r w:rsidRPr="00A66C9F">
              <w:rPr>
                <w:sz w:val="17"/>
                <w:lang w:val="fr-FR"/>
              </w:rPr>
              <w:t xml:space="preserve"> 253 </w:t>
            </w:r>
          </w:p>
        </w:tc>
      </w:tr>
      <w:tr w:rsidR="00744544" w:rsidRPr="00A66C9F" w14:paraId="03FD75AB" w14:textId="77777777" w:rsidTr="00107D5D">
        <w:tc>
          <w:tcPr>
            <w:tcW w:w="2907" w:type="dxa"/>
            <w:shd w:val="clear" w:color="auto" w:fill="auto"/>
            <w:vAlign w:val="bottom"/>
            <w:hideMark/>
          </w:tcPr>
          <w:p w14:paraId="310C37C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Voyages</w:t>
            </w:r>
          </w:p>
        </w:tc>
        <w:tc>
          <w:tcPr>
            <w:tcW w:w="889" w:type="dxa"/>
            <w:shd w:val="clear" w:color="auto" w:fill="auto"/>
            <w:vAlign w:val="bottom"/>
          </w:tcPr>
          <w:p w14:paraId="3CC4B16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435 </w:t>
            </w:r>
          </w:p>
        </w:tc>
        <w:tc>
          <w:tcPr>
            <w:tcW w:w="1055" w:type="dxa"/>
            <w:shd w:val="clear" w:color="auto" w:fill="auto"/>
            <w:vAlign w:val="bottom"/>
          </w:tcPr>
          <w:p w14:paraId="60D6634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727 </w:t>
            </w:r>
          </w:p>
        </w:tc>
        <w:tc>
          <w:tcPr>
            <w:tcW w:w="834" w:type="dxa"/>
            <w:shd w:val="clear" w:color="auto" w:fill="auto"/>
            <w:vAlign w:val="bottom"/>
          </w:tcPr>
          <w:p w14:paraId="1BAC8B9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 </w:t>
            </w:r>
          </w:p>
        </w:tc>
        <w:tc>
          <w:tcPr>
            <w:tcW w:w="834" w:type="dxa"/>
            <w:shd w:val="clear" w:color="auto" w:fill="auto"/>
            <w:vAlign w:val="bottom"/>
          </w:tcPr>
          <w:p w14:paraId="4573FB0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 </w:t>
            </w:r>
          </w:p>
        </w:tc>
        <w:tc>
          <w:tcPr>
            <w:tcW w:w="834" w:type="dxa"/>
            <w:shd w:val="clear" w:color="auto" w:fill="auto"/>
            <w:vAlign w:val="bottom"/>
          </w:tcPr>
          <w:p w14:paraId="0D72B10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b/>
                <w:sz w:val="17"/>
                <w:szCs w:val="17"/>
                <w:lang w:val="fr-FR"/>
              </w:rPr>
            </w:pPr>
            <w:r w:rsidRPr="00A66C9F">
              <w:rPr>
                <w:sz w:val="17"/>
                <w:lang w:val="fr-FR"/>
              </w:rPr>
              <w:t xml:space="preserve"> 1 162 </w:t>
            </w:r>
          </w:p>
        </w:tc>
      </w:tr>
      <w:tr w:rsidR="00744544" w:rsidRPr="00A66C9F" w14:paraId="1B9B513A" w14:textId="77777777" w:rsidTr="00107D5D">
        <w:tc>
          <w:tcPr>
            <w:tcW w:w="2907" w:type="dxa"/>
            <w:shd w:val="clear" w:color="auto" w:fill="auto"/>
            <w:vAlign w:val="bottom"/>
            <w:hideMark/>
          </w:tcPr>
          <w:p w14:paraId="2D97CFB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Services contractuels</w:t>
            </w:r>
          </w:p>
        </w:tc>
        <w:tc>
          <w:tcPr>
            <w:tcW w:w="889" w:type="dxa"/>
            <w:shd w:val="clear" w:color="auto" w:fill="auto"/>
            <w:vAlign w:val="bottom"/>
          </w:tcPr>
          <w:p w14:paraId="3408EBA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8 781 </w:t>
            </w:r>
          </w:p>
        </w:tc>
        <w:tc>
          <w:tcPr>
            <w:tcW w:w="1055" w:type="dxa"/>
            <w:shd w:val="clear" w:color="auto" w:fill="auto"/>
            <w:vAlign w:val="bottom"/>
          </w:tcPr>
          <w:p w14:paraId="55458B1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17 261 </w:t>
            </w:r>
          </w:p>
        </w:tc>
        <w:tc>
          <w:tcPr>
            <w:tcW w:w="834" w:type="dxa"/>
            <w:shd w:val="clear" w:color="auto" w:fill="auto"/>
            <w:vAlign w:val="bottom"/>
          </w:tcPr>
          <w:p w14:paraId="67F68D6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 </w:t>
            </w:r>
          </w:p>
        </w:tc>
        <w:tc>
          <w:tcPr>
            <w:tcW w:w="834" w:type="dxa"/>
            <w:shd w:val="clear" w:color="auto" w:fill="auto"/>
            <w:vAlign w:val="bottom"/>
          </w:tcPr>
          <w:p w14:paraId="789BBF9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 </w:t>
            </w:r>
          </w:p>
        </w:tc>
        <w:tc>
          <w:tcPr>
            <w:tcW w:w="834" w:type="dxa"/>
            <w:shd w:val="clear" w:color="auto" w:fill="auto"/>
            <w:vAlign w:val="bottom"/>
          </w:tcPr>
          <w:p w14:paraId="0A1325B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b/>
                <w:sz w:val="17"/>
                <w:szCs w:val="17"/>
                <w:lang w:val="fr-FR"/>
              </w:rPr>
            </w:pPr>
            <w:r w:rsidRPr="00A66C9F">
              <w:rPr>
                <w:sz w:val="17"/>
                <w:lang w:val="fr-FR"/>
              </w:rPr>
              <w:t xml:space="preserve"> 26 042 </w:t>
            </w:r>
          </w:p>
        </w:tc>
      </w:tr>
      <w:tr w:rsidR="00744544" w:rsidRPr="00A66C9F" w14:paraId="66F8F52F" w14:textId="77777777" w:rsidTr="00107D5D">
        <w:tc>
          <w:tcPr>
            <w:tcW w:w="2907" w:type="dxa"/>
            <w:shd w:val="clear" w:color="auto" w:fill="auto"/>
            <w:vAlign w:val="bottom"/>
            <w:hideMark/>
          </w:tcPr>
          <w:p w14:paraId="3087CCD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Frais généraux de fonctionnement</w:t>
            </w:r>
          </w:p>
        </w:tc>
        <w:tc>
          <w:tcPr>
            <w:tcW w:w="889" w:type="dxa"/>
            <w:shd w:val="clear" w:color="auto" w:fill="auto"/>
            <w:vAlign w:val="bottom"/>
          </w:tcPr>
          <w:p w14:paraId="64C9A1A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5 612 </w:t>
            </w:r>
          </w:p>
        </w:tc>
        <w:tc>
          <w:tcPr>
            <w:tcW w:w="1055" w:type="dxa"/>
            <w:shd w:val="clear" w:color="auto" w:fill="auto"/>
            <w:vAlign w:val="bottom"/>
          </w:tcPr>
          <w:p w14:paraId="264C60B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740 </w:t>
            </w:r>
          </w:p>
        </w:tc>
        <w:tc>
          <w:tcPr>
            <w:tcW w:w="834" w:type="dxa"/>
            <w:shd w:val="clear" w:color="auto" w:fill="auto"/>
            <w:vAlign w:val="bottom"/>
          </w:tcPr>
          <w:p w14:paraId="5B25F68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 </w:t>
            </w:r>
          </w:p>
        </w:tc>
        <w:tc>
          <w:tcPr>
            <w:tcW w:w="834" w:type="dxa"/>
            <w:shd w:val="clear" w:color="auto" w:fill="auto"/>
            <w:vAlign w:val="bottom"/>
          </w:tcPr>
          <w:p w14:paraId="5A70B5B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 </w:t>
            </w:r>
          </w:p>
        </w:tc>
        <w:tc>
          <w:tcPr>
            <w:tcW w:w="834" w:type="dxa"/>
            <w:shd w:val="clear" w:color="auto" w:fill="auto"/>
            <w:vAlign w:val="bottom"/>
          </w:tcPr>
          <w:p w14:paraId="30F94C8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b/>
                <w:sz w:val="17"/>
                <w:szCs w:val="17"/>
                <w:lang w:val="fr-FR"/>
              </w:rPr>
            </w:pPr>
            <w:r w:rsidRPr="00A66C9F">
              <w:rPr>
                <w:sz w:val="17"/>
                <w:lang w:val="fr-FR"/>
              </w:rPr>
              <w:t xml:space="preserve"> 6 352 </w:t>
            </w:r>
          </w:p>
        </w:tc>
      </w:tr>
      <w:tr w:rsidR="00744544" w:rsidRPr="00A66C9F" w14:paraId="009E5993" w14:textId="77777777" w:rsidTr="00107D5D">
        <w:tc>
          <w:tcPr>
            <w:tcW w:w="2907" w:type="dxa"/>
            <w:shd w:val="clear" w:color="auto" w:fill="auto"/>
            <w:vAlign w:val="bottom"/>
            <w:hideMark/>
          </w:tcPr>
          <w:p w14:paraId="77E303B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Fournitures et accessoires</w:t>
            </w:r>
          </w:p>
        </w:tc>
        <w:tc>
          <w:tcPr>
            <w:tcW w:w="889" w:type="dxa"/>
            <w:shd w:val="clear" w:color="auto" w:fill="auto"/>
            <w:vAlign w:val="bottom"/>
          </w:tcPr>
          <w:p w14:paraId="5B13203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51 </w:t>
            </w:r>
          </w:p>
        </w:tc>
        <w:tc>
          <w:tcPr>
            <w:tcW w:w="1055" w:type="dxa"/>
            <w:shd w:val="clear" w:color="auto" w:fill="auto"/>
            <w:vAlign w:val="bottom"/>
          </w:tcPr>
          <w:p w14:paraId="07C7741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15 </w:t>
            </w:r>
          </w:p>
        </w:tc>
        <w:tc>
          <w:tcPr>
            <w:tcW w:w="834" w:type="dxa"/>
            <w:shd w:val="clear" w:color="auto" w:fill="auto"/>
            <w:vAlign w:val="bottom"/>
          </w:tcPr>
          <w:p w14:paraId="09BD39E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 </w:t>
            </w:r>
          </w:p>
        </w:tc>
        <w:tc>
          <w:tcPr>
            <w:tcW w:w="834" w:type="dxa"/>
            <w:shd w:val="clear" w:color="auto" w:fill="auto"/>
            <w:vAlign w:val="bottom"/>
          </w:tcPr>
          <w:p w14:paraId="3B61FD9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 </w:t>
            </w:r>
          </w:p>
        </w:tc>
        <w:tc>
          <w:tcPr>
            <w:tcW w:w="834" w:type="dxa"/>
            <w:shd w:val="clear" w:color="auto" w:fill="auto"/>
            <w:vAlign w:val="bottom"/>
          </w:tcPr>
          <w:p w14:paraId="394AAB6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b/>
                <w:sz w:val="17"/>
                <w:szCs w:val="17"/>
                <w:lang w:val="fr-FR"/>
              </w:rPr>
            </w:pPr>
            <w:r w:rsidRPr="00A66C9F">
              <w:rPr>
                <w:sz w:val="17"/>
                <w:lang w:val="fr-FR"/>
              </w:rPr>
              <w:t xml:space="preserve"> 66 </w:t>
            </w:r>
          </w:p>
        </w:tc>
      </w:tr>
      <w:tr w:rsidR="00744544" w:rsidRPr="00A66C9F" w14:paraId="7A3B6B58" w14:textId="77777777" w:rsidTr="00107D5D">
        <w:tc>
          <w:tcPr>
            <w:tcW w:w="2907" w:type="dxa"/>
            <w:shd w:val="clear" w:color="auto" w:fill="auto"/>
            <w:vAlign w:val="bottom"/>
            <w:hideMark/>
          </w:tcPr>
          <w:p w14:paraId="55DF16F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Mobilier et matériel</w:t>
            </w:r>
          </w:p>
        </w:tc>
        <w:tc>
          <w:tcPr>
            <w:tcW w:w="889" w:type="dxa"/>
            <w:shd w:val="clear" w:color="auto" w:fill="auto"/>
            <w:vAlign w:val="bottom"/>
          </w:tcPr>
          <w:p w14:paraId="6A82102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805 </w:t>
            </w:r>
          </w:p>
        </w:tc>
        <w:tc>
          <w:tcPr>
            <w:tcW w:w="1055" w:type="dxa"/>
            <w:shd w:val="clear" w:color="auto" w:fill="auto"/>
            <w:vAlign w:val="bottom"/>
          </w:tcPr>
          <w:p w14:paraId="1AB1789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514 </w:t>
            </w:r>
          </w:p>
        </w:tc>
        <w:tc>
          <w:tcPr>
            <w:tcW w:w="834" w:type="dxa"/>
            <w:shd w:val="clear" w:color="auto" w:fill="auto"/>
            <w:vAlign w:val="bottom"/>
          </w:tcPr>
          <w:p w14:paraId="256CE27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 </w:t>
            </w:r>
          </w:p>
        </w:tc>
        <w:tc>
          <w:tcPr>
            <w:tcW w:w="834" w:type="dxa"/>
            <w:shd w:val="clear" w:color="auto" w:fill="auto"/>
            <w:vAlign w:val="bottom"/>
          </w:tcPr>
          <w:p w14:paraId="5D3901B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 </w:t>
            </w:r>
          </w:p>
        </w:tc>
        <w:tc>
          <w:tcPr>
            <w:tcW w:w="834" w:type="dxa"/>
            <w:shd w:val="clear" w:color="auto" w:fill="auto"/>
            <w:vAlign w:val="bottom"/>
          </w:tcPr>
          <w:p w14:paraId="6F03A77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b/>
                <w:sz w:val="17"/>
                <w:szCs w:val="17"/>
                <w:lang w:val="fr-FR"/>
              </w:rPr>
            </w:pPr>
            <w:r w:rsidRPr="00A66C9F">
              <w:rPr>
                <w:sz w:val="17"/>
                <w:lang w:val="fr-FR"/>
              </w:rPr>
              <w:t xml:space="preserve"> 1 319 </w:t>
            </w:r>
          </w:p>
        </w:tc>
      </w:tr>
      <w:tr w:rsidR="00744544" w:rsidRPr="00A66C9F" w14:paraId="4485095F" w14:textId="77777777" w:rsidTr="00107D5D">
        <w:tc>
          <w:tcPr>
            <w:tcW w:w="2907" w:type="dxa"/>
            <w:shd w:val="clear" w:color="auto" w:fill="auto"/>
            <w:vAlign w:val="bottom"/>
            <w:hideMark/>
          </w:tcPr>
          <w:p w14:paraId="5492125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Frais d’audit (hors variation de la valeur de l’engagement au titre de l’assurance maladie après la cessation de service)</w:t>
            </w:r>
          </w:p>
        </w:tc>
        <w:tc>
          <w:tcPr>
            <w:tcW w:w="889" w:type="dxa"/>
            <w:shd w:val="clear" w:color="auto" w:fill="auto"/>
            <w:vAlign w:val="bottom"/>
          </w:tcPr>
          <w:p w14:paraId="02D5974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 </w:t>
            </w:r>
          </w:p>
        </w:tc>
        <w:tc>
          <w:tcPr>
            <w:tcW w:w="1055" w:type="dxa"/>
            <w:shd w:val="clear" w:color="auto" w:fill="auto"/>
            <w:vAlign w:val="bottom"/>
          </w:tcPr>
          <w:p w14:paraId="571A31B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 </w:t>
            </w:r>
          </w:p>
        </w:tc>
        <w:tc>
          <w:tcPr>
            <w:tcW w:w="834" w:type="dxa"/>
            <w:shd w:val="clear" w:color="auto" w:fill="auto"/>
            <w:vAlign w:val="bottom"/>
          </w:tcPr>
          <w:p w14:paraId="22F179D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1 409 </w:t>
            </w:r>
          </w:p>
        </w:tc>
        <w:tc>
          <w:tcPr>
            <w:tcW w:w="834" w:type="dxa"/>
            <w:shd w:val="clear" w:color="auto" w:fill="auto"/>
            <w:vAlign w:val="bottom"/>
          </w:tcPr>
          <w:p w14:paraId="24DD225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 – </w:t>
            </w:r>
          </w:p>
        </w:tc>
        <w:tc>
          <w:tcPr>
            <w:tcW w:w="834" w:type="dxa"/>
            <w:shd w:val="clear" w:color="auto" w:fill="auto"/>
            <w:vAlign w:val="bottom"/>
          </w:tcPr>
          <w:p w14:paraId="527A9A7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b/>
                <w:sz w:val="17"/>
                <w:szCs w:val="17"/>
                <w:lang w:val="fr-FR"/>
              </w:rPr>
            </w:pPr>
            <w:r w:rsidRPr="00A66C9F">
              <w:rPr>
                <w:sz w:val="17"/>
                <w:lang w:val="fr-FR"/>
              </w:rPr>
              <w:t xml:space="preserve"> 1 409 </w:t>
            </w:r>
          </w:p>
        </w:tc>
      </w:tr>
      <w:tr w:rsidR="00744544" w:rsidRPr="00A66C9F" w14:paraId="76C236D7" w14:textId="77777777" w:rsidTr="00107D5D">
        <w:tc>
          <w:tcPr>
            <w:tcW w:w="2907" w:type="dxa"/>
            <w:tcBorders>
              <w:bottom w:val="single" w:sz="4" w:space="0" w:color="auto"/>
            </w:tcBorders>
            <w:shd w:val="clear" w:color="auto" w:fill="auto"/>
            <w:vAlign w:val="bottom"/>
            <w:hideMark/>
          </w:tcPr>
          <w:p w14:paraId="3EC54D31" w14:textId="77777777" w:rsidR="00744544" w:rsidRPr="00A66C9F" w:rsidRDefault="00744544" w:rsidP="00107D5D">
            <w:pPr>
              <w:tabs>
                <w:tab w:val="left" w:pos="288"/>
                <w:tab w:val="left" w:pos="576"/>
                <w:tab w:val="left" w:pos="864"/>
                <w:tab w:val="left" w:pos="1152"/>
              </w:tabs>
              <w:suppressAutoHyphens/>
              <w:spacing w:before="40" w:after="81" w:line="210" w:lineRule="exact"/>
              <w:ind w:right="40"/>
              <w:rPr>
                <w:sz w:val="17"/>
                <w:szCs w:val="17"/>
                <w:lang w:val="fr-FR"/>
              </w:rPr>
            </w:pPr>
            <w:r w:rsidRPr="00A66C9F">
              <w:rPr>
                <w:sz w:val="17"/>
                <w:lang w:val="fr-FR"/>
              </w:rPr>
              <w:lastRenderedPageBreak/>
              <w:t>Dépenses afférentes au Comité mixte</w:t>
            </w:r>
          </w:p>
        </w:tc>
        <w:tc>
          <w:tcPr>
            <w:tcW w:w="889" w:type="dxa"/>
            <w:tcBorders>
              <w:bottom w:val="single" w:sz="4" w:space="0" w:color="auto"/>
            </w:tcBorders>
            <w:shd w:val="clear" w:color="auto" w:fill="auto"/>
            <w:vAlign w:val="bottom"/>
          </w:tcPr>
          <w:p w14:paraId="322F15D0" w14:textId="77777777" w:rsidR="00744544" w:rsidRPr="00A66C9F" w:rsidRDefault="00744544" w:rsidP="00107D5D">
            <w:pPr>
              <w:tabs>
                <w:tab w:val="left" w:pos="288"/>
                <w:tab w:val="left" w:pos="576"/>
                <w:tab w:val="left" w:pos="864"/>
                <w:tab w:val="left" w:pos="1152"/>
              </w:tabs>
              <w:suppressAutoHyphens/>
              <w:spacing w:before="40" w:after="81" w:line="210" w:lineRule="exact"/>
              <w:ind w:right="40"/>
              <w:jc w:val="right"/>
              <w:rPr>
                <w:sz w:val="17"/>
                <w:szCs w:val="17"/>
                <w:lang w:val="fr-FR"/>
              </w:rPr>
            </w:pPr>
            <w:r w:rsidRPr="00A66C9F">
              <w:rPr>
                <w:sz w:val="17"/>
                <w:lang w:val="fr-FR"/>
              </w:rPr>
              <w:t xml:space="preserve"> – </w:t>
            </w:r>
          </w:p>
        </w:tc>
        <w:tc>
          <w:tcPr>
            <w:tcW w:w="1055" w:type="dxa"/>
            <w:tcBorders>
              <w:bottom w:val="single" w:sz="4" w:space="0" w:color="auto"/>
            </w:tcBorders>
            <w:shd w:val="clear" w:color="auto" w:fill="auto"/>
            <w:vAlign w:val="bottom"/>
          </w:tcPr>
          <w:p w14:paraId="53648B34" w14:textId="77777777" w:rsidR="00744544" w:rsidRPr="00A66C9F" w:rsidRDefault="00744544" w:rsidP="00107D5D">
            <w:pPr>
              <w:tabs>
                <w:tab w:val="left" w:pos="288"/>
                <w:tab w:val="left" w:pos="576"/>
                <w:tab w:val="left" w:pos="864"/>
                <w:tab w:val="left" w:pos="1152"/>
              </w:tabs>
              <w:suppressAutoHyphens/>
              <w:spacing w:before="40" w:after="81" w:line="210" w:lineRule="exact"/>
              <w:ind w:right="40"/>
              <w:jc w:val="right"/>
              <w:rPr>
                <w:sz w:val="17"/>
                <w:szCs w:val="17"/>
                <w:lang w:val="fr-FR"/>
              </w:rPr>
            </w:pPr>
            <w:r w:rsidRPr="00A66C9F">
              <w:rPr>
                <w:sz w:val="17"/>
                <w:lang w:val="fr-FR"/>
              </w:rPr>
              <w:t xml:space="preserve"> – </w:t>
            </w:r>
          </w:p>
        </w:tc>
        <w:tc>
          <w:tcPr>
            <w:tcW w:w="834" w:type="dxa"/>
            <w:tcBorders>
              <w:bottom w:val="single" w:sz="4" w:space="0" w:color="auto"/>
            </w:tcBorders>
            <w:shd w:val="clear" w:color="auto" w:fill="auto"/>
            <w:vAlign w:val="bottom"/>
          </w:tcPr>
          <w:p w14:paraId="533D1E09" w14:textId="77777777" w:rsidR="00744544" w:rsidRPr="00A66C9F" w:rsidRDefault="00744544" w:rsidP="00107D5D">
            <w:pPr>
              <w:tabs>
                <w:tab w:val="left" w:pos="288"/>
                <w:tab w:val="left" w:pos="576"/>
                <w:tab w:val="left" w:pos="864"/>
                <w:tab w:val="left" w:pos="1152"/>
              </w:tabs>
              <w:suppressAutoHyphens/>
              <w:spacing w:before="40" w:after="81" w:line="210" w:lineRule="exact"/>
              <w:ind w:right="40"/>
              <w:jc w:val="right"/>
              <w:rPr>
                <w:sz w:val="17"/>
                <w:szCs w:val="17"/>
                <w:lang w:val="fr-FR"/>
              </w:rPr>
            </w:pPr>
            <w:r w:rsidRPr="00A66C9F">
              <w:rPr>
                <w:sz w:val="17"/>
                <w:lang w:val="fr-FR"/>
              </w:rPr>
              <w:t xml:space="preserve"> – </w:t>
            </w:r>
          </w:p>
        </w:tc>
        <w:tc>
          <w:tcPr>
            <w:tcW w:w="834" w:type="dxa"/>
            <w:tcBorders>
              <w:bottom w:val="single" w:sz="4" w:space="0" w:color="auto"/>
            </w:tcBorders>
            <w:shd w:val="clear" w:color="auto" w:fill="auto"/>
            <w:vAlign w:val="bottom"/>
          </w:tcPr>
          <w:p w14:paraId="6AB6186F" w14:textId="77777777" w:rsidR="00744544" w:rsidRPr="00A66C9F" w:rsidRDefault="00744544" w:rsidP="00107D5D">
            <w:pPr>
              <w:tabs>
                <w:tab w:val="left" w:pos="288"/>
                <w:tab w:val="left" w:pos="576"/>
                <w:tab w:val="left" w:pos="864"/>
                <w:tab w:val="left" w:pos="1152"/>
              </w:tabs>
              <w:suppressAutoHyphens/>
              <w:spacing w:before="40" w:after="81" w:line="210" w:lineRule="exact"/>
              <w:ind w:right="40"/>
              <w:jc w:val="right"/>
              <w:rPr>
                <w:sz w:val="17"/>
                <w:szCs w:val="17"/>
                <w:lang w:val="fr-FR"/>
              </w:rPr>
            </w:pPr>
            <w:r w:rsidRPr="00A66C9F">
              <w:rPr>
                <w:sz w:val="17"/>
                <w:lang w:val="fr-FR"/>
              </w:rPr>
              <w:t xml:space="preserve"> 678 </w:t>
            </w:r>
          </w:p>
        </w:tc>
        <w:tc>
          <w:tcPr>
            <w:tcW w:w="834" w:type="dxa"/>
            <w:tcBorders>
              <w:bottom w:val="single" w:sz="4" w:space="0" w:color="auto"/>
            </w:tcBorders>
            <w:shd w:val="clear" w:color="auto" w:fill="auto"/>
            <w:vAlign w:val="bottom"/>
          </w:tcPr>
          <w:p w14:paraId="66D43A01" w14:textId="77777777" w:rsidR="00744544" w:rsidRPr="00A66C9F" w:rsidRDefault="00744544" w:rsidP="00107D5D">
            <w:pPr>
              <w:tabs>
                <w:tab w:val="left" w:pos="288"/>
                <w:tab w:val="left" w:pos="576"/>
                <w:tab w:val="left" w:pos="864"/>
                <w:tab w:val="left" w:pos="1152"/>
              </w:tabs>
              <w:suppressAutoHyphens/>
              <w:spacing w:before="40" w:after="81" w:line="210" w:lineRule="exact"/>
              <w:ind w:right="40"/>
              <w:jc w:val="right"/>
              <w:rPr>
                <w:b/>
                <w:sz w:val="17"/>
                <w:szCs w:val="17"/>
                <w:lang w:val="fr-FR"/>
              </w:rPr>
            </w:pPr>
            <w:r w:rsidRPr="00A66C9F">
              <w:rPr>
                <w:sz w:val="17"/>
                <w:lang w:val="fr-FR"/>
              </w:rPr>
              <w:t xml:space="preserve"> 678 </w:t>
            </w:r>
          </w:p>
        </w:tc>
      </w:tr>
      <w:tr w:rsidR="00744544" w:rsidRPr="00A66C9F" w14:paraId="12D160FB" w14:textId="77777777" w:rsidTr="00107D5D">
        <w:tc>
          <w:tcPr>
            <w:tcW w:w="2907" w:type="dxa"/>
            <w:tcBorders>
              <w:top w:val="single" w:sz="4" w:space="0" w:color="auto"/>
              <w:bottom w:val="single" w:sz="12" w:space="0" w:color="auto"/>
            </w:tcBorders>
            <w:shd w:val="clear" w:color="auto" w:fill="auto"/>
            <w:noWrap/>
            <w:vAlign w:val="bottom"/>
            <w:hideMark/>
          </w:tcPr>
          <w:p w14:paraId="13BEC753"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rPr>
                <w:b/>
                <w:bCs/>
                <w:sz w:val="17"/>
                <w:szCs w:val="17"/>
                <w:lang w:val="fr-FR"/>
              </w:rPr>
            </w:pPr>
            <w:r w:rsidRPr="00A66C9F">
              <w:rPr>
                <w:b/>
                <w:bCs/>
                <w:sz w:val="17"/>
                <w:lang w:val="fr-FR"/>
              </w:rPr>
              <w:tab/>
              <w:t>Total</w:t>
            </w:r>
          </w:p>
        </w:tc>
        <w:tc>
          <w:tcPr>
            <w:tcW w:w="889" w:type="dxa"/>
            <w:tcBorders>
              <w:top w:val="single" w:sz="4" w:space="0" w:color="auto"/>
              <w:bottom w:val="single" w:sz="12" w:space="0" w:color="auto"/>
            </w:tcBorders>
            <w:shd w:val="clear" w:color="auto" w:fill="auto"/>
            <w:vAlign w:val="bottom"/>
          </w:tcPr>
          <w:p w14:paraId="18F18050" w14:textId="77777777" w:rsidR="00744544" w:rsidRPr="00A66C9F" w:rsidRDefault="00744544" w:rsidP="00107D5D">
            <w:pPr>
              <w:tabs>
                <w:tab w:val="left" w:pos="288"/>
                <w:tab w:val="left" w:pos="576"/>
                <w:tab w:val="left" w:pos="864"/>
                <w:tab w:val="left" w:pos="1152"/>
              </w:tabs>
              <w:suppressAutoHyphens/>
              <w:spacing w:before="81" w:after="81" w:line="210" w:lineRule="exact"/>
              <w:ind w:right="40"/>
              <w:jc w:val="right"/>
              <w:rPr>
                <w:b/>
                <w:bCs/>
                <w:sz w:val="17"/>
                <w:szCs w:val="17"/>
                <w:lang w:val="fr-FR"/>
              </w:rPr>
            </w:pPr>
            <w:r w:rsidRPr="00A66C9F">
              <w:rPr>
                <w:b/>
                <w:sz w:val="17"/>
                <w:lang w:val="fr-FR"/>
              </w:rPr>
              <w:t xml:space="preserve"> </w:t>
            </w:r>
            <w:r w:rsidRPr="00A66C9F">
              <w:rPr>
                <w:b/>
                <w:bCs/>
                <w:sz w:val="17"/>
                <w:lang w:val="fr-FR"/>
              </w:rPr>
              <w:t>49 428</w:t>
            </w:r>
            <w:r w:rsidRPr="00A66C9F">
              <w:rPr>
                <w:b/>
                <w:sz w:val="17"/>
                <w:lang w:val="fr-FR"/>
              </w:rPr>
              <w:t xml:space="preserve"> </w:t>
            </w:r>
          </w:p>
        </w:tc>
        <w:tc>
          <w:tcPr>
            <w:tcW w:w="1055" w:type="dxa"/>
            <w:tcBorders>
              <w:top w:val="single" w:sz="4" w:space="0" w:color="auto"/>
              <w:bottom w:val="single" w:sz="12" w:space="0" w:color="auto"/>
            </w:tcBorders>
            <w:shd w:val="clear" w:color="auto" w:fill="auto"/>
            <w:vAlign w:val="bottom"/>
          </w:tcPr>
          <w:p w14:paraId="03D449A5" w14:textId="77777777" w:rsidR="00744544" w:rsidRPr="00A66C9F" w:rsidRDefault="00744544" w:rsidP="00107D5D">
            <w:pPr>
              <w:tabs>
                <w:tab w:val="left" w:pos="288"/>
                <w:tab w:val="left" w:pos="576"/>
                <w:tab w:val="left" w:pos="864"/>
                <w:tab w:val="left" w:pos="1152"/>
              </w:tabs>
              <w:suppressAutoHyphens/>
              <w:spacing w:before="81" w:after="81" w:line="210" w:lineRule="exact"/>
              <w:ind w:right="40"/>
              <w:jc w:val="right"/>
              <w:rPr>
                <w:b/>
                <w:bCs/>
                <w:sz w:val="17"/>
                <w:szCs w:val="17"/>
                <w:lang w:val="fr-FR"/>
              </w:rPr>
            </w:pPr>
            <w:r w:rsidRPr="00A66C9F">
              <w:rPr>
                <w:b/>
                <w:sz w:val="17"/>
                <w:lang w:val="fr-FR"/>
              </w:rPr>
              <w:t xml:space="preserve"> </w:t>
            </w:r>
            <w:r w:rsidRPr="00A66C9F">
              <w:rPr>
                <w:b/>
                <w:bCs/>
                <w:sz w:val="17"/>
                <w:lang w:val="fr-FR"/>
              </w:rPr>
              <w:t>40 028</w:t>
            </w:r>
            <w:r w:rsidRPr="00A66C9F">
              <w:rPr>
                <w:b/>
                <w:sz w:val="17"/>
                <w:lang w:val="fr-FR"/>
              </w:rPr>
              <w:t xml:space="preserve"> </w:t>
            </w:r>
          </w:p>
        </w:tc>
        <w:tc>
          <w:tcPr>
            <w:tcW w:w="834" w:type="dxa"/>
            <w:tcBorders>
              <w:top w:val="single" w:sz="4" w:space="0" w:color="auto"/>
              <w:bottom w:val="single" w:sz="12" w:space="0" w:color="auto"/>
            </w:tcBorders>
            <w:shd w:val="clear" w:color="auto" w:fill="auto"/>
            <w:vAlign w:val="bottom"/>
          </w:tcPr>
          <w:p w14:paraId="0219E47C" w14:textId="77777777" w:rsidR="00744544" w:rsidRPr="00A66C9F" w:rsidRDefault="00744544" w:rsidP="00107D5D">
            <w:pPr>
              <w:tabs>
                <w:tab w:val="left" w:pos="288"/>
                <w:tab w:val="left" w:pos="576"/>
                <w:tab w:val="left" w:pos="864"/>
                <w:tab w:val="left" w:pos="1152"/>
              </w:tabs>
              <w:suppressAutoHyphens/>
              <w:spacing w:before="81" w:after="81" w:line="210" w:lineRule="exact"/>
              <w:ind w:right="40"/>
              <w:jc w:val="right"/>
              <w:rPr>
                <w:b/>
                <w:bCs/>
                <w:sz w:val="17"/>
                <w:szCs w:val="17"/>
                <w:lang w:val="fr-FR"/>
              </w:rPr>
            </w:pPr>
            <w:r w:rsidRPr="00A66C9F">
              <w:rPr>
                <w:b/>
                <w:sz w:val="17"/>
                <w:lang w:val="fr-FR"/>
              </w:rPr>
              <w:t xml:space="preserve"> </w:t>
            </w:r>
            <w:r w:rsidRPr="00A66C9F">
              <w:rPr>
                <w:b/>
                <w:bCs/>
                <w:sz w:val="17"/>
                <w:lang w:val="fr-FR"/>
              </w:rPr>
              <w:t>1 631</w:t>
            </w:r>
            <w:r w:rsidRPr="00A66C9F">
              <w:rPr>
                <w:b/>
                <w:sz w:val="17"/>
                <w:lang w:val="fr-FR"/>
              </w:rPr>
              <w:t xml:space="preserve"> </w:t>
            </w:r>
          </w:p>
        </w:tc>
        <w:tc>
          <w:tcPr>
            <w:tcW w:w="834" w:type="dxa"/>
            <w:tcBorders>
              <w:top w:val="single" w:sz="4" w:space="0" w:color="auto"/>
              <w:bottom w:val="single" w:sz="12" w:space="0" w:color="auto"/>
            </w:tcBorders>
            <w:shd w:val="clear" w:color="auto" w:fill="auto"/>
            <w:vAlign w:val="bottom"/>
          </w:tcPr>
          <w:p w14:paraId="365F1C99" w14:textId="77777777" w:rsidR="00744544" w:rsidRPr="00A66C9F" w:rsidRDefault="00744544" w:rsidP="00107D5D">
            <w:pPr>
              <w:tabs>
                <w:tab w:val="left" w:pos="288"/>
                <w:tab w:val="left" w:pos="576"/>
                <w:tab w:val="left" w:pos="864"/>
                <w:tab w:val="left" w:pos="1152"/>
              </w:tabs>
              <w:suppressAutoHyphens/>
              <w:spacing w:before="81" w:after="81" w:line="210" w:lineRule="exact"/>
              <w:ind w:right="40"/>
              <w:jc w:val="right"/>
              <w:rPr>
                <w:b/>
                <w:bCs/>
                <w:sz w:val="17"/>
                <w:szCs w:val="17"/>
                <w:lang w:val="fr-FR"/>
              </w:rPr>
            </w:pPr>
            <w:r w:rsidRPr="00A66C9F">
              <w:rPr>
                <w:b/>
                <w:sz w:val="17"/>
                <w:lang w:val="fr-FR"/>
              </w:rPr>
              <w:t xml:space="preserve"> </w:t>
            </w:r>
            <w:r w:rsidRPr="00A66C9F">
              <w:rPr>
                <w:b/>
                <w:bCs/>
                <w:sz w:val="17"/>
                <w:lang w:val="fr-FR"/>
              </w:rPr>
              <w:t>678</w:t>
            </w:r>
            <w:r w:rsidRPr="00A66C9F">
              <w:rPr>
                <w:b/>
                <w:sz w:val="17"/>
                <w:lang w:val="fr-FR"/>
              </w:rPr>
              <w:t xml:space="preserve"> </w:t>
            </w:r>
          </w:p>
        </w:tc>
        <w:tc>
          <w:tcPr>
            <w:tcW w:w="834" w:type="dxa"/>
            <w:tcBorders>
              <w:top w:val="single" w:sz="4" w:space="0" w:color="auto"/>
              <w:bottom w:val="single" w:sz="12" w:space="0" w:color="auto"/>
            </w:tcBorders>
            <w:shd w:val="clear" w:color="auto" w:fill="auto"/>
            <w:vAlign w:val="bottom"/>
          </w:tcPr>
          <w:p w14:paraId="79D8F239" w14:textId="77777777" w:rsidR="00744544" w:rsidRPr="00A66C9F" w:rsidRDefault="00744544" w:rsidP="00107D5D">
            <w:pPr>
              <w:tabs>
                <w:tab w:val="left" w:pos="288"/>
                <w:tab w:val="left" w:pos="576"/>
                <w:tab w:val="left" w:pos="864"/>
                <w:tab w:val="left" w:pos="1152"/>
              </w:tabs>
              <w:suppressAutoHyphens/>
              <w:spacing w:before="81" w:after="81" w:line="210" w:lineRule="exact"/>
              <w:ind w:right="40"/>
              <w:jc w:val="right"/>
              <w:rPr>
                <w:b/>
                <w:bCs/>
                <w:sz w:val="17"/>
                <w:szCs w:val="17"/>
                <w:lang w:val="fr-FR"/>
              </w:rPr>
            </w:pPr>
            <w:r w:rsidRPr="00A66C9F">
              <w:rPr>
                <w:b/>
                <w:sz w:val="17"/>
                <w:lang w:val="fr-FR"/>
              </w:rPr>
              <w:t xml:space="preserve"> </w:t>
            </w:r>
            <w:r w:rsidRPr="00A66C9F">
              <w:rPr>
                <w:b/>
                <w:bCs/>
                <w:sz w:val="17"/>
                <w:lang w:val="fr-FR"/>
              </w:rPr>
              <w:t>91 765</w:t>
            </w:r>
            <w:r w:rsidRPr="00A66C9F">
              <w:rPr>
                <w:b/>
                <w:sz w:val="17"/>
                <w:lang w:val="fr-FR"/>
              </w:rPr>
              <w:t xml:space="preserve"> </w:t>
            </w:r>
          </w:p>
        </w:tc>
      </w:tr>
    </w:tbl>
    <w:p w14:paraId="058242CC" w14:textId="77777777" w:rsidR="00744544" w:rsidRPr="00A66C9F" w:rsidRDefault="00744544" w:rsidP="00744544">
      <w:pPr>
        <w:pStyle w:val="SingleTxt"/>
        <w:spacing w:after="0" w:line="120" w:lineRule="exact"/>
        <w:rPr>
          <w:sz w:val="10"/>
          <w:lang w:val="fr-FR"/>
        </w:rPr>
      </w:pPr>
    </w:p>
    <w:p w14:paraId="714935C4" w14:textId="77777777" w:rsidR="00744544" w:rsidRPr="00A66C9F" w:rsidRDefault="00744544" w:rsidP="00744544">
      <w:pPr>
        <w:pStyle w:val="SingleTxt"/>
        <w:spacing w:after="0" w:line="120" w:lineRule="exact"/>
        <w:rPr>
          <w:sz w:val="10"/>
          <w:lang w:val="fr-FR"/>
        </w:rPr>
      </w:pPr>
    </w:p>
    <w:p w14:paraId="20A0A01C" w14:textId="77777777" w:rsidR="00744544" w:rsidRPr="00A66C9F" w:rsidRDefault="00744544" w:rsidP="00744544">
      <w:pPr>
        <w:pStyle w:val="SingleTxt"/>
        <w:spacing w:after="0" w:line="120" w:lineRule="exact"/>
        <w:rPr>
          <w:sz w:val="10"/>
          <w:lang w:val="fr-FR"/>
        </w:rPr>
      </w:pPr>
    </w:p>
    <w:p w14:paraId="4D2B080B" w14:textId="77777777" w:rsidR="00744544" w:rsidRPr="00A66C9F" w:rsidRDefault="00744544" w:rsidP="0074454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lang w:val="fr-FR"/>
        </w:rPr>
        <w:tab/>
      </w:r>
      <w:r w:rsidRPr="00A66C9F">
        <w:rPr>
          <w:lang w:val="fr-FR"/>
        </w:rPr>
        <w:tab/>
      </w:r>
      <w:r w:rsidRPr="00A66C9F">
        <w:rPr>
          <w:sz w:val="14"/>
          <w:szCs w:val="14"/>
          <w:lang w:val="fr-FR"/>
        </w:rPr>
        <w:t>(En milliers de dollars des États-Unis)</w:t>
      </w:r>
    </w:p>
    <w:p w14:paraId="06E07ED8" w14:textId="77777777" w:rsidR="00744544" w:rsidRPr="00A66C9F" w:rsidRDefault="00744544" w:rsidP="00744544">
      <w:pPr>
        <w:pStyle w:val="SingleTxt"/>
        <w:spacing w:after="0" w:line="120" w:lineRule="exact"/>
        <w:rPr>
          <w:sz w:val="10"/>
          <w:lang w:val="fr-FR"/>
        </w:rPr>
      </w:pPr>
    </w:p>
    <w:p w14:paraId="6D6EC6B5" w14:textId="77777777" w:rsidR="00744544" w:rsidRPr="00A66C9F" w:rsidRDefault="00744544" w:rsidP="00744544">
      <w:pPr>
        <w:pStyle w:val="SingleTxt"/>
        <w:spacing w:after="0" w:line="120" w:lineRule="exact"/>
        <w:rPr>
          <w:sz w:val="10"/>
          <w:lang w:val="fr-FR"/>
        </w:rPr>
      </w:pPr>
    </w:p>
    <w:tbl>
      <w:tblPr>
        <w:tblW w:w="7353" w:type="dxa"/>
        <w:tblInd w:w="1260" w:type="dxa"/>
        <w:tblLayout w:type="fixed"/>
        <w:tblCellMar>
          <w:left w:w="0" w:type="dxa"/>
          <w:right w:w="0" w:type="dxa"/>
        </w:tblCellMar>
        <w:tblLook w:val="04A0" w:firstRow="1" w:lastRow="0" w:firstColumn="1" w:lastColumn="0" w:noHBand="0" w:noVBand="1"/>
      </w:tblPr>
      <w:tblGrid>
        <w:gridCol w:w="6"/>
        <w:gridCol w:w="2898"/>
        <w:gridCol w:w="889"/>
        <w:gridCol w:w="1046"/>
        <w:gridCol w:w="9"/>
        <w:gridCol w:w="828"/>
        <w:gridCol w:w="6"/>
        <w:gridCol w:w="834"/>
        <w:gridCol w:w="837"/>
      </w:tblGrid>
      <w:tr w:rsidR="00744544" w:rsidRPr="00A66C9F" w14:paraId="6FF274B0" w14:textId="77777777" w:rsidTr="00107D5D">
        <w:trPr>
          <w:gridBefore w:val="1"/>
          <w:wBefore w:w="7" w:type="dxa"/>
          <w:trHeight w:val="70"/>
          <w:tblHeader/>
        </w:trPr>
        <w:tc>
          <w:tcPr>
            <w:tcW w:w="2900" w:type="dxa"/>
            <w:tcBorders>
              <w:top w:val="single" w:sz="4" w:space="0" w:color="auto"/>
            </w:tcBorders>
            <w:shd w:val="clear" w:color="auto" w:fill="auto"/>
            <w:vAlign w:val="bottom"/>
          </w:tcPr>
          <w:p w14:paraId="4DCA0E55" w14:textId="77777777" w:rsidR="00744544" w:rsidRPr="00A66C9F" w:rsidRDefault="00744544" w:rsidP="00107D5D">
            <w:pPr>
              <w:suppressAutoHyphens/>
              <w:spacing w:before="81" w:after="81" w:line="160" w:lineRule="exact"/>
              <w:ind w:right="43"/>
              <w:rPr>
                <w:i/>
                <w:sz w:val="14"/>
                <w:lang w:val="fr-FR"/>
              </w:rPr>
            </w:pPr>
          </w:p>
        </w:tc>
        <w:tc>
          <w:tcPr>
            <w:tcW w:w="4446" w:type="dxa"/>
            <w:gridSpan w:val="7"/>
            <w:tcBorders>
              <w:top w:val="single" w:sz="4" w:space="0" w:color="auto"/>
              <w:bottom w:val="single" w:sz="4" w:space="0" w:color="auto"/>
            </w:tcBorders>
            <w:shd w:val="clear" w:color="auto" w:fill="auto"/>
            <w:vAlign w:val="bottom"/>
          </w:tcPr>
          <w:p w14:paraId="5B94A107" w14:textId="77777777" w:rsidR="00744544" w:rsidRPr="00A66C9F" w:rsidRDefault="00744544" w:rsidP="00107D5D">
            <w:pPr>
              <w:suppressAutoHyphens/>
              <w:spacing w:before="81" w:after="81" w:line="160" w:lineRule="exact"/>
              <w:ind w:right="43"/>
              <w:jc w:val="center"/>
              <w:rPr>
                <w:i/>
                <w:sz w:val="14"/>
                <w:lang w:val="fr-FR"/>
              </w:rPr>
            </w:pPr>
            <w:r w:rsidRPr="00A66C9F">
              <w:rPr>
                <w:i/>
                <w:sz w:val="14"/>
                <w:lang w:val="fr-FR"/>
              </w:rPr>
              <w:t>2018</w:t>
            </w:r>
          </w:p>
        </w:tc>
      </w:tr>
      <w:tr w:rsidR="00744544" w:rsidRPr="00A66C9F" w14:paraId="3C08DE97" w14:textId="77777777" w:rsidTr="00107D5D">
        <w:trPr>
          <w:gridBefore w:val="1"/>
          <w:wBefore w:w="7" w:type="dxa"/>
          <w:trHeight w:val="630"/>
          <w:tblHeader/>
        </w:trPr>
        <w:tc>
          <w:tcPr>
            <w:tcW w:w="2900" w:type="dxa"/>
            <w:tcBorders>
              <w:bottom w:val="single" w:sz="12" w:space="0" w:color="auto"/>
            </w:tcBorders>
            <w:shd w:val="clear" w:color="auto" w:fill="auto"/>
            <w:vAlign w:val="bottom"/>
            <w:hideMark/>
          </w:tcPr>
          <w:p w14:paraId="43737A66" w14:textId="77777777" w:rsidR="00744544" w:rsidRPr="00A66C9F" w:rsidRDefault="00744544" w:rsidP="00107D5D">
            <w:pPr>
              <w:suppressAutoHyphens/>
              <w:spacing w:before="81" w:after="81" w:line="160" w:lineRule="exact"/>
              <w:ind w:right="43"/>
              <w:rPr>
                <w:i/>
                <w:sz w:val="14"/>
                <w:lang w:val="fr-FR"/>
              </w:rPr>
            </w:pPr>
          </w:p>
        </w:tc>
        <w:tc>
          <w:tcPr>
            <w:tcW w:w="889" w:type="dxa"/>
            <w:tcBorders>
              <w:bottom w:val="single" w:sz="12" w:space="0" w:color="auto"/>
            </w:tcBorders>
            <w:shd w:val="clear" w:color="auto" w:fill="auto"/>
            <w:vAlign w:val="bottom"/>
            <w:hideMark/>
          </w:tcPr>
          <w:p w14:paraId="402B7BA3"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 xml:space="preserve">Secrétariat </w:t>
            </w:r>
            <w:r w:rsidRPr="00A66C9F">
              <w:rPr>
                <w:i/>
                <w:sz w:val="14"/>
                <w:lang w:val="fr-FR"/>
              </w:rPr>
              <w:br/>
              <w:t>de la Caisse</w:t>
            </w:r>
          </w:p>
        </w:tc>
        <w:tc>
          <w:tcPr>
            <w:tcW w:w="1046" w:type="dxa"/>
            <w:tcBorders>
              <w:bottom w:val="single" w:sz="12" w:space="0" w:color="auto"/>
            </w:tcBorders>
            <w:shd w:val="clear" w:color="auto" w:fill="auto"/>
            <w:vAlign w:val="bottom"/>
            <w:hideMark/>
          </w:tcPr>
          <w:p w14:paraId="5F32FB39"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Bureau de la gestion des investissements</w:t>
            </w:r>
          </w:p>
        </w:tc>
        <w:tc>
          <w:tcPr>
            <w:tcW w:w="837" w:type="dxa"/>
            <w:gridSpan w:val="2"/>
            <w:tcBorders>
              <w:bottom w:val="single" w:sz="12" w:space="0" w:color="auto"/>
            </w:tcBorders>
            <w:shd w:val="clear" w:color="auto" w:fill="auto"/>
            <w:vAlign w:val="bottom"/>
            <w:hideMark/>
          </w:tcPr>
          <w:p w14:paraId="41DC9FD6"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 xml:space="preserve">Audit </w:t>
            </w:r>
          </w:p>
        </w:tc>
        <w:tc>
          <w:tcPr>
            <w:tcW w:w="837" w:type="dxa"/>
            <w:gridSpan w:val="2"/>
            <w:tcBorders>
              <w:bottom w:val="single" w:sz="12" w:space="0" w:color="auto"/>
            </w:tcBorders>
            <w:shd w:val="clear" w:color="auto" w:fill="auto"/>
            <w:vAlign w:val="bottom"/>
            <w:hideMark/>
          </w:tcPr>
          <w:p w14:paraId="47EC9E52"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 xml:space="preserve">Comité mixte </w:t>
            </w:r>
          </w:p>
        </w:tc>
        <w:tc>
          <w:tcPr>
            <w:tcW w:w="837" w:type="dxa"/>
            <w:tcBorders>
              <w:bottom w:val="single" w:sz="12" w:space="0" w:color="auto"/>
            </w:tcBorders>
            <w:shd w:val="clear" w:color="auto" w:fill="auto"/>
            <w:vAlign w:val="bottom"/>
            <w:hideMark/>
          </w:tcPr>
          <w:p w14:paraId="5B8297DD"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Total</w:t>
            </w:r>
          </w:p>
        </w:tc>
      </w:tr>
      <w:tr w:rsidR="00744544" w:rsidRPr="00A66C9F" w14:paraId="0C2EB845" w14:textId="77777777" w:rsidTr="00107D5D">
        <w:trPr>
          <w:trHeight w:hRule="exact" w:val="115"/>
          <w:tblHeader/>
        </w:trPr>
        <w:tc>
          <w:tcPr>
            <w:tcW w:w="2907" w:type="dxa"/>
            <w:gridSpan w:val="2"/>
            <w:tcBorders>
              <w:top w:val="single" w:sz="12" w:space="0" w:color="auto"/>
            </w:tcBorders>
            <w:shd w:val="clear" w:color="auto" w:fill="auto"/>
            <w:vAlign w:val="bottom"/>
          </w:tcPr>
          <w:p w14:paraId="3B501083" w14:textId="77777777" w:rsidR="00744544" w:rsidRPr="00A66C9F" w:rsidRDefault="00744544" w:rsidP="00107D5D">
            <w:pPr>
              <w:suppressAutoHyphens/>
              <w:spacing w:before="40" w:after="40" w:line="210" w:lineRule="exact"/>
              <w:ind w:right="40"/>
              <w:rPr>
                <w:sz w:val="17"/>
                <w:lang w:val="fr-FR"/>
              </w:rPr>
            </w:pPr>
          </w:p>
        </w:tc>
        <w:tc>
          <w:tcPr>
            <w:tcW w:w="889" w:type="dxa"/>
            <w:tcBorders>
              <w:top w:val="single" w:sz="12" w:space="0" w:color="auto"/>
            </w:tcBorders>
            <w:shd w:val="clear" w:color="auto" w:fill="auto"/>
            <w:vAlign w:val="bottom"/>
          </w:tcPr>
          <w:p w14:paraId="09963A46" w14:textId="77777777" w:rsidR="00744544" w:rsidRPr="00A66C9F" w:rsidRDefault="00744544" w:rsidP="00107D5D">
            <w:pPr>
              <w:suppressAutoHyphens/>
              <w:spacing w:before="40" w:after="40" w:line="210" w:lineRule="exact"/>
              <w:ind w:right="40"/>
              <w:jc w:val="right"/>
              <w:rPr>
                <w:sz w:val="17"/>
                <w:lang w:val="fr-FR"/>
              </w:rPr>
            </w:pPr>
          </w:p>
        </w:tc>
        <w:tc>
          <w:tcPr>
            <w:tcW w:w="1055" w:type="dxa"/>
            <w:gridSpan w:val="2"/>
            <w:tcBorders>
              <w:top w:val="single" w:sz="12" w:space="0" w:color="auto"/>
            </w:tcBorders>
            <w:shd w:val="clear" w:color="auto" w:fill="auto"/>
            <w:vAlign w:val="bottom"/>
          </w:tcPr>
          <w:p w14:paraId="63464A3F" w14:textId="77777777" w:rsidR="00744544" w:rsidRPr="00A66C9F" w:rsidRDefault="00744544" w:rsidP="00107D5D">
            <w:pPr>
              <w:suppressAutoHyphens/>
              <w:spacing w:before="40" w:after="40" w:line="210" w:lineRule="exact"/>
              <w:ind w:right="40"/>
              <w:jc w:val="right"/>
              <w:rPr>
                <w:sz w:val="17"/>
                <w:lang w:val="fr-FR"/>
              </w:rPr>
            </w:pPr>
          </w:p>
        </w:tc>
        <w:tc>
          <w:tcPr>
            <w:tcW w:w="834" w:type="dxa"/>
            <w:gridSpan w:val="2"/>
            <w:tcBorders>
              <w:top w:val="single" w:sz="12" w:space="0" w:color="auto"/>
            </w:tcBorders>
            <w:shd w:val="clear" w:color="auto" w:fill="auto"/>
            <w:vAlign w:val="bottom"/>
          </w:tcPr>
          <w:p w14:paraId="1A9B4348" w14:textId="77777777" w:rsidR="00744544" w:rsidRPr="00A66C9F" w:rsidRDefault="00744544" w:rsidP="00107D5D">
            <w:pPr>
              <w:suppressAutoHyphens/>
              <w:spacing w:before="40" w:after="40" w:line="210" w:lineRule="exact"/>
              <w:ind w:right="43"/>
              <w:jc w:val="right"/>
              <w:rPr>
                <w:sz w:val="17"/>
                <w:lang w:val="fr-FR"/>
              </w:rPr>
            </w:pPr>
          </w:p>
        </w:tc>
        <w:tc>
          <w:tcPr>
            <w:tcW w:w="834" w:type="dxa"/>
            <w:tcBorders>
              <w:top w:val="single" w:sz="12" w:space="0" w:color="auto"/>
            </w:tcBorders>
            <w:shd w:val="clear" w:color="auto" w:fill="auto"/>
            <w:vAlign w:val="bottom"/>
          </w:tcPr>
          <w:p w14:paraId="5170E650" w14:textId="77777777" w:rsidR="00744544" w:rsidRPr="00A66C9F" w:rsidRDefault="00744544" w:rsidP="00107D5D">
            <w:pPr>
              <w:suppressAutoHyphens/>
              <w:spacing w:before="40" w:after="40" w:line="210" w:lineRule="exact"/>
              <w:ind w:right="43"/>
              <w:jc w:val="right"/>
              <w:rPr>
                <w:sz w:val="17"/>
                <w:lang w:val="fr-FR"/>
              </w:rPr>
            </w:pPr>
          </w:p>
        </w:tc>
        <w:tc>
          <w:tcPr>
            <w:tcW w:w="834" w:type="dxa"/>
            <w:tcBorders>
              <w:top w:val="single" w:sz="12" w:space="0" w:color="auto"/>
            </w:tcBorders>
            <w:shd w:val="clear" w:color="auto" w:fill="auto"/>
            <w:vAlign w:val="bottom"/>
          </w:tcPr>
          <w:p w14:paraId="73407E00" w14:textId="77777777" w:rsidR="00744544" w:rsidRPr="00A66C9F" w:rsidRDefault="00744544" w:rsidP="00107D5D">
            <w:pPr>
              <w:suppressAutoHyphens/>
              <w:spacing w:before="40" w:after="40" w:line="210" w:lineRule="exact"/>
              <w:ind w:right="43"/>
              <w:jc w:val="right"/>
              <w:rPr>
                <w:sz w:val="17"/>
                <w:lang w:val="fr-FR"/>
              </w:rPr>
            </w:pPr>
          </w:p>
        </w:tc>
      </w:tr>
      <w:tr w:rsidR="00744544" w:rsidRPr="00A66C9F" w14:paraId="052E6BEA" w14:textId="77777777" w:rsidTr="00107D5D">
        <w:trPr>
          <w:gridBefore w:val="1"/>
          <w:wBefore w:w="7" w:type="dxa"/>
          <w:tblHeader/>
        </w:trPr>
        <w:tc>
          <w:tcPr>
            <w:tcW w:w="2900" w:type="dxa"/>
            <w:shd w:val="clear" w:color="auto" w:fill="auto"/>
            <w:vAlign w:val="bottom"/>
          </w:tcPr>
          <w:p w14:paraId="775FE2B0" w14:textId="77777777" w:rsidR="00744544" w:rsidRPr="00A66C9F" w:rsidRDefault="00744544" w:rsidP="00107D5D">
            <w:pPr>
              <w:suppressAutoHyphens/>
              <w:spacing w:before="40" w:after="40" w:line="210" w:lineRule="exact"/>
              <w:ind w:right="40"/>
              <w:rPr>
                <w:sz w:val="17"/>
                <w:szCs w:val="17"/>
                <w:lang w:val="fr-FR"/>
              </w:rPr>
            </w:pPr>
            <w:r w:rsidRPr="00A66C9F">
              <w:rPr>
                <w:sz w:val="17"/>
                <w:szCs w:val="17"/>
                <w:lang w:val="fr-FR"/>
              </w:rPr>
              <w:t>Postes permanents (hors variation de la valeur de l’engagement au titre de l’assurance maladie après la cessation de service)</w:t>
            </w:r>
          </w:p>
        </w:tc>
        <w:tc>
          <w:tcPr>
            <w:tcW w:w="889" w:type="dxa"/>
            <w:shd w:val="clear" w:color="auto" w:fill="auto"/>
            <w:vAlign w:val="bottom"/>
          </w:tcPr>
          <w:p w14:paraId="34887FE9"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15 727 </w:t>
            </w:r>
          </w:p>
        </w:tc>
        <w:tc>
          <w:tcPr>
            <w:tcW w:w="1046" w:type="dxa"/>
            <w:shd w:val="clear" w:color="auto" w:fill="auto"/>
            <w:vAlign w:val="bottom"/>
          </w:tcPr>
          <w:p w14:paraId="739FDECA"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12 902 </w:t>
            </w:r>
          </w:p>
        </w:tc>
        <w:tc>
          <w:tcPr>
            <w:tcW w:w="837" w:type="dxa"/>
            <w:gridSpan w:val="2"/>
            <w:shd w:val="clear" w:color="auto" w:fill="auto"/>
            <w:vAlign w:val="bottom"/>
          </w:tcPr>
          <w:p w14:paraId="5732E0B8"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 </w:t>
            </w:r>
          </w:p>
        </w:tc>
        <w:tc>
          <w:tcPr>
            <w:tcW w:w="837" w:type="dxa"/>
            <w:gridSpan w:val="2"/>
            <w:shd w:val="clear" w:color="auto" w:fill="auto"/>
            <w:vAlign w:val="bottom"/>
          </w:tcPr>
          <w:p w14:paraId="55E3DE11"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 </w:t>
            </w:r>
          </w:p>
        </w:tc>
        <w:tc>
          <w:tcPr>
            <w:tcW w:w="837" w:type="dxa"/>
            <w:shd w:val="clear" w:color="auto" w:fill="auto"/>
            <w:vAlign w:val="bottom"/>
          </w:tcPr>
          <w:p w14:paraId="21CB093F"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28 629 </w:t>
            </w:r>
          </w:p>
        </w:tc>
      </w:tr>
      <w:tr w:rsidR="00744544" w:rsidRPr="00A66C9F" w14:paraId="24D77C6C" w14:textId="77777777" w:rsidTr="00107D5D">
        <w:trPr>
          <w:gridBefore w:val="1"/>
          <w:wBefore w:w="7" w:type="dxa"/>
        </w:trPr>
        <w:tc>
          <w:tcPr>
            <w:tcW w:w="2900" w:type="dxa"/>
            <w:shd w:val="clear" w:color="auto" w:fill="auto"/>
            <w:vAlign w:val="bottom"/>
          </w:tcPr>
          <w:p w14:paraId="60EEA20F" w14:textId="77777777" w:rsidR="00744544" w:rsidRPr="00A66C9F" w:rsidRDefault="00744544" w:rsidP="00107D5D">
            <w:pPr>
              <w:suppressAutoHyphens/>
              <w:spacing w:before="40" w:after="40" w:line="210" w:lineRule="exact"/>
              <w:ind w:right="40"/>
              <w:rPr>
                <w:sz w:val="17"/>
                <w:szCs w:val="17"/>
                <w:lang w:val="fr-FR"/>
              </w:rPr>
            </w:pPr>
            <w:r w:rsidRPr="00A66C9F">
              <w:rPr>
                <w:sz w:val="17"/>
                <w:szCs w:val="17"/>
                <w:lang w:val="fr-FR"/>
              </w:rPr>
              <w:t>Variation de la valeur de l’engagement au titre de l’assurance maladie après la cessation de service</w:t>
            </w:r>
          </w:p>
        </w:tc>
        <w:tc>
          <w:tcPr>
            <w:tcW w:w="889" w:type="dxa"/>
            <w:shd w:val="clear" w:color="auto" w:fill="auto"/>
            <w:vAlign w:val="bottom"/>
          </w:tcPr>
          <w:p w14:paraId="3DCC002D"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(4 548)</w:t>
            </w:r>
          </w:p>
        </w:tc>
        <w:tc>
          <w:tcPr>
            <w:tcW w:w="1046" w:type="dxa"/>
            <w:shd w:val="clear" w:color="auto" w:fill="auto"/>
            <w:vAlign w:val="bottom"/>
          </w:tcPr>
          <w:p w14:paraId="562F994F"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(1 469)</w:t>
            </w:r>
          </w:p>
        </w:tc>
        <w:tc>
          <w:tcPr>
            <w:tcW w:w="837" w:type="dxa"/>
            <w:gridSpan w:val="2"/>
            <w:shd w:val="clear" w:color="auto" w:fill="auto"/>
            <w:vAlign w:val="bottom"/>
          </w:tcPr>
          <w:p w14:paraId="7B19592B"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(106)</w:t>
            </w:r>
          </w:p>
        </w:tc>
        <w:tc>
          <w:tcPr>
            <w:tcW w:w="837" w:type="dxa"/>
            <w:gridSpan w:val="2"/>
            <w:shd w:val="clear" w:color="auto" w:fill="auto"/>
            <w:vAlign w:val="bottom"/>
          </w:tcPr>
          <w:p w14:paraId="167EAEED"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 </w:t>
            </w:r>
          </w:p>
        </w:tc>
        <w:tc>
          <w:tcPr>
            <w:tcW w:w="837" w:type="dxa"/>
            <w:shd w:val="clear" w:color="auto" w:fill="auto"/>
            <w:vAlign w:val="bottom"/>
          </w:tcPr>
          <w:p w14:paraId="15096795"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(6 123)</w:t>
            </w:r>
          </w:p>
        </w:tc>
      </w:tr>
      <w:tr w:rsidR="00744544" w:rsidRPr="00A66C9F" w14:paraId="6582C5FE" w14:textId="77777777" w:rsidTr="00107D5D">
        <w:trPr>
          <w:gridBefore w:val="1"/>
          <w:wBefore w:w="7" w:type="dxa"/>
        </w:trPr>
        <w:tc>
          <w:tcPr>
            <w:tcW w:w="2900" w:type="dxa"/>
            <w:shd w:val="clear" w:color="auto" w:fill="auto"/>
            <w:vAlign w:val="bottom"/>
          </w:tcPr>
          <w:p w14:paraId="79CD0509" w14:textId="77777777" w:rsidR="00744544" w:rsidRPr="00A66C9F" w:rsidRDefault="00744544" w:rsidP="00107D5D">
            <w:pPr>
              <w:suppressAutoHyphens/>
              <w:spacing w:before="40" w:after="40" w:line="210" w:lineRule="exact"/>
              <w:ind w:right="43"/>
              <w:rPr>
                <w:sz w:val="17"/>
                <w:szCs w:val="17"/>
                <w:lang w:val="fr-FR"/>
              </w:rPr>
            </w:pPr>
            <w:r w:rsidRPr="00A66C9F">
              <w:rPr>
                <w:sz w:val="17"/>
                <w:szCs w:val="17"/>
                <w:lang w:val="fr-FR"/>
              </w:rPr>
              <w:t>Autres dépenses de personnel</w:t>
            </w:r>
          </w:p>
        </w:tc>
        <w:tc>
          <w:tcPr>
            <w:tcW w:w="889" w:type="dxa"/>
            <w:shd w:val="clear" w:color="auto" w:fill="auto"/>
            <w:vAlign w:val="bottom"/>
          </w:tcPr>
          <w:p w14:paraId="49472740" w14:textId="77777777" w:rsidR="00744544" w:rsidRPr="00A66C9F" w:rsidRDefault="00744544" w:rsidP="00107D5D">
            <w:pPr>
              <w:suppressAutoHyphens/>
              <w:spacing w:before="40" w:after="40" w:line="210" w:lineRule="exact"/>
              <w:ind w:right="43"/>
              <w:jc w:val="right"/>
              <w:rPr>
                <w:sz w:val="17"/>
                <w:szCs w:val="17"/>
                <w:lang w:val="fr-FR"/>
              </w:rPr>
            </w:pPr>
            <w:r w:rsidRPr="00A66C9F">
              <w:rPr>
                <w:sz w:val="17"/>
                <w:szCs w:val="17"/>
                <w:lang w:val="fr-FR"/>
              </w:rPr>
              <w:t xml:space="preserve"> 6 426 </w:t>
            </w:r>
          </w:p>
        </w:tc>
        <w:tc>
          <w:tcPr>
            <w:tcW w:w="1046" w:type="dxa"/>
            <w:shd w:val="clear" w:color="auto" w:fill="auto"/>
            <w:vAlign w:val="bottom"/>
          </w:tcPr>
          <w:p w14:paraId="49B99B31" w14:textId="77777777" w:rsidR="00744544" w:rsidRPr="00A66C9F" w:rsidRDefault="00744544" w:rsidP="00107D5D">
            <w:pPr>
              <w:suppressAutoHyphens/>
              <w:spacing w:before="40" w:after="40" w:line="210" w:lineRule="exact"/>
              <w:ind w:right="43"/>
              <w:jc w:val="right"/>
              <w:rPr>
                <w:sz w:val="17"/>
                <w:szCs w:val="17"/>
                <w:lang w:val="fr-FR"/>
              </w:rPr>
            </w:pPr>
            <w:r w:rsidRPr="00A66C9F">
              <w:rPr>
                <w:sz w:val="17"/>
                <w:szCs w:val="17"/>
                <w:lang w:val="fr-FR"/>
              </w:rPr>
              <w:t xml:space="preserve"> 1 069 </w:t>
            </w:r>
          </w:p>
        </w:tc>
        <w:tc>
          <w:tcPr>
            <w:tcW w:w="837" w:type="dxa"/>
            <w:gridSpan w:val="2"/>
            <w:shd w:val="clear" w:color="auto" w:fill="auto"/>
            <w:vAlign w:val="bottom"/>
          </w:tcPr>
          <w:p w14:paraId="70837194" w14:textId="77777777" w:rsidR="00744544" w:rsidRPr="00A66C9F" w:rsidRDefault="00744544" w:rsidP="00107D5D">
            <w:pPr>
              <w:suppressAutoHyphens/>
              <w:spacing w:before="40" w:after="40" w:line="210" w:lineRule="exact"/>
              <w:ind w:right="43"/>
              <w:jc w:val="right"/>
              <w:rPr>
                <w:sz w:val="17"/>
                <w:szCs w:val="17"/>
                <w:lang w:val="fr-FR"/>
              </w:rPr>
            </w:pPr>
            <w:r w:rsidRPr="00A66C9F">
              <w:rPr>
                <w:sz w:val="17"/>
                <w:szCs w:val="17"/>
                <w:lang w:val="fr-FR"/>
              </w:rPr>
              <w:t xml:space="preserve"> – </w:t>
            </w:r>
          </w:p>
        </w:tc>
        <w:tc>
          <w:tcPr>
            <w:tcW w:w="837" w:type="dxa"/>
            <w:gridSpan w:val="2"/>
            <w:shd w:val="clear" w:color="auto" w:fill="auto"/>
            <w:vAlign w:val="bottom"/>
          </w:tcPr>
          <w:p w14:paraId="7DA91F3E" w14:textId="77777777" w:rsidR="00744544" w:rsidRPr="00A66C9F" w:rsidRDefault="00744544" w:rsidP="00107D5D">
            <w:pPr>
              <w:suppressAutoHyphens/>
              <w:spacing w:before="40" w:after="40" w:line="210" w:lineRule="exact"/>
              <w:ind w:right="43"/>
              <w:jc w:val="right"/>
              <w:rPr>
                <w:sz w:val="17"/>
                <w:szCs w:val="17"/>
                <w:lang w:val="fr-FR"/>
              </w:rPr>
            </w:pPr>
            <w:r w:rsidRPr="00A66C9F">
              <w:rPr>
                <w:sz w:val="17"/>
                <w:szCs w:val="17"/>
                <w:lang w:val="fr-FR"/>
              </w:rPr>
              <w:t xml:space="preserve"> – </w:t>
            </w:r>
          </w:p>
        </w:tc>
        <w:tc>
          <w:tcPr>
            <w:tcW w:w="837" w:type="dxa"/>
            <w:shd w:val="clear" w:color="auto" w:fill="auto"/>
            <w:vAlign w:val="bottom"/>
          </w:tcPr>
          <w:p w14:paraId="5C207DB1" w14:textId="77777777" w:rsidR="00744544" w:rsidRPr="00A66C9F" w:rsidRDefault="00744544" w:rsidP="00107D5D">
            <w:pPr>
              <w:suppressAutoHyphens/>
              <w:spacing w:before="40" w:after="40" w:line="210" w:lineRule="exact"/>
              <w:ind w:right="43"/>
              <w:jc w:val="right"/>
              <w:rPr>
                <w:sz w:val="17"/>
                <w:szCs w:val="17"/>
                <w:lang w:val="fr-FR"/>
              </w:rPr>
            </w:pPr>
            <w:r w:rsidRPr="00A66C9F">
              <w:rPr>
                <w:sz w:val="17"/>
                <w:szCs w:val="17"/>
                <w:lang w:val="fr-FR"/>
              </w:rPr>
              <w:t xml:space="preserve"> 7 495 </w:t>
            </w:r>
          </w:p>
        </w:tc>
      </w:tr>
      <w:tr w:rsidR="00744544" w:rsidRPr="00A66C9F" w14:paraId="7D70D47A" w14:textId="77777777" w:rsidTr="00107D5D">
        <w:trPr>
          <w:gridBefore w:val="1"/>
          <w:wBefore w:w="7" w:type="dxa"/>
        </w:trPr>
        <w:tc>
          <w:tcPr>
            <w:tcW w:w="2900" w:type="dxa"/>
            <w:shd w:val="clear" w:color="auto" w:fill="auto"/>
            <w:vAlign w:val="bottom"/>
          </w:tcPr>
          <w:p w14:paraId="64F2812E" w14:textId="77777777" w:rsidR="00744544" w:rsidRPr="00A66C9F" w:rsidRDefault="00744544" w:rsidP="00107D5D">
            <w:pPr>
              <w:suppressAutoHyphens/>
              <w:spacing w:before="40" w:after="40" w:line="210" w:lineRule="exact"/>
              <w:ind w:right="40"/>
              <w:rPr>
                <w:sz w:val="17"/>
                <w:szCs w:val="17"/>
                <w:lang w:val="fr-FR"/>
              </w:rPr>
            </w:pPr>
            <w:r w:rsidRPr="00A66C9F">
              <w:rPr>
                <w:sz w:val="17"/>
                <w:szCs w:val="17"/>
                <w:lang w:val="fr-FR"/>
              </w:rPr>
              <w:t>Dépenses de représentation</w:t>
            </w:r>
          </w:p>
        </w:tc>
        <w:tc>
          <w:tcPr>
            <w:tcW w:w="889" w:type="dxa"/>
            <w:shd w:val="clear" w:color="auto" w:fill="auto"/>
            <w:vAlign w:val="bottom"/>
          </w:tcPr>
          <w:p w14:paraId="4652AEBB"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w:t>
            </w:r>
          </w:p>
        </w:tc>
        <w:tc>
          <w:tcPr>
            <w:tcW w:w="1046" w:type="dxa"/>
            <w:shd w:val="clear" w:color="auto" w:fill="auto"/>
            <w:vAlign w:val="bottom"/>
          </w:tcPr>
          <w:p w14:paraId="6D0620C9"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7 </w:t>
            </w:r>
          </w:p>
        </w:tc>
        <w:tc>
          <w:tcPr>
            <w:tcW w:w="837" w:type="dxa"/>
            <w:gridSpan w:val="2"/>
            <w:shd w:val="clear" w:color="auto" w:fill="auto"/>
            <w:vAlign w:val="bottom"/>
          </w:tcPr>
          <w:p w14:paraId="1F24AB98"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 </w:t>
            </w:r>
          </w:p>
        </w:tc>
        <w:tc>
          <w:tcPr>
            <w:tcW w:w="837" w:type="dxa"/>
            <w:gridSpan w:val="2"/>
            <w:shd w:val="clear" w:color="auto" w:fill="auto"/>
            <w:vAlign w:val="bottom"/>
          </w:tcPr>
          <w:p w14:paraId="5CD7A156"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 </w:t>
            </w:r>
          </w:p>
        </w:tc>
        <w:tc>
          <w:tcPr>
            <w:tcW w:w="837" w:type="dxa"/>
            <w:shd w:val="clear" w:color="auto" w:fill="auto"/>
            <w:vAlign w:val="bottom"/>
          </w:tcPr>
          <w:p w14:paraId="57554625"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7 </w:t>
            </w:r>
          </w:p>
        </w:tc>
      </w:tr>
      <w:tr w:rsidR="00744544" w:rsidRPr="00A66C9F" w14:paraId="69CCFD44" w14:textId="77777777" w:rsidTr="00107D5D">
        <w:trPr>
          <w:gridBefore w:val="1"/>
          <w:wBefore w:w="7" w:type="dxa"/>
        </w:trPr>
        <w:tc>
          <w:tcPr>
            <w:tcW w:w="2900" w:type="dxa"/>
            <w:shd w:val="clear" w:color="auto" w:fill="auto"/>
            <w:vAlign w:val="bottom"/>
          </w:tcPr>
          <w:p w14:paraId="6C9440C2" w14:textId="77777777" w:rsidR="00744544" w:rsidRPr="00A66C9F" w:rsidRDefault="00744544" w:rsidP="00107D5D">
            <w:pPr>
              <w:suppressAutoHyphens/>
              <w:spacing w:before="40" w:after="40" w:line="210" w:lineRule="exact"/>
              <w:ind w:right="40"/>
              <w:rPr>
                <w:sz w:val="17"/>
                <w:szCs w:val="17"/>
                <w:lang w:val="fr-FR"/>
              </w:rPr>
            </w:pPr>
            <w:r w:rsidRPr="00A66C9F">
              <w:rPr>
                <w:sz w:val="17"/>
                <w:szCs w:val="17"/>
                <w:lang w:val="fr-FR"/>
              </w:rPr>
              <w:t>Consultants</w:t>
            </w:r>
          </w:p>
        </w:tc>
        <w:tc>
          <w:tcPr>
            <w:tcW w:w="889" w:type="dxa"/>
            <w:shd w:val="clear" w:color="auto" w:fill="auto"/>
            <w:vAlign w:val="bottom"/>
          </w:tcPr>
          <w:p w14:paraId="0E8536CF"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52 </w:t>
            </w:r>
          </w:p>
        </w:tc>
        <w:tc>
          <w:tcPr>
            <w:tcW w:w="1046" w:type="dxa"/>
            <w:shd w:val="clear" w:color="auto" w:fill="auto"/>
            <w:vAlign w:val="bottom"/>
          </w:tcPr>
          <w:p w14:paraId="27945F12"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376 </w:t>
            </w:r>
          </w:p>
        </w:tc>
        <w:tc>
          <w:tcPr>
            <w:tcW w:w="837" w:type="dxa"/>
            <w:gridSpan w:val="2"/>
            <w:shd w:val="clear" w:color="auto" w:fill="auto"/>
            <w:vAlign w:val="bottom"/>
          </w:tcPr>
          <w:p w14:paraId="020FEE0A"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 </w:t>
            </w:r>
          </w:p>
        </w:tc>
        <w:tc>
          <w:tcPr>
            <w:tcW w:w="837" w:type="dxa"/>
            <w:gridSpan w:val="2"/>
            <w:shd w:val="clear" w:color="auto" w:fill="auto"/>
            <w:vAlign w:val="bottom"/>
          </w:tcPr>
          <w:p w14:paraId="382BA776"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 </w:t>
            </w:r>
          </w:p>
        </w:tc>
        <w:tc>
          <w:tcPr>
            <w:tcW w:w="837" w:type="dxa"/>
            <w:shd w:val="clear" w:color="auto" w:fill="auto"/>
            <w:vAlign w:val="bottom"/>
          </w:tcPr>
          <w:p w14:paraId="7DC42BB0"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428 </w:t>
            </w:r>
          </w:p>
        </w:tc>
      </w:tr>
      <w:tr w:rsidR="00744544" w:rsidRPr="00A66C9F" w14:paraId="4F608354" w14:textId="77777777" w:rsidTr="00107D5D">
        <w:trPr>
          <w:gridBefore w:val="1"/>
          <w:wBefore w:w="7" w:type="dxa"/>
        </w:trPr>
        <w:tc>
          <w:tcPr>
            <w:tcW w:w="2900" w:type="dxa"/>
            <w:shd w:val="clear" w:color="auto" w:fill="auto"/>
            <w:vAlign w:val="bottom"/>
          </w:tcPr>
          <w:p w14:paraId="781CFD21" w14:textId="77777777" w:rsidR="00744544" w:rsidRPr="00A66C9F" w:rsidRDefault="00744544" w:rsidP="00107D5D">
            <w:pPr>
              <w:suppressAutoHyphens/>
              <w:spacing w:before="40" w:after="40" w:line="210" w:lineRule="exact"/>
              <w:ind w:right="40"/>
              <w:rPr>
                <w:sz w:val="17"/>
                <w:szCs w:val="17"/>
                <w:lang w:val="fr-FR"/>
              </w:rPr>
            </w:pPr>
            <w:r w:rsidRPr="00A66C9F">
              <w:rPr>
                <w:sz w:val="17"/>
                <w:szCs w:val="17"/>
                <w:lang w:val="fr-FR"/>
              </w:rPr>
              <w:t>Voyages</w:t>
            </w:r>
          </w:p>
        </w:tc>
        <w:tc>
          <w:tcPr>
            <w:tcW w:w="889" w:type="dxa"/>
            <w:shd w:val="clear" w:color="auto" w:fill="auto"/>
            <w:vAlign w:val="bottom"/>
          </w:tcPr>
          <w:p w14:paraId="0B27DC9E"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375 </w:t>
            </w:r>
          </w:p>
        </w:tc>
        <w:tc>
          <w:tcPr>
            <w:tcW w:w="1046" w:type="dxa"/>
            <w:shd w:val="clear" w:color="auto" w:fill="auto"/>
            <w:vAlign w:val="bottom"/>
          </w:tcPr>
          <w:p w14:paraId="1347562B"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706 </w:t>
            </w:r>
          </w:p>
        </w:tc>
        <w:tc>
          <w:tcPr>
            <w:tcW w:w="837" w:type="dxa"/>
            <w:gridSpan w:val="2"/>
            <w:shd w:val="clear" w:color="auto" w:fill="auto"/>
            <w:vAlign w:val="bottom"/>
          </w:tcPr>
          <w:p w14:paraId="32C16F03"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 </w:t>
            </w:r>
          </w:p>
        </w:tc>
        <w:tc>
          <w:tcPr>
            <w:tcW w:w="837" w:type="dxa"/>
            <w:gridSpan w:val="2"/>
            <w:shd w:val="clear" w:color="auto" w:fill="auto"/>
            <w:vAlign w:val="bottom"/>
          </w:tcPr>
          <w:p w14:paraId="41CC9331"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 </w:t>
            </w:r>
          </w:p>
        </w:tc>
        <w:tc>
          <w:tcPr>
            <w:tcW w:w="837" w:type="dxa"/>
            <w:shd w:val="clear" w:color="auto" w:fill="auto"/>
            <w:vAlign w:val="bottom"/>
          </w:tcPr>
          <w:p w14:paraId="6037951E"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1 081 </w:t>
            </w:r>
          </w:p>
        </w:tc>
      </w:tr>
      <w:tr w:rsidR="00744544" w:rsidRPr="00A66C9F" w14:paraId="4DC1F311" w14:textId="77777777" w:rsidTr="00107D5D">
        <w:trPr>
          <w:gridBefore w:val="1"/>
          <w:wBefore w:w="7" w:type="dxa"/>
        </w:trPr>
        <w:tc>
          <w:tcPr>
            <w:tcW w:w="2900" w:type="dxa"/>
            <w:shd w:val="clear" w:color="auto" w:fill="auto"/>
            <w:vAlign w:val="bottom"/>
          </w:tcPr>
          <w:p w14:paraId="449B08C7" w14:textId="77777777" w:rsidR="00744544" w:rsidRPr="00A66C9F" w:rsidRDefault="00744544" w:rsidP="00107D5D">
            <w:pPr>
              <w:suppressAutoHyphens/>
              <w:spacing w:before="40" w:after="40" w:line="210" w:lineRule="exact"/>
              <w:ind w:right="40"/>
              <w:rPr>
                <w:sz w:val="17"/>
                <w:szCs w:val="17"/>
                <w:lang w:val="fr-FR"/>
              </w:rPr>
            </w:pPr>
            <w:r w:rsidRPr="00A66C9F">
              <w:rPr>
                <w:sz w:val="17"/>
                <w:szCs w:val="17"/>
                <w:lang w:val="fr-FR"/>
              </w:rPr>
              <w:t>Services contractuels</w:t>
            </w:r>
          </w:p>
        </w:tc>
        <w:tc>
          <w:tcPr>
            <w:tcW w:w="889" w:type="dxa"/>
            <w:shd w:val="clear" w:color="auto" w:fill="auto"/>
            <w:vAlign w:val="bottom"/>
          </w:tcPr>
          <w:p w14:paraId="0AAC9D47"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12 645 </w:t>
            </w:r>
          </w:p>
        </w:tc>
        <w:tc>
          <w:tcPr>
            <w:tcW w:w="1046" w:type="dxa"/>
            <w:shd w:val="clear" w:color="auto" w:fill="auto"/>
            <w:vAlign w:val="bottom"/>
          </w:tcPr>
          <w:p w14:paraId="1B1A5E40"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12 358 </w:t>
            </w:r>
          </w:p>
        </w:tc>
        <w:tc>
          <w:tcPr>
            <w:tcW w:w="837" w:type="dxa"/>
            <w:gridSpan w:val="2"/>
            <w:shd w:val="clear" w:color="auto" w:fill="auto"/>
            <w:vAlign w:val="bottom"/>
          </w:tcPr>
          <w:p w14:paraId="5D9E6C3B"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 </w:t>
            </w:r>
          </w:p>
        </w:tc>
        <w:tc>
          <w:tcPr>
            <w:tcW w:w="837" w:type="dxa"/>
            <w:gridSpan w:val="2"/>
            <w:shd w:val="clear" w:color="auto" w:fill="auto"/>
            <w:vAlign w:val="bottom"/>
          </w:tcPr>
          <w:p w14:paraId="21AAE901"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 </w:t>
            </w:r>
          </w:p>
        </w:tc>
        <w:tc>
          <w:tcPr>
            <w:tcW w:w="837" w:type="dxa"/>
            <w:shd w:val="clear" w:color="auto" w:fill="auto"/>
            <w:vAlign w:val="bottom"/>
          </w:tcPr>
          <w:p w14:paraId="34B98F79"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25 003 </w:t>
            </w:r>
          </w:p>
        </w:tc>
      </w:tr>
      <w:tr w:rsidR="00744544" w:rsidRPr="00A66C9F" w14:paraId="5C0A18B4" w14:textId="77777777" w:rsidTr="00107D5D">
        <w:trPr>
          <w:gridBefore w:val="1"/>
          <w:wBefore w:w="7" w:type="dxa"/>
        </w:trPr>
        <w:tc>
          <w:tcPr>
            <w:tcW w:w="2900" w:type="dxa"/>
            <w:shd w:val="clear" w:color="auto" w:fill="auto"/>
            <w:vAlign w:val="bottom"/>
          </w:tcPr>
          <w:p w14:paraId="2496B269" w14:textId="77777777" w:rsidR="00744544" w:rsidRPr="00A66C9F" w:rsidRDefault="00744544" w:rsidP="00107D5D">
            <w:pPr>
              <w:suppressAutoHyphens/>
              <w:spacing w:before="40" w:after="40" w:line="210" w:lineRule="exact"/>
              <w:ind w:right="40"/>
              <w:rPr>
                <w:sz w:val="17"/>
                <w:szCs w:val="17"/>
                <w:lang w:val="fr-FR"/>
              </w:rPr>
            </w:pPr>
            <w:r w:rsidRPr="00A66C9F">
              <w:rPr>
                <w:sz w:val="17"/>
                <w:szCs w:val="17"/>
                <w:lang w:val="fr-FR"/>
              </w:rPr>
              <w:t>Frais généraux de fonctionnement</w:t>
            </w:r>
          </w:p>
        </w:tc>
        <w:tc>
          <w:tcPr>
            <w:tcW w:w="889" w:type="dxa"/>
            <w:shd w:val="clear" w:color="auto" w:fill="auto"/>
            <w:vAlign w:val="bottom"/>
          </w:tcPr>
          <w:p w14:paraId="44473AD0"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5 428 </w:t>
            </w:r>
          </w:p>
        </w:tc>
        <w:tc>
          <w:tcPr>
            <w:tcW w:w="1046" w:type="dxa"/>
            <w:shd w:val="clear" w:color="auto" w:fill="auto"/>
            <w:vAlign w:val="bottom"/>
          </w:tcPr>
          <w:p w14:paraId="7BA82124"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6 016 </w:t>
            </w:r>
          </w:p>
        </w:tc>
        <w:tc>
          <w:tcPr>
            <w:tcW w:w="837" w:type="dxa"/>
            <w:gridSpan w:val="2"/>
            <w:shd w:val="clear" w:color="auto" w:fill="auto"/>
            <w:vAlign w:val="bottom"/>
          </w:tcPr>
          <w:p w14:paraId="7C0C4B46"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 </w:t>
            </w:r>
          </w:p>
        </w:tc>
        <w:tc>
          <w:tcPr>
            <w:tcW w:w="837" w:type="dxa"/>
            <w:gridSpan w:val="2"/>
            <w:shd w:val="clear" w:color="auto" w:fill="auto"/>
            <w:vAlign w:val="bottom"/>
          </w:tcPr>
          <w:p w14:paraId="7EB0BD87"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 </w:t>
            </w:r>
          </w:p>
        </w:tc>
        <w:tc>
          <w:tcPr>
            <w:tcW w:w="837" w:type="dxa"/>
            <w:shd w:val="clear" w:color="auto" w:fill="auto"/>
            <w:vAlign w:val="bottom"/>
          </w:tcPr>
          <w:p w14:paraId="5D63E30C"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11 444 </w:t>
            </w:r>
          </w:p>
        </w:tc>
      </w:tr>
      <w:tr w:rsidR="00744544" w:rsidRPr="00A66C9F" w14:paraId="1AB0117A" w14:textId="77777777" w:rsidTr="00107D5D">
        <w:trPr>
          <w:gridBefore w:val="1"/>
          <w:wBefore w:w="7" w:type="dxa"/>
        </w:trPr>
        <w:tc>
          <w:tcPr>
            <w:tcW w:w="2900" w:type="dxa"/>
            <w:shd w:val="clear" w:color="auto" w:fill="auto"/>
            <w:vAlign w:val="bottom"/>
          </w:tcPr>
          <w:p w14:paraId="0A6286F6" w14:textId="77777777" w:rsidR="00744544" w:rsidRPr="00A66C9F" w:rsidRDefault="00744544" w:rsidP="00107D5D">
            <w:pPr>
              <w:suppressAutoHyphens/>
              <w:spacing w:before="40" w:after="40" w:line="210" w:lineRule="exact"/>
              <w:ind w:right="40"/>
              <w:rPr>
                <w:sz w:val="17"/>
                <w:szCs w:val="17"/>
                <w:lang w:val="fr-FR"/>
              </w:rPr>
            </w:pPr>
            <w:r w:rsidRPr="00A66C9F">
              <w:rPr>
                <w:sz w:val="17"/>
                <w:szCs w:val="17"/>
                <w:lang w:val="fr-FR"/>
              </w:rPr>
              <w:t>Fournitures et accessoires</w:t>
            </w:r>
          </w:p>
        </w:tc>
        <w:tc>
          <w:tcPr>
            <w:tcW w:w="889" w:type="dxa"/>
            <w:shd w:val="clear" w:color="auto" w:fill="auto"/>
            <w:vAlign w:val="bottom"/>
          </w:tcPr>
          <w:p w14:paraId="00E04F7B"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17 </w:t>
            </w:r>
          </w:p>
        </w:tc>
        <w:tc>
          <w:tcPr>
            <w:tcW w:w="1046" w:type="dxa"/>
            <w:shd w:val="clear" w:color="auto" w:fill="auto"/>
            <w:vAlign w:val="bottom"/>
          </w:tcPr>
          <w:p w14:paraId="3855D96E"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31 </w:t>
            </w:r>
          </w:p>
        </w:tc>
        <w:tc>
          <w:tcPr>
            <w:tcW w:w="837" w:type="dxa"/>
            <w:gridSpan w:val="2"/>
            <w:shd w:val="clear" w:color="auto" w:fill="auto"/>
            <w:vAlign w:val="bottom"/>
          </w:tcPr>
          <w:p w14:paraId="50833032"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 </w:t>
            </w:r>
          </w:p>
        </w:tc>
        <w:tc>
          <w:tcPr>
            <w:tcW w:w="837" w:type="dxa"/>
            <w:gridSpan w:val="2"/>
            <w:shd w:val="clear" w:color="auto" w:fill="auto"/>
            <w:vAlign w:val="bottom"/>
          </w:tcPr>
          <w:p w14:paraId="53DCCE4C"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 </w:t>
            </w:r>
          </w:p>
        </w:tc>
        <w:tc>
          <w:tcPr>
            <w:tcW w:w="837" w:type="dxa"/>
            <w:shd w:val="clear" w:color="auto" w:fill="auto"/>
            <w:vAlign w:val="bottom"/>
          </w:tcPr>
          <w:p w14:paraId="58E3152C"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48 </w:t>
            </w:r>
          </w:p>
        </w:tc>
      </w:tr>
      <w:tr w:rsidR="00744544" w:rsidRPr="00A66C9F" w14:paraId="54378477" w14:textId="77777777" w:rsidTr="00107D5D">
        <w:trPr>
          <w:gridBefore w:val="1"/>
          <w:wBefore w:w="7" w:type="dxa"/>
        </w:trPr>
        <w:tc>
          <w:tcPr>
            <w:tcW w:w="2900" w:type="dxa"/>
            <w:shd w:val="clear" w:color="auto" w:fill="auto"/>
            <w:vAlign w:val="bottom"/>
          </w:tcPr>
          <w:p w14:paraId="6F9B3CA6" w14:textId="77777777" w:rsidR="00744544" w:rsidRPr="00A66C9F" w:rsidRDefault="00744544" w:rsidP="00107D5D">
            <w:pPr>
              <w:suppressAutoHyphens/>
              <w:spacing w:before="40" w:after="40" w:line="210" w:lineRule="exact"/>
              <w:ind w:right="40"/>
              <w:rPr>
                <w:sz w:val="17"/>
                <w:szCs w:val="17"/>
                <w:lang w:val="fr-FR"/>
              </w:rPr>
            </w:pPr>
            <w:r w:rsidRPr="00A66C9F">
              <w:rPr>
                <w:sz w:val="17"/>
                <w:szCs w:val="17"/>
                <w:lang w:val="fr-FR"/>
              </w:rPr>
              <w:t>Mobilier et matériel</w:t>
            </w:r>
          </w:p>
        </w:tc>
        <w:tc>
          <w:tcPr>
            <w:tcW w:w="889" w:type="dxa"/>
            <w:shd w:val="clear" w:color="auto" w:fill="auto"/>
            <w:vAlign w:val="bottom"/>
          </w:tcPr>
          <w:p w14:paraId="3172A983"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100 </w:t>
            </w:r>
          </w:p>
        </w:tc>
        <w:tc>
          <w:tcPr>
            <w:tcW w:w="1046" w:type="dxa"/>
            <w:shd w:val="clear" w:color="auto" w:fill="auto"/>
            <w:vAlign w:val="bottom"/>
          </w:tcPr>
          <w:p w14:paraId="16DDCE26"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216 </w:t>
            </w:r>
          </w:p>
        </w:tc>
        <w:tc>
          <w:tcPr>
            <w:tcW w:w="837" w:type="dxa"/>
            <w:gridSpan w:val="2"/>
            <w:shd w:val="clear" w:color="auto" w:fill="auto"/>
            <w:vAlign w:val="bottom"/>
          </w:tcPr>
          <w:p w14:paraId="563A4D30"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 </w:t>
            </w:r>
          </w:p>
        </w:tc>
        <w:tc>
          <w:tcPr>
            <w:tcW w:w="837" w:type="dxa"/>
            <w:gridSpan w:val="2"/>
            <w:shd w:val="clear" w:color="auto" w:fill="auto"/>
            <w:vAlign w:val="bottom"/>
          </w:tcPr>
          <w:p w14:paraId="15B00BEC"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 </w:t>
            </w:r>
          </w:p>
        </w:tc>
        <w:tc>
          <w:tcPr>
            <w:tcW w:w="837" w:type="dxa"/>
            <w:shd w:val="clear" w:color="auto" w:fill="auto"/>
            <w:vAlign w:val="bottom"/>
          </w:tcPr>
          <w:p w14:paraId="1DC61C47" w14:textId="77777777" w:rsidR="00744544" w:rsidRPr="00A66C9F" w:rsidRDefault="00744544" w:rsidP="00107D5D">
            <w:pPr>
              <w:suppressAutoHyphens/>
              <w:spacing w:before="40" w:after="40" w:line="210" w:lineRule="exact"/>
              <w:ind w:right="40"/>
              <w:jc w:val="right"/>
              <w:rPr>
                <w:sz w:val="17"/>
                <w:szCs w:val="17"/>
                <w:lang w:val="fr-FR"/>
              </w:rPr>
            </w:pPr>
            <w:r w:rsidRPr="00A66C9F">
              <w:rPr>
                <w:sz w:val="17"/>
                <w:szCs w:val="17"/>
                <w:lang w:val="fr-FR"/>
              </w:rPr>
              <w:t xml:space="preserve"> 316 </w:t>
            </w:r>
          </w:p>
        </w:tc>
      </w:tr>
      <w:tr w:rsidR="00744544" w:rsidRPr="00A66C9F" w14:paraId="4B1BE334" w14:textId="77777777" w:rsidTr="00107D5D">
        <w:trPr>
          <w:gridBefore w:val="1"/>
          <w:wBefore w:w="7" w:type="dxa"/>
        </w:trPr>
        <w:tc>
          <w:tcPr>
            <w:tcW w:w="2900" w:type="dxa"/>
            <w:shd w:val="clear" w:color="auto" w:fill="auto"/>
            <w:vAlign w:val="bottom"/>
          </w:tcPr>
          <w:p w14:paraId="70E1BDAB" w14:textId="77777777" w:rsidR="00744544" w:rsidRPr="00A66C9F" w:rsidRDefault="00744544" w:rsidP="00107D5D">
            <w:pPr>
              <w:suppressAutoHyphens/>
              <w:spacing w:before="40" w:after="40" w:line="210" w:lineRule="exact"/>
              <w:ind w:right="43"/>
              <w:rPr>
                <w:sz w:val="17"/>
                <w:szCs w:val="17"/>
                <w:lang w:val="fr-FR"/>
              </w:rPr>
            </w:pPr>
            <w:r w:rsidRPr="00A66C9F">
              <w:rPr>
                <w:sz w:val="17"/>
                <w:szCs w:val="17"/>
                <w:lang w:val="fr-FR"/>
              </w:rPr>
              <w:t>Frais d’audit (hors variation de la valeur de l’engagement au titre de l’assurance maladie après la cessation de service)</w:t>
            </w:r>
          </w:p>
        </w:tc>
        <w:tc>
          <w:tcPr>
            <w:tcW w:w="889" w:type="dxa"/>
            <w:shd w:val="clear" w:color="auto" w:fill="auto"/>
            <w:vAlign w:val="bottom"/>
          </w:tcPr>
          <w:p w14:paraId="1F362D4D" w14:textId="77777777" w:rsidR="00744544" w:rsidRPr="00A66C9F" w:rsidRDefault="00744544" w:rsidP="00107D5D">
            <w:pPr>
              <w:suppressAutoHyphens/>
              <w:spacing w:before="40" w:after="40" w:line="210" w:lineRule="exact"/>
              <w:ind w:right="43"/>
              <w:jc w:val="right"/>
              <w:rPr>
                <w:sz w:val="17"/>
                <w:szCs w:val="17"/>
                <w:lang w:val="fr-FR"/>
              </w:rPr>
            </w:pPr>
            <w:r w:rsidRPr="00A66C9F">
              <w:rPr>
                <w:sz w:val="17"/>
                <w:szCs w:val="17"/>
                <w:lang w:val="fr-FR"/>
              </w:rPr>
              <w:t xml:space="preserve"> – </w:t>
            </w:r>
          </w:p>
        </w:tc>
        <w:tc>
          <w:tcPr>
            <w:tcW w:w="1046" w:type="dxa"/>
            <w:shd w:val="clear" w:color="auto" w:fill="auto"/>
            <w:vAlign w:val="bottom"/>
          </w:tcPr>
          <w:p w14:paraId="7C74B743" w14:textId="77777777" w:rsidR="00744544" w:rsidRPr="00A66C9F" w:rsidRDefault="00744544" w:rsidP="00107D5D">
            <w:pPr>
              <w:suppressAutoHyphens/>
              <w:spacing w:before="40" w:after="40" w:line="210" w:lineRule="exact"/>
              <w:ind w:right="43"/>
              <w:jc w:val="right"/>
              <w:rPr>
                <w:sz w:val="17"/>
                <w:szCs w:val="17"/>
                <w:lang w:val="fr-FR"/>
              </w:rPr>
            </w:pPr>
            <w:r w:rsidRPr="00A66C9F">
              <w:rPr>
                <w:sz w:val="17"/>
                <w:szCs w:val="17"/>
                <w:lang w:val="fr-FR"/>
              </w:rPr>
              <w:t xml:space="preserve"> – </w:t>
            </w:r>
          </w:p>
        </w:tc>
        <w:tc>
          <w:tcPr>
            <w:tcW w:w="837" w:type="dxa"/>
            <w:gridSpan w:val="2"/>
            <w:shd w:val="clear" w:color="auto" w:fill="auto"/>
            <w:vAlign w:val="bottom"/>
          </w:tcPr>
          <w:p w14:paraId="24A792CE" w14:textId="77777777" w:rsidR="00744544" w:rsidRPr="00A66C9F" w:rsidRDefault="00744544" w:rsidP="00107D5D">
            <w:pPr>
              <w:suppressAutoHyphens/>
              <w:spacing w:before="40" w:after="40" w:line="210" w:lineRule="exact"/>
              <w:ind w:right="43"/>
              <w:jc w:val="right"/>
              <w:rPr>
                <w:sz w:val="17"/>
                <w:szCs w:val="17"/>
                <w:lang w:val="fr-FR"/>
              </w:rPr>
            </w:pPr>
            <w:r w:rsidRPr="00A66C9F">
              <w:rPr>
                <w:sz w:val="17"/>
                <w:szCs w:val="17"/>
                <w:lang w:val="fr-FR"/>
              </w:rPr>
              <w:t xml:space="preserve"> 1 341 </w:t>
            </w:r>
          </w:p>
        </w:tc>
        <w:tc>
          <w:tcPr>
            <w:tcW w:w="837" w:type="dxa"/>
            <w:gridSpan w:val="2"/>
            <w:shd w:val="clear" w:color="auto" w:fill="auto"/>
            <w:vAlign w:val="bottom"/>
          </w:tcPr>
          <w:p w14:paraId="4BB7C047" w14:textId="77777777" w:rsidR="00744544" w:rsidRPr="00A66C9F" w:rsidRDefault="00744544" w:rsidP="00107D5D">
            <w:pPr>
              <w:suppressAutoHyphens/>
              <w:spacing w:before="40" w:after="40" w:line="210" w:lineRule="exact"/>
              <w:ind w:right="43"/>
              <w:jc w:val="right"/>
              <w:rPr>
                <w:sz w:val="17"/>
                <w:szCs w:val="17"/>
                <w:lang w:val="fr-FR"/>
              </w:rPr>
            </w:pPr>
            <w:r w:rsidRPr="00A66C9F">
              <w:rPr>
                <w:sz w:val="17"/>
                <w:szCs w:val="17"/>
                <w:lang w:val="fr-FR"/>
              </w:rPr>
              <w:t xml:space="preserve"> – </w:t>
            </w:r>
          </w:p>
        </w:tc>
        <w:tc>
          <w:tcPr>
            <w:tcW w:w="837" w:type="dxa"/>
            <w:shd w:val="clear" w:color="auto" w:fill="auto"/>
            <w:vAlign w:val="bottom"/>
          </w:tcPr>
          <w:p w14:paraId="63583CA8" w14:textId="77777777" w:rsidR="00744544" w:rsidRPr="00A66C9F" w:rsidRDefault="00744544" w:rsidP="00107D5D">
            <w:pPr>
              <w:suppressAutoHyphens/>
              <w:spacing w:before="40" w:after="40" w:line="210" w:lineRule="exact"/>
              <w:ind w:right="43"/>
              <w:jc w:val="right"/>
              <w:rPr>
                <w:sz w:val="17"/>
                <w:szCs w:val="17"/>
                <w:lang w:val="fr-FR"/>
              </w:rPr>
            </w:pPr>
            <w:r w:rsidRPr="00A66C9F">
              <w:rPr>
                <w:sz w:val="17"/>
                <w:szCs w:val="17"/>
                <w:lang w:val="fr-FR"/>
              </w:rPr>
              <w:t xml:space="preserve"> 1 341 </w:t>
            </w:r>
          </w:p>
        </w:tc>
      </w:tr>
      <w:tr w:rsidR="00744544" w:rsidRPr="00A66C9F" w14:paraId="31C2EC29" w14:textId="77777777" w:rsidTr="00107D5D">
        <w:trPr>
          <w:gridBefore w:val="1"/>
          <w:wBefore w:w="7" w:type="dxa"/>
        </w:trPr>
        <w:tc>
          <w:tcPr>
            <w:tcW w:w="2900" w:type="dxa"/>
            <w:tcBorders>
              <w:bottom w:val="single" w:sz="4" w:space="0" w:color="auto"/>
            </w:tcBorders>
            <w:shd w:val="clear" w:color="auto" w:fill="auto"/>
            <w:vAlign w:val="bottom"/>
          </w:tcPr>
          <w:p w14:paraId="07E82A7F" w14:textId="77777777" w:rsidR="00744544" w:rsidRPr="00A66C9F" w:rsidRDefault="00744544" w:rsidP="00107D5D">
            <w:pPr>
              <w:suppressAutoHyphens/>
              <w:spacing w:before="40" w:after="81" w:line="210" w:lineRule="exact"/>
              <w:ind w:right="43"/>
              <w:rPr>
                <w:sz w:val="17"/>
                <w:szCs w:val="17"/>
                <w:lang w:val="fr-FR"/>
              </w:rPr>
            </w:pPr>
            <w:r w:rsidRPr="00A66C9F">
              <w:rPr>
                <w:sz w:val="17"/>
                <w:szCs w:val="17"/>
                <w:lang w:val="fr-FR"/>
              </w:rPr>
              <w:t>Dépenses afférentes au Comité mixte</w:t>
            </w:r>
          </w:p>
        </w:tc>
        <w:tc>
          <w:tcPr>
            <w:tcW w:w="889" w:type="dxa"/>
            <w:tcBorders>
              <w:bottom w:val="single" w:sz="4" w:space="0" w:color="auto"/>
            </w:tcBorders>
            <w:shd w:val="clear" w:color="auto" w:fill="auto"/>
            <w:vAlign w:val="bottom"/>
          </w:tcPr>
          <w:p w14:paraId="70B2ED20" w14:textId="77777777" w:rsidR="00744544" w:rsidRPr="00A66C9F" w:rsidRDefault="00744544" w:rsidP="00107D5D">
            <w:pPr>
              <w:suppressAutoHyphens/>
              <w:spacing w:before="40" w:after="81" w:line="210" w:lineRule="exact"/>
              <w:ind w:right="43"/>
              <w:jc w:val="right"/>
              <w:rPr>
                <w:sz w:val="17"/>
                <w:szCs w:val="17"/>
                <w:lang w:val="fr-FR"/>
              </w:rPr>
            </w:pPr>
            <w:r w:rsidRPr="00A66C9F">
              <w:rPr>
                <w:sz w:val="17"/>
                <w:szCs w:val="17"/>
                <w:lang w:val="fr-FR"/>
              </w:rPr>
              <w:t xml:space="preserve"> – </w:t>
            </w:r>
          </w:p>
        </w:tc>
        <w:tc>
          <w:tcPr>
            <w:tcW w:w="1046" w:type="dxa"/>
            <w:tcBorders>
              <w:bottom w:val="single" w:sz="4" w:space="0" w:color="auto"/>
            </w:tcBorders>
            <w:shd w:val="clear" w:color="auto" w:fill="auto"/>
            <w:vAlign w:val="bottom"/>
          </w:tcPr>
          <w:p w14:paraId="1B3FDE29" w14:textId="77777777" w:rsidR="00744544" w:rsidRPr="00A66C9F" w:rsidRDefault="00744544" w:rsidP="00107D5D">
            <w:pPr>
              <w:suppressAutoHyphens/>
              <w:spacing w:before="40" w:after="81" w:line="210" w:lineRule="exact"/>
              <w:ind w:right="43"/>
              <w:jc w:val="right"/>
              <w:rPr>
                <w:sz w:val="17"/>
                <w:szCs w:val="17"/>
                <w:lang w:val="fr-FR"/>
              </w:rPr>
            </w:pPr>
            <w:r w:rsidRPr="00A66C9F">
              <w:rPr>
                <w:sz w:val="17"/>
                <w:szCs w:val="17"/>
                <w:lang w:val="fr-FR"/>
              </w:rPr>
              <w:t xml:space="preserve"> – </w:t>
            </w:r>
          </w:p>
        </w:tc>
        <w:tc>
          <w:tcPr>
            <w:tcW w:w="837" w:type="dxa"/>
            <w:gridSpan w:val="2"/>
            <w:tcBorders>
              <w:bottom w:val="single" w:sz="4" w:space="0" w:color="auto"/>
            </w:tcBorders>
            <w:shd w:val="clear" w:color="auto" w:fill="auto"/>
            <w:vAlign w:val="bottom"/>
          </w:tcPr>
          <w:p w14:paraId="7C3A9658" w14:textId="77777777" w:rsidR="00744544" w:rsidRPr="00A66C9F" w:rsidRDefault="00744544" w:rsidP="00107D5D">
            <w:pPr>
              <w:suppressAutoHyphens/>
              <w:spacing w:before="40" w:after="81" w:line="210" w:lineRule="exact"/>
              <w:ind w:right="43"/>
              <w:jc w:val="right"/>
              <w:rPr>
                <w:sz w:val="17"/>
                <w:szCs w:val="17"/>
                <w:lang w:val="fr-FR"/>
              </w:rPr>
            </w:pPr>
            <w:r w:rsidRPr="00A66C9F">
              <w:rPr>
                <w:sz w:val="17"/>
                <w:szCs w:val="17"/>
                <w:lang w:val="fr-FR"/>
              </w:rPr>
              <w:t xml:space="preserve"> – </w:t>
            </w:r>
          </w:p>
        </w:tc>
        <w:tc>
          <w:tcPr>
            <w:tcW w:w="837" w:type="dxa"/>
            <w:gridSpan w:val="2"/>
            <w:tcBorders>
              <w:bottom w:val="single" w:sz="4" w:space="0" w:color="auto"/>
            </w:tcBorders>
            <w:shd w:val="clear" w:color="auto" w:fill="auto"/>
            <w:vAlign w:val="bottom"/>
          </w:tcPr>
          <w:p w14:paraId="6EA6AACC" w14:textId="77777777" w:rsidR="00744544" w:rsidRPr="00A66C9F" w:rsidRDefault="00744544" w:rsidP="00107D5D">
            <w:pPr>
              <w:suppressAutoHyphens/>
              <w:spacing w:before="40" w:after="81" w:line="210" w:lineRule="exact"/>
              <w:ind w:right="43"/>
              <w:jc w:val="right"/>
              <w:rPr>
                <w:sz w:val="17"/>
                <w:szCs w:val="17"/>
                <w:lang w:val="fr-FR"/>
              </w:rPr>
            </w:pPr>
            <w:r w:rsidRPr="00A66C9F">
              <w:rPr>
                <w:sz w:val="17"/>
                <w:szCs w:val="17"/>
                <w:lang w:val="fr-FR"/>
              </w:rPr>
              <w:t xml:space="preserve"> 450 </w:t>
            </w:r>
          </w:p>
        </w:tc>
        <w:tc>
          <w:tcPr>
            <w:tcW w:w="837" w:type="dxa"/>
            <w:tcBorders>
              <w:bottom w:val="single" w:sz="4" w:space="0" w:color="auto"/>
            </w:tcBorders>
            <w:shd w:val="clear" w:color="auto" w:fill="auto"/>
            <w:vAlign w:val="bottom"/>
          </w:tcPr>
          <w:p w14:paraId="0AF345A1" w14:textId="77777777" w:rsidR="00744544" w:rsidRPr="00A66C9F" w:rsidRDefault="00744544" w:rsidP="00107D5D">
            <w:pPr>
              <w:suppressAutoHyphens/>
              <w:spacing w:before="40" w:after="81" w:line="210" w:lineRule="exact"/>
              <w:ind w:right="43"/>
              <w:jc w:val="right"/>
              <w:rPr>
                <w:sz w:val="17"/>
                <w:szCs w:val="17"/>
                <w:lang w:val="fr-FR"/>
              </w:rPr>
            </w:pPr>
            <w:r w:rsidRPr="00A66C9F">
              <w:rPr>
                <w:sz w:val="17"/>
                <w:szCs w:val="17"/>
                <w:lang w:val="fr-FR"/>
              </w:rPr>
              <w:t xml:space="preserve"> 450 </w:t>
            </w:r>
          </w:p>
        </w:tc>
      </w:tr>
      <w:tr w:rsidR="00744544" w:rsidRPr="00A66C9F" w14:paraId="43F60749" w14:textId="77777777" w:rsidTr="00107D5D">
        <w:trPr>
          <w:gridBefore w:val="1"/>
          <w:wBefore w:w="7" w:type="dxa"/>
        </w:trPr>
        <w:tc>
          <w:tcPr>
            <w:tcW w:w="2900" w:type="dxa"/>
            <w:tcBorders>
              <w:top w:val="single" w:sz="4" w:space="0" w:color="auto"/>
              <w:bottom w:val="single" w:sz="12" w:space="0" w:color="auto"/>
            </w:tcBorders>
            <w:shd w:val="clear" w:color="auto" w:fill="auto"/>
            <w:noWrap/>
            <w:vAlign w:val="bottom"/>
          </w:tcPr>
          <w:p w14:paraId="1DEA9CFD" w14:textId="77777777" w:rsidR="00744544" w:rsidRPr="00A66C9F" w:rsidRDefault="00744544" w:rsidP="00107D5D">
            <w:pPr>
              <w:suppressAutoHyphens/>
              <w:spacing w:before="81" w:after="81" w:line="210" w:lineRule="exact"/>
              <w:ind w:right="43"/>
              <w:rPr>
                <w:b/>
                <w:bCs/>
                <w:sz w:val="17"/>
                <w:szCs w:val="17"/>
                <w:lang w:val="fr-FR"/>
              </w:rPr>
            </w:pPr>
            <w:r w:rsidRPr="00A66C9F">
              <w:rPr>
                <w:b/>
                <w:bCs/>
                <w:sz w:val="17"/>
                <w:szCs w:val="17"/>
                <w:lang w:val="fr-FR"/>
              </w:rPr>
              <w:t>Total</w:t>
            </w:r>
          </w:p>
        </w:tc>
        <w:tc>
          <w:tcPr>
            <w:tcW w:w="889" w:type="dxa"/>
            <w:tcBorders>
              <w:top w:val="single" w:sz="4" w:space="0" w:color="auto"/>
              <w:bottom w:val="single" w:sz="12" w:space="0" w:color="auto"/>
            </w:tcBorders>
            <w:shd w:val="clear" w:color="auto" w:fill="auto"/>
            <w:vAlign w:val="bottom"/>
          </w:tcPr>
          <w:p w14:paraId="4C956350" w14:textId="77777777" w:rsidR="00744544" w:rsidRPr="00A66C9F" w:rsidRDefault="00744544" w:rsidP="00107D5D">
            <w:pPr>
              <w:suppressAutoHyphens/>
              <w:spacing w:before="81" w:after="81" w:line="210" w:lineRule="exact"/>
              <w:ind w:right="43"/>
              <w:jc w:val="right"/>
              <w:rPr>
                <w:b/>
                <w:bCs/>
                <w:sz w:val="17"/>
                <w:szCs w:val="17"/>
                <w:lang w:val="fr-FR"/>
              </w:rPr>
            </w:pPr>
            <w:r w:rsidRPr="00A66C9F">
              <w:rPr>
                <w:b/>
                <w:bCs/>
                <w:sz w:val="17"/>
                <w:szCs w:val="17"/>
                <w:lang w:val="fr-FR"/>
              </w:rPr>
              <w:t xml:space="preserve"> 36 222 </w:t>
            </w:r>
          </w:p>
        </w:tc>
        <w:tc>
          <w:tcPr>
            <w:tcW w:w="1046" w:type="dxa"/>
            <w:tcBorders>
              <w:top w:val="single" w:sz="4" w:space="0" w:color="auto"/>
              <w:bottom w:val="single" w:sz="12" w:space="0" w:color="auto"/>
            </w:tcBorders>
            <w:shd w:val="clear" w:color="auto" w:fill="auto"/>
            <w:vAlign w:val="bottom"/>
          </w:tcPr>
          <w:p w14:paraId="1A0FBFE4" w14:textId="77777777" w:rsidR="00744544" w:rsidRPr="00A66C9F" w:rsidRDefault="00744544" w:rsidP="00107D5D">
            <w:pPr>
              <w:suppressAutoHyphens/>
              <w:spacing w:before="81" w:after="81" w:line="210" w:lineRule="exact"/>
              <w:ind w:right="43"/>
              <w:jc w:val="right"/>
              <w:rPr>
                <w:b/>
                <w:bCs/>
                <w:sz w:val="17"/>
                <w:szCs w:val="17"/>
                <w:lang w:val="fr-FR"/>
              </w:rPr>
            </w:pPr>
            <w:r w:rsidRPr="00A66C9F">
              <w:rPr>
                <w:b/>
                <w:bCs/>
                <w:sz w:val="17"/>
                <w:szCs w:val="17"/>
                <w:lang w:val="fr-FR"/>
              </w:rPr>
              <w:t xml:space="preserve"> 32 212 </w:t>
            </w:r>
          </w:p>
        </w:tc>
        <w:tc>
          <w:tcPr>
            <w:tcW w:w="837" w:type="dxa"/>
            <w:gridSpan w:val="2"/>
            <w:tcBorders>
              <w:top w:val="single" w:sz="4" w:space="0" w:color="auto"/>
              <w:bottom w:val="single" w:sz="12" w:space="0" w:color="auto"/>
            </w:tcBorders>
            <w:shd w:val="clear" w:color="auto" w:fill="auto"/>
            <w:vAlign w:val="bottom"/>
          </w:tcPr>
          <w:p w14:paraId="694160C6" w14:textId="77777777" w:rsidR="00744544" w:rsidRPr="00A66C9F" w:rsidRDefault="00744544" w:rsidP="00107D5D">
            <w:pPr>
              <w:suppressAutoHyphens/>
              <w:spacing w:before="81" w:after="81" w:line="210" w:lineRule="exact"/>
              <w:ind w:right="43"/>
              <w:jc w:val="right"/>
              <w:rPr>
                <w:b/>
                <w:bCs/>
                <w:sz w:val="17"/>
                <w:szCs w:val="17"/>
                <w:lang w:val="fr-FR"/>
              </w:rPr>
            </w:pPr>
            <w:r w:rsidRPr="00A66C9F">
              <w:rPr>
                <w:b/>
                <w:bCs/>
                <w:sz w:val="17"/>
                <w:szCs w:val="17"/>
                <w:lang w:val="fr-FR"/>
              </w:rPr>
              <w:t xml:space="preserve"> 1 235 </w:t>
            </w:r>
          </w:p>
        </w:tc>
        <w:tc>
          <w:tcPr>
            <w:tcW w:w="837" w:type="dxa"/>
            <w:gridSpan w:val="2"/>
            <w:tcBorders>
              <w:top w:val="single" w:sz="4" w:space="0" w:color="auto"/>
              <w:bottom w:val="single" w:sz="12" w:space="0" w:color="auto"/>
            </w:tcBorders>
            <w:shd w:val="clear" w:color="auto" w:fill="auto"/>
            <w:vAlign w:val="bottom"/>
          </w:tcPr>
          <w:p w14:paraId="0C2A68B2" w14:textId="77777777" w:rsidR="00744544" w:rsidRPr="00A66C9F" w:rsidRDefault="00744544" w:rsidP="00107D5D">
            <w:pPr>
              <w:suppressAutoHyphens/>
              <w:spacing w:before="81" w:after="81" w:line="210" w:lineRule="exact"/>
              <w:ind w:right="43"/>
              <w:jc w:val="right"/>
              <w:rPr>
                <w:b/>
                <w:bCs/>
                <w:sz w:val="17"/>
                <w:szCs w:val="17"/>
                <w:lang w:val="fr-FR"/>
              </w:rPr>
            </w:pPr>
            <w:r w:rsidRPr="00A66C9F">
              <w:rPr>
                <w:b/>
                <w:bCs/>
                <w:sz w:val="17"/>
                <w:szCs w:val="17"/>
                <w:lang w:val="fr-FR"/>
              </w:rPr>
              <w:t xml:space="preserve"> 450 </w:t>
            </w:r>
          </w:p>
        </w:tc>
        <w:tc>
          <w:tcPr>
            <w:tcW w:w="837" w:type="dxa"/>
            <w:tcBorders>
              <w:top w:val="single" w:sz="4" w:space="0" w:color="auto"/>
              <w:bottom w:val="single" w:sz="12" w:space="0" w:color="auto"/>
            </w:tcBorders>
            <w:shd w:val="clear" w:color="auto" w:fill="auto"/>
            <w:vAlign w:val="bottom"/>
          </w:tcPr>
          <w:p w14:paraId="51FF2332" w14:textId="77777777" w:rsidR="00744544" w:rsidRPr="00A66C9F" w:rsidRDefault="00744544" w:rsidP="00107D5D">
            <w:pPr>
              <w:suppressAutoHyphens/>
              <w:spacing w:before="81" w:after="81" w:line="210" w:lineRule="exact"/>
              <w:ind w:right="43"/>
              <w:jc w:val="right"/>
              <w:rPr>
                <w:b/>
                <w:bCs/>
                <w:sz w:val="17"/>
                <w:szCs w:val="17"/>
                <w:lang w:val="fr-FR"/>
              </w:rPr>
            </w:pPr>
            <w:r w:rsidRPr="00A66C9F">
              <w:rPr>
                <w:b/>
                <w:bCs/>
                <w:sz w:val="17"/>
                <w:szCs w:val="17"/>
                <w:lang w:val="fr-FR"/>
              </w:rPr>
              <w:t xml:space="preserve"> 70 119 </w:t>
            </w:r>
          </w:p>
        </w:tc>
      </w:tr>
    </w:tbl>
    <w:p w14:paraId="5082585B" w14:textId="77777777" w:rsidR="00744544" w:rsidRPr="00A66C9F" w:rsidRDefault="00744544" w:rsidP="00744544">
      <w:pPr>
        <w:pStyle w:val="SingleTxt"/>
        <w:spacing w:after="0" w:line="120" w:lineRule="exact"/>
        <w:rPr>
          <w:sz w:val="10"/>
          <w:lang w:val="fr-FR"/>
        </w:rPr>
      </w:pPr>
    </w:p>
    <w:p w14:paraId="338476EC" w14:textId="77777777" w:rsidR="00744544" w:rsidRPr="00A66C9F" w:rsidRDefault="00744544" w:rsidP="00744544">
      <w:pPr>
        <w:pStyle w:val="SingleTxt"/>
        <w:spacing w:after="0" w:line="120" w:lineRule="exact"/>
        <w:rPr>
          <w:sz w:val="10"/>
          <w:szCs w:val="20"/>
          <w:lang w:val="fr-FR"/>
        </w:rPr>
      </w:pPr>
    </w:p>
    <w:p w14:paraId="7BD309BB" w14:textId="77777777" w:rsidR="00744544" w:rsidRPr="00A66C9F" w:rsidRDefault="00744544" w:rsidP="00744544">
      <w:pPr>
        <w:pStyle w:val="SingleTxt"/>
        <w:spacing w:after="0" w:line="120" w:lineRule="exact"/>
        <w:rPr>
          <w:sz w:val="10"/>
          <w:szCs w:val="20"/>
          <w:lang w:val="fr-FR"/>
        </w:rPr>
      </w:pPr>
    </w:p>
    <w:p w14:paraId="6A294E81"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A66C9F">
        <w:rPr>
          <w:lang w:val="fr-FR"/>
        </w:rPr>
        <w:tab/>
      </w:r>
      <w:r w:rsidRPr="00A66C9F">
        <w:rPr>
          <w:lang w:val="fr-FR"/>
        </w:rPr>
        <w:tab/>
        <w:t>Note 17</w:t>
      </w:r>
    </w:p>
    <w:p w14:paraId="4DB5A991"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Charges diverses</w:t>
      </w:r>
    </w:p>
    <w:p w14:paraId="4D36FF6F" w14:textId="77777777" w:rsidR="00744544" w:rsidRPr="00A66C9F" w:rsidRDefault="00744544" w:rsidP="00744544">
      <w:pPr>
        <w:pStyle w:val="SingleTxt"/>
        <w:spacing w:after="0" w:line="120" w:lineRule="exact"/>
        <w:rPr>
          <w:sz w:val="10"/>
          <w:lang w:val="fr-FR"/>
        </w:rPr>
      </w:pPr>
    </w:p>
    <w:p w14:paraId="51F22468" w14:textId="77777777" w:rsidR="00744544" w:rsidRPr="00A66C9F" w:rsidRDefault="00744544" w:rsidP="00753AB8">
      <w:pPr>
        <w:pStyle w:val="SingleTxt"/>
        <w:numPr>
          <w:ilvl w:val="0"/>
          <w:numId w:val="18"/>
        </w:numPr>
        <w:spacing w:line="240" w:lineRule="exact"/>
        <w:rPr>
          <w:szCs w:val="20"/>
          <w:lang w:val="fr-FR"/>
        </w:rPr>
      </w:pPr>
      <w:bookmarkStart w:id="396" w:name="_Toc301946146"/>
      <w:bookmarkStart w:id="397" w:name="_Toc301946147"/>
      <w:bookmarkStart w:id="398" w:name="_Toc307817888"/>
      <w:bookmarkStart w:id="399" w:name="_Toc307817889"/>
      <w:bookmarkStart w:id="400" w:name="_Toc307817890"/>
      <w:bookmarkStart w:id="401" w:name="_Toc301946151"/>
      <w:bookmarkStart w:id="402" w:name="_Toc301946152"/>
      <w:bookmarkStart w:id="403" w:name="_Toc301946153"/>
      <w:bookmarkStart w:id="404" w:name="_Toc335646595"/>
      <w:bookmarkStart w:id="405" w:name="_Toc335646855"/>
      <w:bookmarkStart w:id="406" w:name="_Toc335647113"/>
      <w:bookmarkStart w:id="407" w:name="_Toc335646596"/>
      <w:bookmarkStart w:id="408" w:name="_Toc335646856"/>
      <w:bookmarkStart w:id="409" w:name="_Toc335647114"/>
      <w:bookmarkStart w:id="410" w:name="_Toc335646597"/>
      <w:bookmarkStart w:id="411" w:name="_Toc335646857"/>
      <w:bookmarkStart w:id="412" w:name="_Toc335647115"/>
      <w:bookmarkStart w:id="413" w:name="_Toc335646598"/>
      <w:bookmarkStart w:id="414" w:name="_Toc335646858"/>
      <w:bookmarkStart w:id="415" w:name="_Toc335647116"/>
      <w:bookmarkStart w:id="416" w:name="_Toc335646599"/>
      <w:bookmarkStart w:id="417" w:name="_Toc335646859"/>
      <w:bookmarkStart w:id="418" w:name="_Toc335647117"/>
      <w:bookmarkStart w:id="419" w:name="_Toc335646600"/>
      <w:bookmarkStart w:id="420" w:name="_Toc335646860"/>
      <w:bookmarkStart w:id="421" w:name="_Toc335647118"/>
      <w:bookmarkStart w:id="422" w:name="_Toc339633757"/>
      <w:bookmarkStart w:id="423" w:name="_Toc339634092"/>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Pr="00A66C9F">
        <w:rPr>
          <w:lang w:val="fr-FR"/>
        </w:rPr>
        <w:t>On trouvera ci-dessous le récapitulatif des charges diverses pour la période considérée :</w:t>
      </w:r>
    </w:p>
    <w:p w14:paraId="516B96E0" w14:textId="77777777" w:rsidR="00744544" w:rsidRPr="00A66C9F" w:rsidRDefault="00744544" w:rsidP="00744544">
      <w:pPr>
        <w:pStyle w:val="SingleTxt"/>
        <w:spacing w:after="0" w:line="120" w:lineRule="exact"/>
        <w:rPr>
          <w:sz w:val="10"/>
          <w:lang w:val="fr-FR"/>
        </w:rPr>
      </w:pPr>
    </w:p>
    <w:p w14:paraId="2787FB33" w14:textId="77777777" w:rsidR="00744544" w:rsidRPr="00A66C9F" w:rsidRDefault="00744544" w:rsidP="0074454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lang w:val="fr-FR"/>
        </w:rPr>
        <w:tab/>
      </w:r>
      <w:r w:rsidRPr="00A66C9F">
        <w:rPr>
          <w:lang w:val="fr-FR"/>
        </w:rPr>
        <w:tab/>
      </w:r>
      <w:r w:rsidRPr="00A66C9F">
        <w:rPr>
          <w:sz w:val="14"/>
          <w:szCs w:val="14"/>
          <w:lang w:val="fr-FR"/>
        </w:rPr>
        <w:t>(En milliers de dollars des États-Unis)</w:t>
      </w:r>
    </w:p>
    <w:p w14:paraId="26BC959E" w14:textId="77777777" w:rsidR="00744544" w:rsidRPr="00A66C9F" w:rsidRDefault="00744544" w:rsidP="00744544">
      <w:pPr>
        <w:pStyle w:val="SingleTxt"/>
        <w:keepNext/>
        <w:spacing w:after="0" w:line="120" w:lineRule="exact"/>
        <w:rPr>
          <w:sz w:val="10"/>
          <w:lang w:val="fr-FR"/>
        </w:rPr>
      </w:pPr>
    </w:p>
    <w:p w14:paraId="2BC489D1" w14:textId="77777777" w:rsidR="00744544" w:rsidRPr="00A66C9F" w:rsidRDefault="00744544" w:rsidP="00744544">
      <w:pPr>
        <w:pStyle w:val="SingleTxt"/>
        <w:keepNext/>
        <w:spacing w:after="0" w:line="120" w:lineRule="exact"/>
        <w:rPr>
          <w:sz w:val="10"/>
          <w:lang w:val="fr-FR"/>
        </w:rPr>
      </w:pPr>
    </w:p>
    <w:tbl>
      <w:tblPr>
        <w:tblW w:w="7320" w:type="dxa"/>
        <w:tblInd w:w="1260" w:type="dxa"/>
        <w:tblLayout w:type="fixed"/>
        <w:tblCellMar>
          <w:left w:w="0" w:type="dxa"/>
          <w:right w:w="0" w:type="dxa"/>
        </w:tblCellMar>
        <w:tblLook w:val="00A0" w:firstRow="1" w:lastRow="0" w:firstColumn="1" w:lastColumn="0" w:noHBand="0" w:noVBand="0"/>
      </w:tblPr>
      <w:tblGrid>
        <w:gridCol w:w="4500"/>
        <w:gridCol w:w="1440"/>
        <w:gridCol w:w="1380"/>
      </w:tblGrid>
      <w:tr w:rsidR="00744544" w:rsidRPr="00A66C9F" w14:paraId="569CA3AF" w14:textId="77777777" w:rsidTr="00107D5D">
        <w:trPr>
          <w:trHeight w:val="291"/>
          <w:tblHeader/>
        </w:trPr>
        <w:tc>
          <w:tcPr>
            <w:tcW w:w="4500" w:type="dxa"/>
            <w:tcBorders>
              <w:top w:val="single" w:sz="4" w:space="0" w:color="auto"/>
              <w:bottom w:val="single" w:sz="12" w:space="0" w:color="auto"/>
            </w:tcBorders>
            <w:shd w:val="clear" w:color="auto" w:fill="auto"/>
            <w:vAlign w:val="bottom"/>
          </w:tcPr>
          <w:p w14:paraId="2DE7F257" w14:textId="77777777" w:rsidR="00744544" w:rsidRPr="00A66C9F" w:rsidRDefault="00744544" w:rsidP="00107D5D">
            <w:pPr>
              <w:keepNext/>
              <w:keepLines/>
              <w:suppressAutoHyphens/>
              <w:spacing w:before="81" w:after="81" w:line="160" w:lineRule="exact"/>
              <w:ind w:right="40"/>
              <w:rPr>
                <w:bCs/>
                <w:i/>
                <w:iCs/>
                <w:sz w:val="14"/>
                <w:szCs w:val="20"/>
                <w:lang w:val="fr-FR"/>
              </w:rPr>
            </w:pPr>
          </w:p>
        </w:tc>
        <w:tc>
          <w:tcPr>
            <w:tcW w:w="1440" w:type="dxa"/>
            <w:tcBorders>
              <w:top w:val="single" w:sz="4" w:space="0" w:color="auto"/>
              <w:bottom w:val="single" w:sz="12" w:space="0" w:color="auto"/>
            </w:tcBorders>
            <w:shd w:val="clear" w:color="auto" w:fill="auto"/>
            <w:vAlign w:val="bottom"/>
          </w:tcPr>
          <w:p w14:paraId="3648BE29" w14:textId="77777777" w:rsidR="00744544" w:rsidRPr="00A66C9F" w:rsidDel="005F43B7" w:rsidRDefault="00744544" w:rsidP="00107D5D">
            <w:pPr>
              <w:keepNext/>
              <w:keepLines/>
              <w:suppressAutoHyphens/>
              <w:spacing w:before="81" w:after="81" w:line="160" w:lineRule="exact"/>
              <w:ind w:right="43"/>
              <w:jc w:val="right"/>
              <w:rPr>
                <w:bCs/>
                <w:i/>
                <w:iCs/>
                <w:sz w:val="14"/>
                <w:szCs w:val="20"/>
                <w:lang w:val="fr-FR"/>
              </w:rPr>
            </w:pPr>
            <w:r w:rsidRPr="00A66C9F">
              <w:rPr>
                <w:i/>
                <w:iCs/>
                <w:sz w:val="14"/>
                <w:lang w:val="fr-FR"/>
              </w:rPr>
              <w:t>Au 31 décembre 2019</w:t>
            </w:r>
          </w:p>
        </w:tc>
        <w:tc>
          <w:tcPr>
            <w:tcW w:w="1380" w:type="dxa"/>
            <w:tcBorders>
              <w:top w:val="single" w:sz="4" w:space="0" w:color="auto"/>
              <w:bottom w:val="single" w:sz="12" w:space="0" w:color="auto"/>
            </w:tcBorders>
            <w:shd w:val="clear" w:color="auto" w:fill="auto"/>
            <w:vAlign w:val="bottom"/>
          </w:tcPr>
          <w:p w14:paraId="1FB3FA78" w14:textId="77777777" w:rsidR="00744544" w:rsidRPr="00A66C9F" w:rsidRDefault="00744544" w:rsidP="00107D5D">
            <w:pPr>
              <w:keepNext/>
              <w:keepLines/>
              <w:suppressAutoHyphens/>
              <w:spacing w:before="81" w:after="81" w:line="160" w:lineRule="exact"/>
              <w:ind w:right="43"/>
              <w:jc w:val="right"/>
              <w:rPr>
                <w:bCs/>
                <w:i/>
                <w:iCs/>
                <w:sz w:val="14"/>
                <w:szCs w:val="20"/>
                <w:lang w:val="fr-FR"/>
              </w:rPr>
            </w:pPr>
            <w:r w:rsidRPr="00A66C9F">
              <w:rPr>
                <w:i/>
                <w:iCs/>
                <w:sz w:val="14"/>
                <w:lang w:val="fr-FR"/>
              </w:rPr>
              <w:t>Au 31 décembre 2018</w:t>
            </w:r>
          </w:p>
        </w:tc>
      </w:tr>
      <w:tr w:rsidR="00744544" w:rsidRPr="00A66C9F" w14:paraId="1F8C98DF" w14:textId="77777777" w:rsidTr="00107D5D">
        <w:trPr>
          <w:trHeight w:hRule="exact" w:val="115"/>
          <w:tblHeader/>
        </w:trPr>
        <w:tc>
          <w:tcPr>
            <w:tcW w:w="4500" w:type="dxa"/>
            <w:tcBorders>
              <w:top w:val="single" w:sz="12" w:space="0" w:color="auto"/>
            </w:tcBorders>
            <w:shd w:val="clear" w:color="auto" w:fill="auto"/>
            <w:vAlign w:val="bottom"/>
          </w:tcPr>
          <w:p w14:paraId="52406576" w14:textId="77777777" w:rsidR="00744544" w:rsidRPr="00A66C9F" w:rsidRDefault="00744544" w:rsidP="00107D5D">
            <w:pPr>
              <w:keepNext/>
              <w:keepLines/>
              <w:suppressAutoHyphens/>
              <w:spacing w:before="40" w:beforeAutospacing="1" w:after="40" w:afterAutospacing="1" w:line="210" w:lineRule="exact"/>
              <w:ind w:right="40"/>
              <w:rPr>
                <w:sz w:val="17"/>
                <w:lang w:val="fr-FR"/>
              </w:rPr>
            </w:pPr>
          </w:p>
        </w:tc>
        <w:tc>
          <w:tcPr>
            <w:tcW w:w="1440" w:type="dxa"/>
            <w:tcBorders>
              <w:top w:val="single" w:sz="12" w:space="0" w:color="auto"/>
            </w:tcBorders>
            <w:shd w:val="clear" w:color="auto" w:fill="auto"/>
            <w:vAlign w:val="bottom"/>
          </w:tcPr>
          <w:p w14:paraId="0B81477F" w14:textId="77777777" w:rsidR="00744544" w:rsidRPr="00A66C9F" w:rsidRDefault="00744544" w:rsidP="00107D5D">
            <w:pPr>
              <w:keepNext/>
              <w:keepLines/>
              <w:suppressAutoHyphens/>
              <w:spacing w:before="40" w:after="40" w:line="210" w:lineRule="exact"/>
              <w:ind w:right="43"/>
              <w:jc w:val="right"/>
              <w:rPr>
                <w:sz w:val="17"/>
                <w:lang w:val="fr-FR"/>
              </w:rPr>
            </w:pPr>
          </w:p>
        </w:tc>
        <w:tc>
          <w:tcPr>
            <w:tcW w:w="1380" w:type="dxa"/>
            <w:tcBorders>
              <w:top w:val="single" w:sz="12" w:space="0" w:color="auto"/>
            </w:tcBorders>
            <w:shd w:val="clear" w:color="auto" w:fill="auto"/>
            <w:vAlign w:val="bottom"/>
          </w:tcPr>
          <w:p w14:paraId="79A08EA0" w14:textId="77777777" w:rsidR="00744544" w:rsidRPr="00A66C9F" w:rsidRDefault="00744544" w:rsidP="00107D5D">
            <w:pPr>
              <w:keepNext/>
              <w:keepLines/>
              <w:suppressAutoHyphens/>
              <w:spacing w:before="40" w:after="40" w:line="210" w:lineRule="exact"/>
              <w:ind w:right="43"/>
              <w:jc w:val="right"/>
              <w:rPr>
                <w:sz w:val="17"/>
                <w:lang w:val="fr-FR"/>
              </w:rPr>
            </w:pPr>
          </w:p>
        </w:tc>
      </w:tr>
      <w:tr w:rsidR="00744544" w:rsidRPr="00A66C9F" w14:paraId="7B94278A" w14:textId="77777777" w:rsidTr="00107D5D">
        <w:tc>
          <w:tcPr>
            <w:tcW w:w="4500" w:type="dxa"/>
            <w:shd w:val="clear" w:color="auto" w:fill="auto"/>
            <w:vAlign w:val="bottom"/>
          </w:tcPr>
          <w:p w14:paraId="6FD16984"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Fonds de secours</w:t>
            </w:r>
          </w:p>
        </w:tc>
        <w:tc>
          <w:tcPr>
            <w:tcW w:w="1440" w:type="dxa"/>
            <w:shd w:val="clear" w:color="auto" w:fill="auto"/>
            <w:vAlign w:val="bottom"/>
          </w:tcPr>
          <w:p w14:paraId="4FC9EA3C"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38</w:t>
            </w:r>
          </w:p>
        </w:tc>
        <w:tc>
          <w:tcPr>
            <w:tcW w:w="1380" w:type="dxa"/>
            <w:shd w:val="clear" w:color="auto" w:fill="auto"/>
            <w:vAlign w:val="bottom"/>
          </w:tcPr>
          <w:p w14:paraId="102BCE40"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97</w:t>
            </w:r>
          </w:p>
        </w:tc>
      </w:tr>
      <w:tr w:rsidR="00744544" w:rsidRPr="00A66C9F" w14:paraId="4B23B4F7" w14:textId="77777777" w:rsidTr="00107D5D">
        <w:tc>
          <w:tcPr>
            <w:tcW w:w="4500" w:type="dxa"/>
            <w:tcBorders>
              <w:bottom w:val="single" w:sz="4" w:space="0" w:color="auto"/>
            </w:tcBorders>
            <w:shd w:val="clear" w:color="auto" w:fill="auto"/>
            <w:vAlign w:val="bottom"/>
          </w:tcPr>
          <w:p w14:paraId="7DBDE578" w14:textId="77777777" w:rsidR="00744544" w:rsidRPr="00A66C9F" w:rsidRDefault="00744544" w:rsidP="00107D5D">
            <w:pPr>
              <w:keepNext/>
              <w:keepLines/>
              <w:tabs>
                <w:tab w:val="left" w:pos="288"/>
                <w:tab w:val="left" w:pos="576"/>
                <w:tab w:val="left" w:pos="864"/>
                <w:tab w:val="left" w:pos="1152"/>
              </w:tabs>
              <w:suppressAutoHyphens/>
              <w:spacing w:before="40" w:after="81" w:line="210" w:lineRule="exact"/>
              <w:ind w:right="40"/>
              <w:rPr>
                <w:sz w:val="17"/>
                <w:szCs w:val="17"/>
                <w:lang w:val="fr-FR"/>
              </w:rPr>
            </w:pPr>
            <w:r w:rsidRPr="00A66C9F">
              <w:rPr>
                <w:sz w:val="17"/>
                <w:lang w:val="fr-FR"/>
              </w:rPr>
              <w:t xml:space="preserve">Provision pour les prestations indûment versées impossibles à recouvrer </w:t>
            </w:r>
          </w:p>
        </w:tc>
        <w:tc>
          <w:tcPr>
            <w:tcW w:w="1440" w:type="dxa"/>
            <w:tcBorders>
              <w:bottom w:val="single" w:sz="4" w:space="0" w:color="auto"/>
            </w:tcBorders>
            <w:shd w:val="clear" w:color="auto" w:fill="auto"/>
            <w:vAlign w:val="bottom"/>
          </w:tcPr>
          <w:p w14:paraId="79193509" w14:textId="77777777" w:rsidR="00744544" w:rsidRPr="00A66C9F" w:rsidRDefault="00744544" w:rsidP="00107D5D">
            <w:pPr>
              <w:keepNext/>
              <w:keepLines/>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lang w:val="fr-FR"/>
              </w:rPr>
              <w:t xml:space="preserve"> 914</w:t>
            </w:r>
          </w:p>
        </w:tc>
        <w:tc>
          <w:tcPr>
            <w:tcW w:w="1380" w:type="dxa"/>
            <w:tcBorders>
              <w:bottom w:val="single" w:sz="4" w:space="0" w:color="auto"/>
            </w:tcBorders>
            <w:shd w:val="clear" w:color="auto" w:fill="auto"/>
            <w:vAlign w:val="bottom"/>
          </w:tcPr>
          <w:p w14:paraId="571491A1" w14:textId="77777777" w:rsidR="00744544" w:rsidRPr="00A66C9F" w:rsidRDefault="00744544" w:rsidP="00107D5D">
            <w:pPr>
              <w:keepNext/>
              <w:keepLines/>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lang w:val="fr-FR"/>
              </w:rPr>
              <w:t>722</w:t>
            </w:r>
          </w:p>
        </w:tc>
      </w:tr>
      <w:tr w:rsidR="00744544" w:rsidRPr="00A66C9F" w14:paraId="7B9BD36E" w14:textId="77777777" w:rsidTr="00107D5D">
        <w:tc>
          <w:tcPr>
            <w:tcW w:w="4500" w:type="dxa"/>
            <w:tcBorders>
              <w:top w:val="single" w:sz="4" w:space="0" w:color="auto"/>
              <w:bottom w:val="single" w:sz="12" w:space="0" w:color="auto"/>
            </w:tcBorders>
            <w:shd w:val="clear" w:color="auto" w:fill="auto"/>
            <w:vAlign w:val="bottom"/>
          </w:tcPr>
          <w:p w14:paraId="33E23BA7" w14:textId="77777777" w:rsidR="00744544" w:rsidRPr="00A66C9F" w:rsidRDefault="00744544" w:rsidP="00480329">
            <w:pPr>
              <w:tabs>
                <w:tab w:val="left" w:pos="288"/>
                <w:tab w:val="left" w:pos="576"/>
                <w:tab w:val="left" w:pos="864"/>
                <w:tab w:val="left" w:pos="1152"/>
              </w:tabs>
              <w:suppressAutoHyphens/>
              <w:spacing w:before="81" w:after="81" w:line="210" w:lineRule="exact"/>
              <w:ind w:right="43"/>
              <w:rPr>
                <w:b/>
                <w:sz w:val="17"/>
                <w:szCs w:val="17"/>
                <w:lang w:val="fr-FR"/>
              </w:rPr>
            </w:pPr>
            <w:r w:rsidRPr="00A66C9F">
              <w:rPr>
                <w:b/>
                <w:bCs/>
                <w:sz w:val="17"/>
                <w:lang w:val="fr-FR"/>
              </w:rPr>
              <w:tab/>
              <w:t>Total</w:t>
            </w:r>
          </w:p>
        </w:tc>
        <w:tc>
          <w:tcPr>
            <w:tcW w:w="1440" w:type="dxa"/>
            <w:tcBorders>
              <w:top w:val="single" w:sz="4" w:space="0" w:color="auto"/>
              <w:bottom w:val="single" w:sz="12" w:space="0" w:color="auto"/>
            </w:tcBorders>
            <w:shd w:val="clear" w:color="auto" w:fill="auto"/>
            <w:vAlign w:val="bottom"/>
          </w:tcPr>
          <w:p w14:paraId="091739EE" w14:textId="77777777" w:rsidR="00744544" w:rsidRPr="00A66C9F" w:rsidRDefault="00744544" w:rsidP="00480329">
            <w:pPr>
              <w:tabs>
                <w:tab w:val="left" w:pos="288"/>
                <w:tab w:val="left" w:pos="576"/>
                <w:tab w:val="left" w:pos="864"/>
                <w:tab w:val="left" w:pos="1152"/>
              </w:tabs>
              <w:suppressAutoHyphens/>
              <w:spacing w:before="81" w:after="81" w:line="210" w:lineRule="exact"/>
              <w:ind w:right="43"/>
              <w:jc w:val="right"/>
              <w:rPr>
                <w:b/>
                <w:bCs/>
                <w:sz w:val="17"/>
                <w:szCs w:val="17"/>
                <w:lang w:val="fr-FR"/>
              </w:rPr>
            </w:pPr>
            <w:r w:rsidRPr="00A66C9F">
              <w:rPr>
                <w:b/>
                <w:sz w:val="17"/>
                <w:lang w:val="fr-FR"/>
              </w:rPr>
              <w:t xml:space="preserve"> </w:t>
            </w:r>
            <w:r w:rsidRPr="00A66C9F">
              <w:rPr>
                <w:b/>
                <w:bCs/>
                <w:sz w:val="17"/>
                <w:lang w:val="fr-FR"/>
              </w:rPr>
              <w:t>952</w:t>
            </w:r>
          </w:p>
        </w:tc>
        <w:tc>
          <w:tcPr>
            <w:tcW w:w="1380" w:type="dxa"/>
            <w:tcBorders>
              <w:top w:val="single" w:sz="4" w:space="0" w:color="auto"/>
              <w:bottom w:val="single" w:sz="12" w:space="0" w:color="auto"/>
            </w:tcBorders>
            <w:shd w:val="clear" w:color="auto" w:fill="auto"/>
            <w:vAlign w:val="bottom"/>
          </w:tcPr>
          <w:p w14:paraId="5B162525" w14:textId="77777777" w:rsidR="00744544" w:rsidRPr="00A66C9F" w:rsidRDefault="00744544" w:rsidP="00480329">
            <w:pPr>
              <w:tabs>
                <w:tab w:val="left" w:pos="288"/>
                <w:tab w:val="left" w:pos="576"/>
                <w:tab w:val="left" w:pos="864"/>
                <w:tab w:val="left" w:pos="1152"/>
              </w:tabs>
              <w:suppressAutoHyphens/>
              <w:spacing w:before="81" w:after="81" w:line="210" w:lineRule="exact"/>
              <w:ind w:right="43"/>
              <w:jc w:val="right"/>
              <w:rPr>
                <w:b/>
                <w:bCs/>
                <w:sz w:val="17"/>
                <w:szCs w:val="17"/>
                <w:lang w:val="fr-FR"/>
              </w:rPr>
            </w:pPr>
            <w:r w:rsidRPr="00A66C9F">
              <w:rPr>
                <w:b/>
                <w:bCs/>
                <w:sz w:val="17"/>
                <w:lang w:val="fr-FR"/>
              </w:rPr>
              <w:t>819</w:t>
            </w:r>
          </w:p>
        </w:tc>
      </w:tr>
    </w:tbl>
    <w:p w14:paraId="240B1EBF" w14:textId="77777777" w:rsidR="00744544" w:rsidRPr="00A66C9F" w:rsidRDefault="00744544" w:rsidP="00744544">
      <w:pPr>
        <w:pStyle w:val="SingleTxt"/>
        <w:spacing w:after="0" w:line="120" w:lineRule="exact"/>
        <w:rPr>
          <w:sz w:val="10"/>
          <w:lang w:val="fr-FR"/>
        </w:rPr>
      </w:pPr>
    </w:p>
    <w:p w14:paraId="59A73B8F" w14:textId="77777777" w:rsidR="00744544" w:rsidRPr="00A66C9F" w:rsidRDefault="00744544" w:rsidP="00744544">
      <w:pPr>
        <w:pStyle w:val="SingleTxt"/>
        <w:spacing w:after="0" w:line="120" w:lineRule="exact"/>
        <w:rPr>
          <w:sz w:val="10"/>
          <w:lang w:val="fr-FR"/>
        </w:rPr>
      </w:pPr>
    </w:p>
    <w:p w14:paraId="7FA4C34C" w14:textId="77777777" w:rsidR="00744544" w:rsidRPr="00A66C9F" w:rsidRDefault="00744544" w:rsidP="00744544">
      <w:pPr>
        <w:pStyle w:val="SingleTxt"/>
        <w:spacing w:after="0" w:line="120" w:lineRule="exact"/>
        <w:rPr>
          <w:sz w:val="10"/>
          <w:lang w:val="fr-FR"/>
        </w:rPr>
      </w:pPr>
    </w:p>
    <w:p w14:paraId="6EE53F74"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Arial"/>
          <w:szCs w:val="24"/>
          <w:lang w:val="fr-FR"/>
        </w:rPr>
      </w:pPr>
      <w:r w:rsidRPr="00A66C9F">
        <w:rPr>
          <w:lang w:val="fr-FR"/>
        </w:rPr>
        <w:tab/>
      </w:r>
      <w:r w:rsidRPr="00A66C9F">
        <w:rPr>
          <w:lang w:val="fr-FR"/>
        </w:rPr>
        <w:tab/>
        <w:t>Note 18</w:t>
      </w:r>
    </w:p>
    <w:p w14:paraId="6BC0474A"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Situation actuarielle de la Caisse</w:t>
      </w:r>
    </w:p>
    <w:p w14:paraId="4A7BCF5A" w14:textId="77777777" w:rsidR="00744544" w:rsidRPr="00A66C9F" w:rsidRDefault="00744544" w:rsidP="0074454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fr-FR"/>
        </w:rPr>
      </w:pPr>
      <w:r w:rsidRPr="00A66C9F">
        <w:rPr>
          <w:lang w:val="fr-FR"/>
        </w:rPr>
        <w:tab/>
      </w:r>
      <w:r w:rsidRPr="00A66C9F">
        <w:rPr>
          <w:lang w:val="fr-FR"/>
        </w:rPr>
        <w:tab/>
      </w:r>
      <w:r w:rsidRPr="00A66C9F">
        <w:rPr>
          <w:szCs w:val="20"/>
          <w:lang w:val="fr-FR"/>
        </w:rPr>
        <w:t>(voir aussi la note 1.5)</w:t>
      </w:r>
    </w:p>
    <w:p w14:paraId="0ACE9813" w14:textId="77777777" w:rsidR="00744544" w:rsidRPr="00A66C9F" w:rsidRDefault="00744544" w:rsidP="00744544">
      <w:pPr>
        <w:pStyle w:val="SingleTxt"/>
        <w:spacing w:after="0" w:line="120" w:lineRule="exact"/>
        <w:rPr>
          <w:sz w:val="10"/>
          <w:lang w:val="fr-FR"/>
        </w:rPr>
      </w:pPr>
    </w:p>
    <w:p w14:paraId="32ACC55A" w14:textId="77777777" w:rsidR="00744544" w:rsidRPr="00A66C9F" w:rsidRDefault="00744544" w:rsidP="00753AB8">
      <w:pPr>
        <w:pStyle w:val="SingleTxt"/>
        <w:numPr>
          <w:ilvl w:val="0"/>
          <w:numId w:val="18"/>
        </w:numPr>
        <w:spacing w:line="240" w:lineRule="exact"/>
        <w:rPr>
          <w:szCs w:val="20"/>
          <w:lang w:val="fr-FR"/>
        </w:rPr>
      </w:pPr>
      <w:bookmarkStart w:id="424" w:name="_Hlk3813303"/>
      <w:bookmarkEnd w:id="422"/>
      <w:bookmarkEnd w:id="423"/>
      <w:r w:rsidRPr="00A66C9F">
        <w:rPr>
          <w:lang w:val="fr-FR"/>
        </w:rPr>
        <w:t>La Caisse sert des prestations de retraite, de décès et d’invalidité et d’autres prestations connexes au personnel de l’ONU et des autres organisations admises à s’y affilier. Les droits à pension accumulés (ou prestations promises) représentent la valeur actuarielle totale de ces prestations futures, qui sont attribuables, en vertu des dispositions du Règlement de la Caisse, aux services rendus par les intéressés, à la date de l’évaluation actuarielle. Ces droits acquis à prestations recouvrent les prestations à verser : a) aux fonctionnaires retraités ou ayant cessé leur service ou à leurs ayants droit ; b) aux ayants droit de fonctionnaires décédés ; c) aux fonctionnaires en activité ou à leurs ayants droit.</w:t>
      </w:r>
    </w:p>
    <w:p w14:paraId="291BED3B" w14:textId="77777777" w:rsidR="00744544" w:rsidRPr="00A66C9F" w:rsidRDefault="00744544" w:rsidP="00753AB8">
      <w:pPr>
        <w:pStyle w:val="SingleTxt"/>
        <w:numPr>
          <w:ilvl w:val="0"/>
          <w:numId w:val="18"/>
        </w:numPr>
        <w:spacing w:line="240" w:lineRule="exact"/>
        <w:rPr>
          <w:szCs w:val="20"/>
          <w:lang w:val="fr-FR"/>
        </w:rPr>
      </w:pPr>
      <w:r w:rsidRPr="00A66C9F">
        <w:rPr>
          <w:szCs w:val="20"/>
          <w:lang w:val="fr-FR"/>
        </w:rPr>
        <w:t>Les</w:t>
      </w:r>
      <w:r w:rsidRPr="00A66C9F">
        <w:rPr>
          <w:lang w:val="fr-FR"/>
        </w:rPr>
        <w:t xml:space="preserve"> prestations à servir en toute circonstance – retraite, décès, invalidité et cessation de service – sont comptées dans la mesure où elles sont jugées attribuables aux services rendus par les fonctionnaires à la date de l’évaluation.</w:t>
      </w:r>
    </w:p>
    <w:p w14:paraId="2F68BA9D" w14:textId="77777777" w:rsidR="00744544" w:rsidRPr="00A66C9F" w:rsidRDefault="00744544" w:rsidP="00753AB8">
      <w:pPr>
        <w:pStyle w:val="SingleTxt"/>
        <w:numPr>
          <w:ilvl w:val="0"/>
          <w:numId w:val="18"/>
        </w:numPr>
        <w:spacing w:line="240" w:lineRule="exact"/>
        <w:rPr>
          <w:szCs w:val="20"/>
          <w:lang w:val="fr-FR"/>
        </w:rPr>
      </w:pPr>
      <w:r w:rsidRPr="00A66C9F">
        <w:rPr>
          <w:lang w:val="fr-FR"/>
        </w:rPr>
        <w:t>La valeur actuarielle des droits accumulés à prestations (prestations promises) (qui ne tient pas compte des augmentations futures de la rémunération considérée aux fins de la pension) est établie par des actuaires indépendants, et son montant est calculé par application d’hypothèses actuarielles pour ajuster les droits accumulés à prestations afin de traduire la valeur temps de l’argent (par application de coefficients d’actualisation pour l’intérêt) et la probabilité du paiement (au moyen de réductions notamment pour tenir compte des cas de décès, d’invalidité, de retrait ou de départ à la retraite) entre la date de l’évaluation et la date escomptée du paiement.</w:t>
      </w:r>
    </w:p>
    <w:p w14:paraId="5FCBEC21" w14:textId="77777777" w:rsidR="00744544" w:rsidRPr="00A66C9F" w:rsidRDefault="00744544" w:rsidP="00753AB8">
      <w:pPr>
        <w:pStyle w:val="SingleTxt"/>
        <w:numPr>
          <w:ilvl w:val="0"/>
          <w:numId w:val="18"/>
        </w:numPr>
        <w:spacing w:line="240" w:lineRule="exact"/>
        <w:rPr>
          <w:szCs w:val="20"/>
          <w:lang w:val="fr-FR"/>
        </w:rPr>
      </w:pPr>
      <w:r w:rsidRPr="00A66C9F">
        <w:rPr>
          <w:lang w:val="fr-FR"/>
        </w:rPr>
        <w:t>La Caisse applique les lignes directrices figurant dans la norme IAS 26.28 b) et communique la valeur actuarielle des prestations de retraite promises dans les notes relatives à ses états financiers.</w:t>
      </w:r>
    </w:p>
    <w:p w14:paraId="2D2E98B0" w14:textId="77777777" w:rsidR="00744544" w:rsidRPr="00A66C9F" w:rsidRDefault="00744544" w:rsidP="00744544">
      <w:pPr>
        <w:pStyle w:val="SingleTxt"/>
        <w:spacing w:after="0" w:line="120" w:lineRule="exact"/>
        <w:rPr>
          <w:sz w:val="10"/>
          <w:lang w:val="fr-FR"/>
        </w:rPr>
      </w:pPr>
    </w:p>
    <w:p w14:paraId="6FA46496" w14:textId="77777777" w:rsidR="00744544" w:rsidRPr="00A66C9F" w:rsidRDefault="00744544" w:rsidP="0074454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Principales hypothèses</w:t>
      </w:r>
    </w:p>
    <w:p w14:paraId="10B3C7BB" w14:textId="77777777" w:rsidR="00744544" w:rsidRPr="00A66C9F" w:rsidRDefault="00744544" w:rsidP="00744544">
      <w:pPr>
        <w:pStyle w:val="SingleTxt"/>
        <w:spacing w:after="0" w:line="120" w:lineRule="exact"/>
        <w:rPr>
          <w:sz w:val="10"/>
          <w:lang w:val="fr-FR"/>
        </w:rPr>
      </w:pPr>
    </w:p>
    <w:p w14:paraId="5C020083" w14:textId="77777777" w:rsidR="00744544" w:rsidRPr="00A66C9F" w:rsidRDefault="00744544" w:rsidP="00753AB8">
      <w:pPr>
        <w:pStyle w:val="SingleTxt"/>
        <w:numPr>
          <w:ilvl w:val="0"/>
          <w:numId w:val="18"/>
        </w:numPr>
        <w:spacing w:line="240" w:lineRule="exact"/>
        <w:rPr>
          <w:szCs w:val="20"/>
          <w:lang w:val="fr-FR"/>
        </w:rPr>
      </w:pPr>
      <w:r w:rsidRPr="00A66C9F">
        <w:rPr>
          <w:lang w:val="fr-FR"/>
        </w:rPr>
        <w:t>Les principales hypothèses actuarielles retenues pour l’évaluation sont les mêmes que celles qui avaient été adoptées pour l’évaluation au 31 décembre 2019, à savoir :</w:t>
      </w:r>
    </w:p>
    <w:p w14:paraId="53DA888A" w14:textId="77777777" w:rsidR="00744544" w:rsidRPr="00A66C9F" w:rsidRDefault="00744544" w:rsidP="00744544">
      <w:pPr>
        <w:pStyle w:val="SingleTxt"/>
        <w:tabs>
          <w:tab w:val="right" w:pos="1685"/>
        </w:tabs>
        <w:ind w:left="1742" w:hanging="475"/>
        <w:rPr>
          <w:spacing w:val="-2"/>
          <w:lang w:val="fr-FR"/>
        </w:rPr>
      </w:pPr>
      <w:r w:rsidRPr="00A66C9F">
        <w:rPr>
          <w:lang w:val="fr-FR"/>
        </w:rPr>
        <w:tab/>
        <w:t>•</w:t>
      </w:r>
      <w:r w:rsidRPr="00A66C9F">
        <w:rPr>
          <w:lang w:val="fr-FR"/>
        </w:rPr>
        <w:tab/>
        <w:t>Espérance de vie des participants (tables de mortalité établies par l’ONU en 2017, corrigées pour tenir compte de l’affinement des prévisions) ;</w:t>
      </w:r>
    </w:p>
    <w:p w14:paraId="01B50601" w14:textId="77777777" w:rsidR="00744544" w:rsidRPr="00A66C9F" w:rsidRDefault="00744544" w:rsidP="00744544">
      <w:pPr>
        <w:pStyle w:val="SingleTxt"/>
        <w:tabs>
          <w:tab w:val="right" w:pos="1685"/>
        </w:tabs>
        <w:ind w:left="1742" w:hanging="475"/>
        <w:rPr>
          <w:spacing w:val="-2"/>
          <w:lang w:val="fr-FR"/>
        </w:rPr>
      </w:pPr>
      <w:r w:rsidRPr="00A66C9F">
        <w:rPr>
          <w:lang w:val="fr-FR"/>
        </w:rPr>
        <w:tab/>
        <w:t>•</w:t>
      </w:r>
      <w:r w:rsidRPr="00A66C9F">
        <w:rPr>
          <w:lang w:val="fr-FR"/>
        </w:rPr>
        <w:tab/>
        <w:t>Hypothèses concernant les départs à la retraite et le renouvellement du personnel, par âge ;</w:t>
      </w:r>
    </w:p>
    <w:p w14:paraId="18B40F1C" w14:textId="77777777" w:rsidR="00744544" w:rsidRPr="00A66C9F" w:rsidRDefault="00744544" w:rsidP="00744544">
      <w:pPr>
        <w:pStyle w:val="SingleTxt"/>
        <w:tabs>
          <w:tab w:val="right" w:pos="1685"/>
        </w:tabs>
        <w:ind w:left="1742" w:hanging="475"/>
        <w:rPr>
          <w:spacing w:val="-2"/>
          <w:lang w:val="fr-FR"/>
        </w:rPr>
      </w:pPr>
      <w:r w:rsidRPr="00A66C9F">
        <w:rPr>
          <w:lang w:val="fr-FR"/>
        </w:rPr>
        <w:tab/>
        <w:t>•</w:t>
      </w:r>
      <w:r w:rsidRPr="00A66C9F">
        <w:rPr>
          <w:lang w:val="fr-FR"/>
        </w:rPr>
        <w:tab/>
        <w:t>Hypothèses supplémentaires concernant, entre autres, le pourcentage des prestations converties en capital et le pourcentage de participants mariés ;</w:t>
      </w:r>
    </w:p>
    <w:p w14:paraId="4EB4683C" w14:textId="77777777" w:rsidR="00744544" w:rsidRPr="00A66C9F" w:rsidRDefault="00744544" w:rsidP="00744544">
      <w:pPr>
        <w:pStyle w:val="SingleTxt"/>
        <w:tabs>
          <w:tab w:val="right" w:pos="1685"/>
        </w:tabs>
        <w:ind w:left="1742" w:hanging="475"/>
        <w:rPr>
          <w:spacing w:val="-2"/>
          <w:lang w:val="fr-FR"/>
        </w:rPr>
      </w:pPr>
      <w:r w:rsidRPr="00A66C9F">
        <w:rPr>
          <w:lang w:val="fr-FR"/>
        </w:rPr>
        <w:tab/>
        <w:t>•</w:t>
      </w:r>
      <w:r w:rsidRPr="00A66C9F">
        <w:rPr>
          <w:lang w:val="fr-FR"/>
        </w:rPr>
        <w:tab/>
        <w:t>Taux de rendement nominal annuel de 6,0 %, qui sert de taux d’actualisation pour les engagements ;</w:t>
      </w:r>
    </w:p>
    <w:p w14:paraId="7A0FA614" w14:textId="77777777" w:rsidR="00744544" w:rsidRPr="00A66C9F" w:rsidRDefault="00744544" w:rsidP="00744544">
      <w:pPr>
        <w:pStyle w:val="SingleTxt"/>
        <w:tabs>
          <w:tab w:val="right" w:pos="1685"/>
        </w:tabs>
        <w:ind w:left="1742" w:hanging="475"/>
        <w:rPr>
          <w:spacing w:val="-2"/>
          <w:lang w:val="fr-FR"/>
        </w:rPr>
      </w:pPr>
      <w:r w:rsidRPr="00A66C9F">
        <w:rPr>
          <w:lang w:val="fr-FR"/>
        </w:rPr>
        <w:tab/>
        <w:t>•</w:t>
      </w:r>
      <w:r w:rsidRPr="00A66C9F">
        <w:rPr>
          <w:lang w:val="fr-FR"/>
        </w:rPr>
        <w:tab/>
        <w:t>Taux annuel de 2,5 % de hausse des pensions pour tenir compte de la progression du coût de la vie.</w:t>
      </w:r>
    </w:p>
    <w:p w14:paraId="456336C4" w14:textId="77777777" w:rsidR="00744544" w:rsidRPr="00A66C9F" w:rsidRDefault="00744544" w:rsidP="00753AB8">
      <w:pPr>
        <w:pStyle w:val="SingleTxt"/>
        <w:numPr>
          <w:ilvl w:val="0"/>
          <w:numId w:val="18"/>
        </w:numPr>
        <w:spacing w:line="240" w:lineRule="exact"/>
        <w:rPr>
          <w:szCs w:val="20"/>
          <w:lang w:val="fr-FR"/>
        </w:rPr>
      </w:pPr>
      <w:r w:rsidRPr="00A66C9F">
        <w:rPr>
          <w:lang w:val="fr-FR"/>
        </w:rPr>
        <w:t>Ces hypothèses ont été recommandées par le Comité d’actuaires et adoptées par le Comité mixte à sa soixante-sixième session, en juillet 2019. Les hypothèses actuarielles reposent sur le principe de la continuité des activités de la Caisse. S’il devait être mis fin à ces activités, il faudrait appliquer d’autres hypothèses actuarielles et d’autres coefficients pour déterminer la valeur actuarielle des droits à prestations accumulés.</w:t>
      </w:r>
    </w:p>
    <w:p w14:paraId="0A38CD74" w14:textId="77777777" w:rsidR="00744544" w:rsidRPr="00A66C9F" w:rsidRDefault="00744544" w:rsidP="00744544">
      <w:pPr>
        <w:pStyle w:val="SingleTxt"/>
        <w:spacing w:after="0" w:line="120" w:lineRule="exact"/>
        <w:rPr>
          <w:sz w:val="10"/>
          <w:lang w:val="fr-FR"/>
        </w:rPr>
      </w:pPr>
    </w:p>
    <w:p w14:paraId="402EA339" w14:textId="77777777" w:rsidR="00744544" w:rsidRPr="00A66C9F" w:rsidRDefault="00744544" w:rsidP="0074454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lastRenderedPageBreak/>
        <w:tab/>
      </w:r>
      <w:r w:rsidRPr="00A66C9F">
        <w:rPr>
          <w:lang w:val="fr-FR"/>
        </w:rPr>
        <w:tab/>
        <w:t>État des droits à prestations accumulés</w:t>
      </w:r>
    </w:p>
    <w:p w14:paraId="58389181" w14:textId="77777777" w:rsidR="00744544" w:rsidRPr="00A66C9F" w:rsidRDefault="00744544" w:rsidP="00744544">
      <w:pPr>
        <w:pStyle w:val="SingleTxt"/>
        <w:spacing w:after="0" w:line="120" w:lineRule="exact"/>
        <w:rPr>
          <w:sz w:val="10"/>
          <w:lang w:val="fr-FR"/>
        </w:rPr>
      </w:pPr>
    </w:p>
    <w:p w14:paraId="0D32ECDD" w14:textId="77777777" w:rsidR="00744544" w:rsidRPr="00A66C9F" w:rsidRDefault="00744544" w:rsidP="00753AB8">
      <w:pPr>
        <w:pStyle w:val="SingleTxt"/>
        <w:numPr>
          <w:ilvl w:val="0"/>
          <w:numId w:val="18"/>
        </w:numPr>
        <w:spacing w:line="240" w:lineRule="exact"/>
        <w:rPr>
          <w:szCs w:val="20"/>
          <w:lang w:val="fr-FR"/>
        </w:rPr>
      </w:pPr>
      <w:r w:rsidRPr="00A66C9F">
        <w:rPr>
          <w:lang w:val="fr-FR"/>
        </w:rPr>
        <w:t>La valeur actuarielle des droits à prestations accumulés au 31 décembre 2019 est indiquée dans le tableau ci-dessous (voir la note 1.11 pour une description du système d’ajustement des pensions) :</w:t>
      </w:r>
    </w:p>
    <w:p w14:paraId="75B59C72" w14:textId="77777777" w:rsidR="00744544" w:rsidRPr="00A66C9F" w:rsidRDefault="00744544" w:rsidP="00744544">
      <w:pPr>
        <w:pStyle w:val="SingleTxt"/>
        <w:spacing w:after="0" w:line="120" w:lineRule="exact"/>
        <w:rPr>
          <w:sz w:val="10"/>
          <w:lang w:val="fr-FR"/>
        </w:rPr>
      </w:pPr>
    </w:p>
    <w:p w14:paraId="533FAA2A" w14:textId="77777777" w:rsidR="00744544" w:rsidRPr="00A66C9F" w:rsidRDefault="00744544" w:rsidP="0074454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sz w:val="14"/>
          <w:szCs w:val="14"/>
          <w:lang w:val="fr-FR"/>
        </w:rPr>
        <w:tab/>
      </w:r>
      <w:r w:rsidRPr="00A66C9F">
        <w:rPr>
          <w:sz w:val="14"/>
          <w:szCs w:val="14"/>
          <w:lang w:val="fr-FR"/>
        </w:rPr>
        <w:tab/>
        <w:t>(En millions de dollars des États-Unis)</w:t>
      </w:r>
    </w:p>
    <w:p w14:paraId="4C6FE4B3" w14:textId="77777777" w:rsidR="00744544" w:rsidRPr="00A66C9F" w:rsidRDefault="00744544" w:rsidP="00744544">
      <w:pPr>
        <w:pStyle w:val="SingleTxt"/>
        <w:spacing w:after="0" w:line="120" w:lineRule="exact"/>
        <w:rPr>
          <w:sz w:val="10"/>
          <w:lang w:val="fr-FR"/>
        </w:rPr>
      </w:pPr>
    </w:p>
    <w:p w14:paraId="7BA57FE4" w14:textId="77777777" w:rsidR="00744544" w:rsidRPr="00A66C9F" w:rsidRDefault="00744544" w:rsidP="00744544">
      <w:pPr>
        <w:pStyle w:val="SingleTxt"/>
        <w:spacing w:after="0" w:line="120" w:lineRule="exact"/>
        <w:rPr>
          <w:sz w:val="10"/>
          <w:lang w:val="fr-FR"/>
        </w:rPr>
      </w:pPr>
    </w:p>
    <w:tbl>
      <w:tblPr>
        <w:tblW w:w="7335" w:type="dxa"/>
        <w:tblInd w:w="1260" w:type="dxa"/>
        <w:tblLayout w:type="fixed"/>
        <w:tblCellMar>
          <w:left w:w="0" w:type="dxa"/>
          <w:right w:w="0" w:type="dxa"/>
        </w:tblCellMar>
        <w:tblLook w:val="04A0" w:firstRow="1" w:lastRow="0" w:firstColumn="1" w:lastColumn="0" w:noHBand="0" w:noVBand="1"/>
      </w:tblPr>
      <w:tblGrid>
        <w:gridCol w:w="4779"/>
        <w:gridCol w:w="1341"/>
        <w:gridCol w:w="1215"/>
      </w:tblGrid>
      <w:tr w:rsidR="00744544" w:rsidRPr="00A66C9F" w14:paraId="0132FD2D" w14:textId="77777777" w:rsidTr="00107D5D">
        <w:trPr>
          <w:trHeight w:val="315"/>
          <w:tblHeader/>
        </w:trPr>
        <w:tc>
          <w:tcPr>
            <w:tcW w:w="4779" w:type="dxa"/>
            <w:tcBorders>
              <w:top w:val="single" w:sz="4" w:space="0" w:color="auto"/>
            </w:tcBorders>
            <w:shd w:val="clear" w:color="auto" w:fill="auto"/>
            <w:vAlign w:val="bottom"/>
          </w:tcPr>
          <w:p w14:paraId="17283801" w14:textId="77777777" w:rsidR="00744544" w:rsidRPr="00A66C9F" w:rsidRDefault="00744544" w:rsidP="00107D5D">
            <w:pPr>
              <w:keepNext/>
              <w:keepLines/>
              <w:suppressAutoHyphens/>
              <w:spacing w:before="81" w:after="81" w:line="160" w:lineRule="exact"/>
              <w:ind w:right="40"/>
              <w:jc w:val="right"/>
              <w:rPr>
                <w:i/>
                <w:iCs/>
                <w:sz w:val="14"/>
                <w:szCs w:val="18"/>
                <w:lang w:val="fr-FR"/>
              </w:rPr>
            </w:pPr>
          </w:p>
        </w:tc>
        <w:tc>
          <w:tcPr>
            <w:tcW w:w="2556" w:type="dxa"/>
            <w:gridSpan w:val="2"/>
            <w:tcBorders>
              <w:top w:val="single" w:sz="4" w:space="0" w:color="auto"/>
              <w:bottom w:val="single" w:sz="4" w:space="0" w:color="auto"/>
            </w:tcBorders>
            <w:shd w:val="clear" w:color="auto" w:fill="auto"/>
            <w:vAlign w:val="bottom"/>
          </w:tcPr>
          <w:p w14:paraId="7CF940AC" w14:textId="77777777" w:rsidR="00744544" w:rsidRPr="00A66C9F" w:rsidRDefault="00744544" w:rsidP="00107D5D">
            <w:pPr>
              <w:keepNext/>
              <w:keepLines/>
              <w:suppressAutoHyphens/>
              <w:spacing w:before="81" w:after="81" w:line="160" w:lineRule="exact"/>
              <w:ind w:right="40"/>
              <w:jc w:val="center"/>
              <w:rPr>
                <w:i/>
                <w:iCs/>
                <w:sz w:val="14"/>
                <w:szCs w:val="18"/>
                <w:lang w:val="fr-FR"/>
              </w:rPr>
            </w:pPr>
            <w:r w:rsidRPr="00A66C9F">
              <w:rPr>
                <w:i/>
                <w:iCs/>
                <w:sz w:val="14"/>
                <w:lang w:val="fr-FR"/>
              </w:rPr>
              <w:t xml:space="preserve">Si les pensions futures sont payées </w:t>
            </w:r>
            <w:r w:rsidRPr="00A66C9F">
              <w:rPr>
                <w:i/>
                <w:iCs/>
                <w:sz w:val="14"/>
                <w:lang w:val="fr-FR"/>
              </w:rPr>
              <w:br/>
              <w:t>en application du Règlement</w:t>
            </w:r>
          </w:p>
        </w:tc>
      </w:tr>
      <w:tr w:rsidR="00744544" w:rsidRPr="00A66C9F" w14:paraId="089BF8AD" w14:textId="77777777" w:rsidTr="00107D5D">
        <w:trPr>
          <w:trHeight w:val="296"/>
          <w:tblHeader/>
        </w:trPr>
        <w:tc>
          <w:tcPr>
            <w:tcW w:w="4779" w:type="dxa"/>
            <w:tcBorders>
              <w:bottom w:val="single" w:sz="12" w:space="0" w:color="auto"/>
            </w:tcBorders>
            <w:shd w:val="clear" w:color="auto" w:fill="auto"/>
            <w:vAlign w:val="bottom"/>
            <w:hideMark/>
          </w:tcPr>
          <w:p w14:paraId="1C275009" w14:textId="77777777" w:rsidR="00744544" w:rsidRPr="00A66C9F" w:rsidRDefault="00744544" w:rsidP="00107D5D">
            <w:pPr>
              <w:keepNext/>
              <w:keepLines/>
              <w:suppressAutoHyphens/>
              <w:spacing w:before="81" w:after="81" w:line="160" w:lineRule="exact"/>
              <w:ind w:right="43"/>
              <w:jc w:val="right"/>
              <w:rPr>
                <w:i/>
                <w:iCs/>
                <w:sz w:val="14"/>
                <w:szCs w:val="18"/>
                <w:lang w:val="fr-FR"/>
              </w:rPr>
            </w:pPr>
            <w:r w:rsidRPr="00A66C9F">
              <w:rPr>
                <w:i/>
                <w:iCs/>
                <w:sz w:val="14"/>
                <w:szCs w:val="18"/>
                <w:lang w:val="fr-FR"/>
              </w:rPr>
              <w:t> </w:t>
            </w:r>
          </w:p>
        </w:tc>
        <w:tc>
          <w:tcPr>
            <w:tcW w:w="1341" w:type="dxa"/>
            <w:tcBorders>
              <w:top w:val="single" w:sz="4" w:space="0" w:color="auto"/>
              <w:bottom w:val="single" w:sz="12" w:space="0" w:color="auto"/>
            </w:tcBorders>
            <w:shd w:val="clear" w:color="auto" w:fill="auto"/>
            <w:vAlign w:val="bottom"/>
            <w:hideMark/>
          </w:tcPr>
          <w:p w14:paraId="2B3634F3" w14:textId="77777777" w:rsidR="00744544" w:rsidRPr="00A66C9F" w:rsidRDefault="00744544" w:rsidP="00107D5D">
            <w:pPr>
              <w:keepNext/>
              <w:keepLines/>
              <w:suppressAutoHyphens/>
              <w:spacing w:before="81" w:after="81" w:line="160" w:lineRule="exact"/>
              <w:ind w:right="43"/>
              <w:jc w:val="right"/>
              <w:rPr>
                <w:i/>
                <w:iCs/>
                <w:sz w:val="14"/>
                <w:szCs w:val="18"/>
                <w:lang w:val="fr-FR"/>
              </w:rPr>
            </w:pPr>
            <w:r w:rsidRPr="00A66C9F">
              <w:rPr>
                <w:i/>
                <w:iCs/>
                <w:sz w:val="14"/>
                <w:lang w:val="fr-FR"/>
              </w:rPr>
              <w:t xml:space="preserve">Sans ajustement </w:t>
            </w:r>
            <w:r w:rsidRPr="00A66C9F">
              <w:rPr>
                <w:i/>
                <w:iCs/>
                <w:sz w:val="14"/>
                <w:lang w:val="fr-FR"/>
              </w:rPr>
              <w:br/>
              <w:t>des pensions</w:t>
            </w:r>
          </w:p>
        </w:tc>
        <w:tc>
          <w:tcPr>
            <w:tcW w:w="1215" w:type="dxa"/>
            <w:tcBorders>
              <w:top w:val="single" w:sz="4" w:space="0" w:color="auto"/>
              <w:bottom w:val="single" w:sz="12" w:space="0" w:color="auto"/>
            </w:tcBorders>
            <w:shd w:val="clear" w:color="auto" w:fill="auto"/>
            <w:vAlign w:val="bottom"/>
            <w:hideMark/>
          </w:tcPr>
          <w:p w14:paraId="599A1EC9" w14:textId="77777777" w:rsidR="00744544" w:rsidRPr="00A66C9F" w:rsidRDefault="00744544" w:rsidP="00107D5D">
            <w:pPr>
              <w:keepNext/>
              <w:keepLines/>
              <w:suppressAutoHyphens/>
              <w:spacing w:before="81" w:after="81" w:line="160" w:lineRule="exact"/>
              <w:ind w:right="40"/>
              <w:jc w:val="right"/>
              <w:rPr>
                <w:i/>
                <w:iCs/>
                <w:sz w:val="14"/>
                <w:szCs w:val="18"/>
                <w:lang w:val="fr-FR"/>
              </w:rPr>
            </w:pPr>
            <w:r w:rsidRPr="00A66C9F">
              <w:rPr>
                <w:i/>
                <w:iCs/>
                <w:sz w:val="14"/>
                <w:lang w:val="fr-FR"/>
              </w:rPr>
              <w:t xml:space="preserve">Avec ajustement </w:t>
            </w:r>
            <w:r w:rsidRPr="00A66C9F">
              <w:rPr>
                <w:i/>
                <w:iCs/>
                <w:sz w:val="14"/>
                <w:lang w:val="fr-FR"/>
              </w:rPr>
              <w:br/>
              <w:t>des pensions</w:t>
            </w:r>
          </w:p>
        </w:tc>
      </w:tr>
      <w:tr w:rsidR="00744544" w:rsidRPr="00A66C9F" w14:paraId="718B6ED2" w14:textId="77777777" w:rsidTr="00107D5D">
        <w:trPr>
          <w:trHeight w:hRule="exact" w:val="115"/>
          <w:tblHeader/>
        </w:trPr>
        <w:tc>
          <w:tcPr>
            <w:tcW w:w="4779" w:type="dxa"/>
            <w:tcBorders>
              <w:top w:val="single" w:sz="12" w:space="0" w:color="auto"/>
            </w:tcBorders>
            <w:shd w:val="clear" w:color="auto" w:fill="auto"/>
            <w:vAlign w:val="bottom"/>
          </w:tcPr>
          <w:p w14:paraId="629FB300" w14:textId="77777777" w:rsidR="00744544" w:rsidRPr="00A66C9F" w:rsidRDefault="00744544" w:rsidP="00107D5D">
            <w:pPr>
              <w:keepNext/>
              <w:keepLines/>
              <w:suppressAutoHyphens/>
              <w:spacing w:before="40" w:after="40" w:line="210" w:lineRule="exact"/>
              <w:ind w:left="-108" w:right="40"/>
              <w:rPr>
                <w:sz w:val="17"/>
                <w:lang w:val="fr-FR"/>
              </w:rPr>
            </w:pPr>
          </w:p>
        </w:tc>
        <w:tc>
          <w:tcPr>
            <w:tcW w:w="1341" w:type="dxa"/>
            <w:tcBorders>
              <w:top w:val="single" w:sz="12" w:space="0" w:color="auto"/>
            </w:tcBorders>
            <w:shd w:val="clear" w:color="auto" w:fill="auto"/>
            <w:vAlign w:val="bottom"/>
          </w:tcPr>
          <w:p w14:paraId="23A30302" w14:textId="77777777" w:rsidR="00744544" w:rsidRPr="00A66C9F" w:rsidRDefault="00744544" w:rsidP="00107D5D">
            <w:pPr>
              <w:keepNext/>
              <w:keepLines/>
              <w:suppressAutoHyphens/>
              <w:spacing w:before="40" w:after="40" w:line="210" w:lineRule="exact"/>
              <w:ind w:right="40"/>
              <w:rPr>
                <w:sz w:val="17"/>
                <w:szCs w:val="17"/>
                <w:lang w:val="fr-FR"/>
              </w:rPr>
            </w:pPr>
          </w:p>
        </w:tc>
        <w:tc>
          <w:tcPr>
            <w:tcW w:w="1215" w:type="dxa"/>
            <w:tcBorders>
              <w:top w:val="single" w:sz="12" w:space="0" w:color="auto"/>
            </w:tcBorders>
            <w:shd w:val="clear" w:color="auto" w:fill="auto"/>
            <w:vAlign w:val="bottom"/>
          </w:tcPr>
          <w:p w14:paraId="3FB72ECE" w14:textId="77777777" w:rsidR="00744544" w:rsidRPr="00A66C9F" w:rsidRDefault="00744544" w:rsidP="00107D5D">
            <w:pPr>
              <w:keepNext/>
              <w:keepLines/>
              <w:suppressAutoHyphens/>
              <w:spacing w:before="40" w:after="40" w:line="210" w:lineRule="exact"/>
              <w:ind w:right="40"/>
              <w:rPr>
                <w:sz w:val="17"/>
                <w:szCs w:val="17"/>
                <w:lang w:val="fr-FR"/>
              </w:rPr>
            </w:pPr>
          </w:p>
        </w:tc>
      </w:tr>
      <w:tr w:rsidR="00744544" w:rsidRPr="00A66C9F" w14:paraId="5E12F3AC" w14:textId="77777777" w:rsidTr="00107D5D">
        <w:tc>
          <w:tcPr>
            <w:tcW w:w="4779" w:type="dxa"/>
            <w:shd w:val="clear" w:color="auto" w:fill="auto"/>
            <w:vAlign w:val="bottom"/>
            <w:hideMark/>
          </w:tcPr>
          <w:p w14:paraId="0D277444"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3"/>
              <w:rPr>
                <w:sz w:val="17"/>
                <w:szCs w:val="17"/>
                <w:lang w:val="fr-FR"/>
              </w:rPr>
            </w:pPr>
            <w:r w:rsidRPr="00A66C9F">
              <w:rPr>
                <w:sz w:val="17"/>
                <w:lang w:val="fr-FR"/>
              </w:rPr>
              <w:t>Valeur actuarielle des prestations acquises</w:t>
            </w:r>
          </w:p>
        </w:tc>
        <w:tc>
          <w:tcPr>
            <w:tcW w:w="1341" w:type="dxa"/>
            <w:shd w:val="clear" w:color="auto" w:fill="auto"/>
            <w:vAlign w:val="bottom"/>
            <w:hideMark/>
          </w:tcPr>
          <w:p w14:paraId="3DA3FF7D"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rPr>
                <w:sz w:val="17"/>
                <w:szCs w:val="17"/>
                <w:lang w:val="fr-FR"/>
              </w:rPr>
            </w:pPr>
          </w:p>
        </w:tc>
        <w:tc>
          <w:tcPr>
            <w:tcW w:w="1215" w:type="dxa"/>
            <w:shd w:val="clear" w:color="auto" w:fill="auto"/>
            <w:vAlign w:val="bottom"/>
            <w:hideMark/>
          </w:tcPr>
          <w:p w14:paraId="578D2D62"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rPr>
                <w:sz w:val="17"/>
                <w:szCs w:val="17"/>
                <w:lang w:val="fr-FR"/>
              </w:rPr>
            </w:pPr>
          </w:p>
        </w:tc>
      </w:tr>
      <w:tr w:rsidR="00744544" w:rsidRPr="00A66C9F" w14:paraId="19FC22D3" w14:textId="77777777" w:rsidTr="00107D5D">
        <w:tc>
          <w:tcPr>
            <w:tcW w:w="4779" w:type="dxa"/>
            <w:shd w:val="clear" w:color="auto" w:fill="auto"/>
            <w:vAlign w:val="bottom"/>
            <w:hideMark/>
          </w:tcPr>
          <w:p w14:paraId="181AFCFB"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3"/>
              <w:rPr>
                <w:sz w:val="17"/>
                <w:szCs w:val="17"/>
                <w:lang w:val="fr-FR"/>
              </w:rPr>
            </w:pPr>
            <w:r w:rsidRPr="00A66C9F">
              <w:rPr>
                <w:sz w:val="17"/>
                <w:lang w:val="fr-FR"/>
              </w:rPr>
              <w:tab/>
              <w:t>Participants touchant actuellement des prestations</w:t>
            </w:r>
          </w:p>
        </w:tc>
        <w:tc>
          <w:tcPr>
            <w:tcW w:w="1341" w:type="dxa"/>
            <w:shd w:val="clear" w:color="auto" w:fill="auto"/>
            <w:vAlign w:val="bottom"/>
          </w:tcPr>
          <w:p w14:paraId="5E67E773"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26 482 </w:t>
            </w:r>
          </w:p>
        </w:tc>
        <w:tc>
          <w:tcPr>
            <w:tcW w:w="1215" w:type="dxa"/>
            <w:shd w:val="clear" w:color="auto" w:fill="auto"/>
            <w:vAlign w:val="bottom"/>
          </w:tcPr>
          <w:p w14:paraId="5326FE71"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34 703 </w:t>
            </w:r>
          </w:p>
        </w:tc>
      </w:tr>
      <w:tr w:rsidR="00744544" w:rsidRPr="00A66C9F" w14:paraId="52BCDAF0" w14:textId="77777777" w:rsidTr="00107D5D">
        <w:tc>
          <w:tcPr>
            <w:tcW w:w="4779" w:type="dxa"/>
            <w:shd w:val="clear" w:color="auto" w:fill="auto"/>
            <w:vAlign w:val="bottom"/>
            <w:hideMark/>
          </w:tcPr>
          <w:p w14:paraId="78D0B019"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left="288" w:right="43" w:hanging="288"/>
              <w:rPr>
                <w:sz w:val="17"/>
                <w:szCs w:val="17"/>
                <w:lang w:val="fr-FR"/>
              </w:rPr>
            </w:pPr>
            <w:r w:rsidRPr="00A66C9F">
              <w:rPr>
                <w:sz w:val="17"/>
                <w:lang w:val="fr-FR"/>
              </w:rPr>
              <w:tab/>
              <w:t>Participants ne travaillant plus pour l’une des organisations affiliées, mais non retraités (prestations acquises)</w:t>
            </w:r>
          </w:p>
        </w:tc>
        <w:tc>
          <w:tcPr>
            <w:tcW w:w="1341" w:type="dxa"/>
            <w:shd w:val="clear" w:color="auto" w:fill="auto"/>
            <w:vAlign w:val="bottom"/>
          </w:tcPr>
          <w:p w14:paraId="790098CD"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1 078 </w:t>
            </w:r>
          </w:p>
        </w:tc>
        <w:tc>
          <w:tcPr>
            <w:tcW w:w="1215" w:type="dxa"/>
            <w:shd w:val="clear" w:color="auto" w:fill="auto"/>
            <w:vAlign w:val="bottom"/>
          </w:tcPr>
          <w:p w14:paraId="26F2FC11"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jc w:val="right"/>
              <w:rPr>
                <w:sz w:val="17"/>
                <w:szCs w:val="17"/>
                <w:lang w:val="fr-FR"/>
              </w:rPr>
            </w:pPr>
            <w:r w:rsidRPr="00A66C9F">
              <w:rPr>
                <w:sz w:val="17"/>
                <w:lang w:val="fr-FR"/>
              </w:rPr>
              <w:t xml:space="preserve">1 852 </w:t>
            </w:r>
          </w:p>
        </w:tc>
      </w:tr>
      <w:tr w:rsidR="00744544" w:rsidRPr="00A66C9F" w14:paraId="5AF26250" w14:textId="77777777" w:rsidTr="00107D5D">
        <w:tc>
          <w:tcPr>
            <w:tcW w:w="4779" w:type="dxa"/>
            <w:tcBorders>
              <w:bottom w:val="single" w:sz="4" w:space="0" w:color="auto"/>
            </w:tcBorders>
            <w:shd w:val="clear" w:color="auto" w:fill="auto"/>
            <w:vAlign w:val="bottom"/>
            <w:hideMark/>
          </w:tcPr>
          <w:p w14:paraId="3227FCF5" w14:textId="77777777" w:rsidR="00744544" w:rsidRPr="00A66C9F" w:rsidRDefault="00744544" w:rsidP="00107D5D">
            <w:pPr>
              <w:keepNext/>
              <w:keepLines/>
              <w:tabs>
                <w:tab w:val="left" w:pos="288"/>
                <w:tab w:val="left" w:pos="576"/>
                <w:tab w:val="left" w:pos="864"/>
                <w:tab w:val="left" w:pos="1152"/>
              </w:tabs>
              <w:suppressAutoHyphens/>
              <w:spacing w:before="40" w:after="81" w:line="210" w:lineRule="exact"/>
              <w:ind w:right="43"/>
              <w:rPr>
                <w:sz w:val="17"/>
                <w:szCs w:val="17"/>
                <w:lang w:val="fr-FR"/>
              </w:rPr>
            </w:pPr>
            <w:r w:rsidRPr="00A66C9F">
              <w:rPr>
                <w:sz w:val="17"/>
                <w:lang w:val="fr-FR"/>
              </w:rPr>
              <w:tab/>
              <w:t xml:space="preserve">Participants en activité </w:t>
            </w:r>
          </w:p>
        </w:tc>
        <w:tc>
          <w:tcPr>
            <w:tcW w:w="1341" w:type="dxa"/>
            <w:tcBorders>
              <w:bottom w:val="single" w:sz="4" w:space="0" w:color="auto"/>
            </w:tcBorders>
            <w:shd w:val="clear" w:color="auto" w:fill="auto"/>
            <w:vAlign w:val="bottom"/>
          </w:tcPr>
          <w:p w14:paraId="43201FB1" w14:textId="77777777" w:rsidR="00744544" w:rsidRPr="00A66C9F" w:rsidRDefault="00744544" w:rsidP="00107D5D">
            <w:pPr>
              <w:keepNext/>
              <w:keepLines/>
              <w:tabs>
                <w:tab w:val="left" w:pos="288"/>
                <w:tab w:val="left" w:pos="576"/>
                <w:tab w:val="left" w:pos="864"/>
                <w:tab w:val="left" w:pos="1152"/>
              </w:tabs>
              <w:suppressAutoHyphens/>
              <w:spacing w:before="40" w:after="81" w:line="210" w:lineRule="exact"/>
              <w:ind w:right="40"/>
              <w:jc w:val="right"/>
              <w:rPr>
                <w:sz w:val="17"/>
                <w:szCs w:val="17"/>
                <w:lang w:val="fr-FR"/>
              </w:rPr>
            </w:pPr>
            <w:r w:rsidRPr="00A66C9F">
              <w:rPr>
                <w:sz w:val="17"/>
                <w:lang w:val="fr-FR"/>
              </w:rPr>
              <w:t xml:space="preserve">16 199 </w:t>
            </w:r>
          </w:p>
        </w:tc>
        <w:tc>
          <w:tcPr>
            <w:tcW w:w="1215" w:type="dxa"/>
            <w:tcBorders>
              <w:bottom w:val="single" w:sz="4" w:space="0" w:color="auto"/>
            </w:tcBorders>
            <w:shd w:val="clear" w:color="auto" w:fill="auto"/>
            <w:vAlign w:val="bottom"/>
          </w:tcPr>
          <w:p w14:paraId="426C973A" w14:textId="77777777" w:rsidR="00744544" w:rsidRPr="00A66C9F" w:rsidRDefault="00744544" w:rsidP="00107D5D">
            <w:pPr>
              <w:keepNext/>
              <w:keepLines/>
              <w:tabs>
                <w:tab w:val="left" w:pos="288"/>
                <w:tab w:val="left" w:pos="576"/>
                <w:tab w:val="left" w:pos="864"/>
                <w:tab w:val="left" w:pos="1152"/>
              </w:tabs>
              <w:suppressAutoHyphens/>
              <w:spacing w:before="40" w:after="81" w:line="210" w:lineRule="exact"/>
              <w:ind w:right="40"/>
              <w:jc w:val="right"/>
              <w:rPr>
                <w:sz w:val="17"/>
                <w:szCs w:val="17"/>
                <w:lang w:val="fr-FR"/>
              </w:rPr>
            </w:pPr>
            <w:r w:rsidRPr="00A66C9F">
              <w:rPr>
                <w:sz w:val="17"/>
                <w:lang w:val="fr-FR"/>
              </w:rPr>
              <w:t xml:space="preserve">22 136 </w:t>
            </w:r>
          </w:p>
        </w:tc>
      </w:tr>
      <w:tr w:rsidR="00744544" w:rsidRPr="00A66C9F" w14:paraId="32B1DF36" w14:textId="77777777" w:rsidTr="00107D5D">
        <w:tc>
          <w:tcPr>
            <w:tcW w:w="4779" w:type="dxa"/>
            <w:tcBorders>
              <w:top w:val="single" w:sz="4" w:space="0" w:color="auto"/>
              <w:bottom w:val="single" w:sz="4" w:space="0" w:color="auto"/>
            </w:tcBorders>
            <w:shd w:val="clear" w:color="auto" w:fill="auto"/>
            <w:vAlign w:val="bottom"/>
            <w:hideMark/>
          </w:tcPr>
          <w:p w14:paraId="1FB27387" w14:textId="77777777" w:rsidR="00744544" w:rsidRPr="00A66C9F" w:rsidRDefault="00744544" w:rsidP="00107D5D">
            <w:pPr>
              <w:keepNext/>
              <w:keepLines/>
              <w:tabs>
                <w:tab w:val="left" w:pos="288"/>
                <w:tab w:val="left" w:pos="576"/>
                <w:tab w:val="left" w:pos="864"/>
                <w:tab w:val="left" w:pos="1152"/>
              </w:tabs>
              <w:suppressAutoHyphens/>
              <w:spacing w:before="81" w:after="81" w:line="210" w:lineRule="exact"/>
              <w:ind w:right="43"/>
              <w:rPr>
                <w:b/>
                <w:bCs/>
                <w:sz w:val="17"/>
                <w:szCs w:val="17"/>
                <w:lang w:val="fr-FR"/>
              </w:rPr>
            </w:pPr>
            <w:r w:rsidRPr="00A66C9F">
              <w:rPr>
                <w:b/>
                <w:bCs/>
                <w:sz w:val="17"/>
                <w:lang w:val="fr-FR"/>
              </w:rPr>
              <w:tab/>
              <w:t>Total des prestations acquises</w:t>
            </w:r>
          </w:p>
        </w:tc>
        <w:tc>
          <w:tcPr>
            <w:tcW w:w="1341" w:type="dxa"/>
            <w:tcBorders>
              <w:top w:val="single" w:sz="4" w:space="0" w:color="auto"/>
              <w:bottom w:val="single" w:sz="4" w:space="0" w:color="auto"/>
            </w:tcBorders>
            <w:shd w:val="clear" w:color="auto" w:fill="auto"/>
            <w:vAlign w:val="bottom"/>
          </w:tcPr>
          <w:p w14:paraId="1C06BB11" w14:textId="77777777" w:rsidR="00744544" w:rsidRPr="00A66C9F" w:rsidRDefault="00744544" w:rsidP="00107D5D">
            <w:pPr>
              <w:keepNext/>
              <w:keepLines/>
              <w:tabs>
                <w:tab w:val="left" w:pos="288"/>
                <w:tab w:val="left" w:pos="576"/>
                <w:tab w:val="left" w:pos="864"/>
                <w:tab w:val="left" w:pos="1152"/>
              </w:tabs>
              <w:suppressAutoHyphens/>
              <w:spacing w:before="81" w:after="81" w:line="210" w:lineRule="exact"/>
              <w:ind w:right="40"/>
              <w:jc w:val="right"/>
              <w:rPr>
                <w:b/>
                <w:bCs/>
                <w:sz w:val="17"/>
                <w:szCs w:val="17"/>
                <w:lang w:val="fr-FR"/>
              </w:rPr>
            </w:pPr>
            <w:r w:rsidRPr="00A66C9F">
              <w:rPr>
                <w:b/>
                <w:bCs/>
                <w:sz w:val="17"/>
                <w:lang w:val="fr-FR"/>
              </w:rPr>
              <w:t>43 759</w:t>
            </w:r>
            <w:r w:rsidRPr="00A66C9F">
              <w:rPr>
                <w:b/>
                <w:sz w:val="17"/>
                <w:lang w:val="fr-FR"/>
              </w:rPr>
              <w:t xml:space="preserve"> </w:t>
            </w:r>
          </w:p>
        </w:tc>
        <w:tc>
          <w:tcPr>
            <w:tcW w:w="1215" w:type="dxa"/>
            <w:tcBorders>
              <w:top w:val="single" w:sz="4" w:space="0" w:color="auto"/>
              <w:bottom w:val="single" w:sz="4" w:space="0" w:color="auto"/>
            </w:tcBorders>
            <w:shd w:val="clear" w:color="auto" w:fill="auto"/>
            <w:vAlign w:val="bottom"/>
          </w:tcPr>
          <w:p w14:paraId="4943376B" w14:textId="77777777" w:rsidR="00744544" w:rsidRPr="00A66C9F" w:rsidRDefault="00744544" w:rsidP="00107D5D">
            <w:pPr>
              <w:keepNext/>
              <w:keepLines/>
              <w:tabs>
                <w:tab w:val="left" w:pos="288"/>
                <w:tab w:val="left" w:pos="576"/>
                <w:tab w:val="left" w:pos="864"/>
                <w:tab w:val="left" w:pos="1152"/>
              </w:tabs>
              <w:suppressAutoHyphens/>
              <w:spacing w:before="81" w:after="81" w:line="210" w:lineRule="exact"/>
              <w:ind w:right="40"/>
              <w:jc w:val="right"/>
              <w:rPr>
                <w:b/>
                <w:bCs/>
                <w:sz w:val="17"/>
                <w:szCs w:val="17"/>
                <w:lang w:val="fr-FR"/>
              </w:rPr>
            </w:pPr>
            <w:r w:rsidRPr="00A66C9F">
              <w:rPr>
                <w:b/>
                <w:bCs/>
                <w:sz w:val="17"/>
                <w:lang w:val="fr-FR"/>
              </w:rPr>
              <w:t>58 691</w:t>
            </w:r>
            <w:r w:rsidRPr="00A66C9F">
              <w:rPr>
                <w:b/>
                <w:sz w:val="17"/>
                <w:lang w:val="fr-FR"/>
              </w:rPr>
              <w:t xml:space="preserve"> </w:t>
            </w:r>
          </w:p>
        </w:tc>
      </w:tr>
      <w:tr w:rsidR="00744544" w:rsidRPr="00A66C9F" w14:paraId="3A123D89" w14:textId="77777777" w:rsidTr="00107D5D">
        <w:tc>
          <w:tcPr>
            <w:tcW w:w="4779" w:type="dxa"/>
            <w:tcBorders>
              <w:top w:val="single" w:sz="4" w:space="0" w:color="auto"/>
              <w:bottom w:val="single" w:sz="4" w:space="0" w:color="auto"/>
            </w:tcBorders>
            <w:shd w:val="clear" w:color="auto" w:fill="auto"/>
            <w:vAlign w:val="bottom"/>
            <w:hideMark/>
          </w:tcPr>
          <w:p w14:paraId="6CCCDE33" w14:textId="77777777" w:rsidR="00744544" w:rsidRPr="00A66C9F" w:rsidRDefault="00744544" w:rsidP="00107D5D">
            <w:pPr>
              <w:keepNext/>
              <w:keepLines/>
              <w:tabs>
                <w:tab w:val="left" w:pos="288"/>
                <w:tab w:val="left" w:pos="576"/>
                <w:tab w:val="left" w:pos="864"/>
                <w:tab w:val="left" w:pos="1152"/>
              </w:tabs>
              <w:suppressAutoHyphens/>
              <w:spacing w:before="81" w:after="81" w:line="210" w:lineRule="exact"/>
              <w:ind w:right="43"/>
              <w:rPr>
                <w:sz w:val="17"/>
                <w:szCs w:val="17"/>
                <w:lang w:val="fr-FR"/>
              </w:rPr>
            </w:pPr>
            <w:r w:rsidRPr="00A66C9F">
              <w:rPr>
                <w:sz w:val="17"/>
                <w:lang w:val="fr-FR"/>
              </w:rPr>
              <w:t>Prestations non acquises</w:t>
            </w:r>
          </w:p>
        </w:tc>
        <w:tc>
          <w:tcPr>
            <w:tcW w:w="1341" w:type="dxa"/>
            <w:tcBorders>
              <w:top w:val="single" w:sz="4" w:space="0" w:color="auto"/>
              <w:bottom w:val="single" w:sz="4" w:space="0" w:color="auto"/>
            </w:tcBorders>
            <w:shd w:val="clear" w:color="auto" w:fill="auto"/>
            <w:vAlign w:val="bottom"/>
          </w:tcPr>
          <w:p w14:paraId="0A754497" w14:textId="77777777" w:rsidR="00744544" w:rsidRPr="00A66C9F" w:rsidRDefault="00744544" w:rsidP="00107D5D">
            <w:pPr>
              <w:keepNext/>
              <w:keepLines/>
              <w:tabs>
                <w:tab w:val="left" w:pos="288"/>
                <w:tab w:val="left" w:pos="576"/>
                <w:tab w:val="left" w:pos="864"/>
                <w:tab w:val="left" w:pos="1152"/>
              </w:tabs>
              <w:suppressAutoHyphens/>
              <w:spacing w:before="81" w:after="81" w:line="210" w:lineRule="exact"/>
              <w:ind w:right="40"/>
              <w:jc w:val="right"/>
              <w:rPr>
                <w:sz w:val="17"/>
                <w:szCs w:val="17"/>
                <w:lang w:val="fr-FR"/>
              </w:rPr>
            </w:pPr>
            <w:r w:rsidRPr="00A66C9F">
              <w:rPr>
                <w:sz w:val="17"/>
                <w:lang w:val="fr-FR"/>
              </w:rPr>
              <w:t xml:space="preserve">902 </w:t>
            </w:r>
          </w:p>
        </w:tc>
        <w:tc>
          <w:tcPr>
            <w:tcW w:w="1215" w:type="dxa"/>
            <w:tcBorders>
              <w:top w:val="single" w:sz="4" w:space="0" w:color="auto"/>
              <w:bottom w:val="single" w:sz="4" w:space="0" w:color="auto"/>
            </w:tcBorders>
            <w:shd w:val="clear" w:color="auto" w:fill="auto"/>
            <w:vAlign w:val="bottom"/>
          </w:tcPr>
          <w:p w14:paraId="4FD50449" w14:textId="77777777" w:rsidR="00744544" w:rsidRPr="00A66C9F" w:rsidRDefault="00744544" w:rsidP="00107D5D">
            <w:pPr>
              <w:keepNext/>
              <w:keepLines/>
              <w:tabs>
                <w:tab w:val="left" w:pos="288"/>
                <w:tab w:val="left" w:pos="576"/>
                <w:tab w:val="left" w:pos="864"/>
                <w:tab w:val="left" w:pos="1152"/>
              </w:tabs>
              <w:suppressAutoHyphens/>
              <w:spacing w:before="81" w:after="81" w:line="210" w:lineRule="exact"/>
              <w:ind w:right="40"/>
              <w:jc w:val="right"/>
              <w:rPr>
                <w:sz w:val="17"/>
                <w:szCs w:val="17"/>
                <w:lang w:val="fr-FR"/>
              </w:rPr>
            </w:pPr>
            <w:r w:rsidRPr="00A66C9F">
              <w:rPr>
                <w:sz w:val="17"/>
                <w:lang w:val="fr-FR"/>
              </w:rPr>
              <w:t xml:space="preserve">1 138 </w:t>
            </w:r>
          </w:p>
        </w:tc>
      </w:tr>
      <w:tr w:rsidR="00744544" w:rsidRPr="00A66C9F" w14:paraId="30E6FAD3" w14:textId="77777777" w:rsidTr="00107D5D">
        <w:tc>
          <w:tcPr>
            <w:tcW w:w="4779" w:type="dxa"/>
            <w:tcBorders>
              <w:top w:val="single" w:sz="4" w:space="0" w:color="auto"/>
              <w:bottom w:val="single" w:sz="12" w:space="0" w:color="auto"/>
            </w:tcBorders>
            <w:shd w:val="clear" w:color="auto" w:fill="auto"/>
            <w:vAlign w:val="bottom"/>
            <w:hideMark/>
          </w:tcPr>
          <w:p w14:paraId="68CF8284" w14:textId="77777777" w:rsidR="00744544" w:rsidRPr="00A66C9F" w:rsidRDefault="00744544" w:rsidP="00107D5D">
            <w:pPr>
              <w:keepNext/>
              <w:keepLines/>
              <w:tabs>
                <w:tab w:val="left" w:pos="288"/>
                <w:tab w:val="left" w:pos="576"/>
                <w:tab w:val="left" w:pos="864"/>
                <w:tab w:val="left" w:pos="1152"/>
              </w:tabs>
              <w:suppressAutoHyphens/>
              <w:spacing w:before="81" w:after="81" w:line="210" w:lineRule="exact"/>
              <w:ind w:left="288" w:right="43" w:hanging="288"/>
              <w:rPr>
                <w:b/>
                <w:bCs/>
                <w:sz w:val="17"/>
                <w:szCs w:val="17"/>
                <w:lang w:val="fr-FR"/>
              </w:rPr>
            </w:pPr>
            <w:r w:rsidRPr="00A66C9F">
              <w:rPr>
                <w:b/>
                <w:bCs/>
                <w:sz w:val="17"/>
                <w:lang w:val="fr-FR"/>
              </w:rPr>
              <w:tab/>
              <w:t>Valeur actuarielle totale des droits à prestations accumulés</w:t>
            </w:r>
          </w:p>
        </w:tc>
        <w:tc>
          <w:tcPr>
            <w:tcW w:w="1341" w:type="dxa"/>
            <w:tcBorders>
              <w:top w:val="single" w:sz="4" w:space="0" w:color="auto"/>
              <w:bottom w:val="single" w:sz="12" w:space="0" w:color="auto"/>
            </w:tcBorders>
            <w:shd w:val="clear" w:color="auto" w:fill="auto"/>
            <w:vAlign w:val="bottom"/>
          </w:tcPr>
          <w:p w14:paraId="7BCEE24F" w14:textId="77777777" w:rsidR="00744544" w:rsidRPr="00A66C9F" w:rsidRDefault="00744544" w:rsidP="00107D5D">
            <w:pPr>
              <w:keepNext/>
              <w:keepLines/>
              <w:tabs>
                <w:tab w:val="left" w:pos="288"/>
                <w:tab w:val="left" w:pos="576"/>
                <w:tab w:val="left" w:pos="864"/>
                <w:tab w:val="left" w:pos="1152"/>
              </w:tabs>
              <w:suppressAutoHyphens/>
              <w:spacing w:before="81" w:after="81" w:line="210" w:lineRule="exact"/>
              <w:ind w:right="40"/>
              <w:jc w:val="right"/>
              <w:rPr>
                <w:b/>
                <w:bCs/>
                <w:sz w:val="17"/>
                <w:szCs w:val="17"/>
                <w:lang w:val="fr-FR"/>
              </w:rPr>
            </w:pPr>
            <w:r w:rsidRPr="00A66C9F">
              <w:rPr>
                <w:b/>
                <w:bCs/>
                <w:sz w:val="17"/>
                <w:lang w:val="fr-FR"/>
              </w:rPr>
              <w:t>44 661</w:t>
            </w:r>
            <w:r w:rsidRPr="00A66C9F">
              <w:rPr>
                <w:b/>
                <w:sz w:val="17"/>
                <w:lang w:val="fr-FR"/>
              </w:rPr>
              <w:t xml:space="preserve"> </w:t>
            </w:r>
          </w:p>
        </w:tc>
        <w:tc>
          <w:tcPr>
            <w:tcW w:w="1215" w:type="dxa"/>
            <w:tcBorders>
              <w:top w:val="single" w:sz="4" w:space="0" w:color="auto"/>
              <w:bottom w:val="single" w:sz="12" w:space="0" w:color="auto"/>
            </w:tcBorders>
            <w:shd w:val="clear" w:color="auto" w:fill="auto"/>
            <w:vAlign w:val="bottom"/>
          </w:tcPr>
          <w:p w14:paraId="4ACCE12B" w14:textId="77777777" w:rsidR="00744544" w:rsidRPr="00A66C9F" w:rsidRDefault="00744544" w:rsidP="00107D5D">
            <w:pPr>
              <w:keepNext/>
              <w:keepLines/>
              <w:tabs>
                <w:tab w:val="left" w:pos="288"/>
                <w:tab w:val="left" w:pos="576"/>
                <w:tab w:val="left" w:pos="864"/>
                <w:tab w:val="left" w:pos="1152"/>
              </w:tabs>
              <w:suppressAutoHyphens/>
              <w:spacing w:before="81" w:after="81" w:line="210" w:lineRule="exact"/>
              <w:ind w:right="40"/>
              <w:jc w:val="right"/>
              <w:rPr>
                <w:b/>
                <w:bCs/>
                <w:sz w:val="17"/>
                <w:szCs w:val="17"/>
                <w:lang w:val="fr-FR"/>
              </w:rPr>
            </w:pPr>
            <w:r w:rsidRPr="00A66C9F">
              <w:rPr>
                <w:b/>
                <w:bCs/>
                <w:sz w:val="17"/>
                <w:lang w:val="fr-FR"/>
              </w:rPr>
              <w:t>59 829</w:t>
            </w:r>
            <w:r w:rsidRPr="00A66C9F">
              <w:rPr>
                <w:b/>
                <w:sz w:val="17"/>
                <w:lang w:val="fr-FR"/>
              </w:rPr>
              <w:t xml:space="preserve"> </w:t>
            </w:r>
          </w:p>
        </w:tc>
      </w:tr>
    </w:tbl>
    <w:p w14:paraId="28314014" w14:textId="77777777" w:rsidR="00744544" w:rsidRPr="00A66C9F" w:rsidRDefault="00744544" w:rsidP="00744544">
      <w:pPr>
        <w:pStyle w:val="SingleTxt"/>
        <w:spacing w:after="0" w:line="120" w:lineRule="exact"/>
        <w:rPr>
          <w:sz w:val="10"/>
          <w:lang w:val="fr-FR"/>
        </w:rPr>
      </w:pPr>
    </w:p>
    <w:p w14:paraId="0474076D" w14:textId="77777777" w:rsidR="00744544" w:rsidRPr="00A66C9F" w:rsidRDefault="00744544" w:rsidP="00744544">
      <w:pPr>
        <w:pStyle w:val="SingleTxt"/>
        <w:spacing w:after="0" w:line="120" w:lineRule="exact"/>
        <w:rPr>
          <w:sz w:val="10"/>
          <w:lang w:val="fr-FR"/>
        </w:rPr>
      </w:pPr>
    </w:p>
    <w:p w14:paraId="724D9100" w14:textId="77777777" w:rsidR="00744544" w:rsidRPr="00A66C9F" w:rsidRDefault="00744544" w:rsidP="00744544">
      <w:pPr>
        <w:pStyle w:val="SingleTxt"/>
        <w:spacing w:after="0" w:line="120" w:lineRule="exact"/>
        <w:rPr>
          <w:sz w:val="10"/>
          <w:lang w:val="fr-FR"/>
        </w:rPr>
      </w:pPr>
    </w:p>
    <w:p w14:paraId="24C093E1" w14:textId="77777777" w:rsidR="00744544" w:rsidRPr="00A66C9F" w:rsidRDefault="00744544" w:rsidP="0074454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Renseignements sur la participation au régime des pensions de la Caisse</w:t>
      </w:r>
    </w:p>
    <w:p w14:paraId="0AF5E15A" w14:textId="77777777" w:rsidR="00744544" w:rsidRPr="00A66C9F" w:rsidRDefault="00744544" w:rsidP="00744544">
      <w:pPr>
        <w:pStyle w:val="SingleTxt"/>
        <w:spacing w:after="0" w:line="120" w:lineRule="exact"/>
        <w:rPr>
          <w:sz w:val="10"/>
          <w:lang w:val="fr-FR"/>
        </w:rPr>
      </w:pPr>
    </w:p>
    <w:p w14:paraId="15D2FF88" w14:textId="77777777" w:rsidR="00744544" w:rsidRPr="00A66C9F" w:rsidRDefault="00744544" w:rsidP="00753AB8">
      <w:pPr>
        <w:pStyle w:val="SingleTxt"/>
        <w:numPr>
          <w:ilvl w:val="0"/>
          <w:numId w:val="18"/>
        </w:numPr>
        <w:spacing w:line="240" w:lineRule="exact"/>
        <w:rPr>
          <w:szCs w:val="20"/>
          <w:lang w:val="fr-FR"/>
        </w:rPr>
      </w:pPr>
      <w:r w:rsidRPr="00A66C9F">
        <w:rPr>
          <w:lang w:val="fr-FR"/>
        </w:rPr>
        <w:t>La dernière évaluation en date a été réalisée par les actuaires-conseils au 31 décembre 2019, sur la base de la participation indiquée ci-dessous :</w:t>
      </w:r>
    </w:p>
    <w:p w14:paraId="5AA1C2F8" w14:textId="77777777" w:rsidR="00744544" w:rsidRPr="00A66C9F" w:rsidRDefault="00744544" w:rsidP="00744544">
      <w:pPr>
        <w:pStyle w:val="SingleTxt"/>
        <w:spacing w:after="0" w:line="120" w:lineRule="exact"/>
        <w:rPr>
          <w:sz w:val="10"/>
          <w:lang w:val="fr-FR"/>
        </w:rPr>
      </w:pPr>
    </w:p>
    <w:tbl>
      <w:tblPr>
        <w:tblStyle w:val="PwCTableText"/>
        <w:tblW w:w="7320" w:type="dxa"/>
        <w:tblInd w:w="1260" w:type="dxa"/>
        <w:tblBorders>
          <w:insideH w:val="none" w:sz="0" w:space="0" w:color="auto"/>
        </w:tblBorders>
        <w:tblLayout w:type="fixed"/>
        <w:tblCellMar>
          <w:left w:w="0" w:type="dxa"/>
          <w:right w:w="0" w:type="dxa"/>
        </w:tblCellMar>
        <w:tblLook w:val="04A0" w:firstRow="1" w:lastRow="0" w:firstColumn="1" w:lastColumn="0" w:noHBand="0" w:noVBand="1"/>
      </w:tblPr>
      <w:tblGrid>
        <w:gridCol w:w="5760"/>
        <w:gridCol w:w="1560"/>
      </w:tblGrid>
      <w:tr w:rsidR="00744544" w:rsidRPr="00A66C9F" w14:paraId="0262C107" w14:textId="77777777" w:rsidTr="00107D5D">
        <w:trPr>
          <w:cnfStyle w:val="100000000000" w:firstRow="1" w:lastRow="0" w:firstColumn="0" w:lastColumn="0" w:oddVBand="0" w:evenVBand="0" w:oddHBand="0" w:evenHBand="0" w:firstRowFirstColumn="0" w:firstRowLastColumn="0" w:lastRowFirstColumn="0" w:lastRowLastColumn="0"/>
          <w:trHeight w:val="255"/>
          <w:tblHeader/>
        </w:trPr>
        <w:tc>
          <w:tcPr>
            <w:tcW w:w="5760" w:type="dxa"/>
            <w:tcBorders>
              <w:top w:val="single" w:sz="4" w:space="0" w:color="auto"/>
              <w:bottom w:val="single" w:sz="12" w:space="0" w:color="auto"/>
            </w:tcBorders>
            <w:shd w:val="clear" w:color="auto" w:fill="auto"/>
            <w:vAlign w:val="bottom"/>
          </w:tcPr>
          <w:p w14:paraId="0AC197A3" w14:textId="77777777" w:rsidR="00744544" w:rsidRPr="00A66C9F" w:rsidRDefault="00744544" w:rsidP="00107D5D">
            <w:pPr>
              <w:suppressAutoHyphens/>
              <w:autoSpaceDE w:val="0"/>
              <w:autoSpaceDN w:val="0"/>
              <w:adjustRightInd w:val="0"/>
              <w:spacing w:before="81" w:after="81" w:line="160" w:lineRule="exact"/>
              <w:ind w:right="40"/>
              <w:rPr>
                <w:b w:val="0"/>
                <w:i/>
                <w:sz w:val="14"/>
                <w:szCs w:val="24"/>
                <w:lang w:val="fr-FR"/>
              </w:rPr>
            </w:pPr>
          </w:p>
        </w:tc>
        <w:tc>
          <w:tcPr>
            <w:tcW w:w="1560" w:type="dxa"/>
            <w:tcBorders>
              <w:top w:val="single" w:sz="4" w:space="0" w:color="auto"/>
              <w:bottom w:val="single" w:sz="12" w:space="0" w:color="auto"/>
            </w:tcBorders>
            <w:shd w:val="clear" w:color="auto" w:fill="auto"/>
            <w:vAlign w:val="bottom"/>
          </w:tcPr>
          <w:p w14:paraId="3FE2FF23" w14:textId="77777777" w:rsidR="00744544" w:rsidRPr="00A66C9F" w:rsidRDefault="00744544" w:rsidP="00107D5D">
            <w:pPr>
              <w:suppressAutoHyphens/>
              <w:autoSpaceDE w:val="0"/>
              <w:autoSpaceDN w:val="0"/>
              <w:adjustRightInd w:val="0"/>
              <w:spacing w:before="81" w:after="81" w:line="160" w:lineRule="exact"/>
              <w:ind w:right="43"/>
              <w:jc w:val="right"/>
              <w:rPr>
                <w:b w:val="0"/>
                <w:bCs/>
                <w:i/>
                <w:iCs/>
                <w:sz w:val="14"/>
                <w:szCs w:val="24"/>
                <w:lang w:val="fr-FR"/>
              </w:rPr>
            </w:pPr>
            <w:r w:rsidRPr="00A66C9F">
              <w:rPr>
                <w:b w:val="0"/>
                <w:i/>
                <w:iCs/>
                <w:sz w:val="14"/>
                <w:lang w:val="fr-FR"/>
              </w:rPr>
              <w:t>Au 31 décembre 2019</w:t>
            </w:r>
          </w:p>
        </w:tc>
      </w:tr>
      <w:tr w:rsidR="00744544" w:rsidRPr="00A66C9F" w14:paraId="336ECB2E" w14:textId="77777777" w:rsidTr="00107D5D">
        <w:trPr>
          <w:cnfStyle w:val="100000000000" w:firstRow="1" w:lastRow="0" w:firstColumn="0" w:lastColumn="0" w:oddVBand="0" w:evenVBand="0" w:oddHBand="0" w:evenHBand="0" w:firstRowFirstColumn="0" w:firstRowLastColumn="0" w:lastRowFirstColumn="0" w:lastRowLastColumn="0"/>
          <w:trHeight w:hRule="exact" w:val="115"/>
          <w:tblHeader/>
        </w:trPr>
        <w:tc>
          <w:tcPr>
            <w:tcW w:w="5760" w:type="dxa"/>
            <w:tcBorders>
              <w:top w:val="single" w:sz="12" w:space="0" w:color="auto"/>
              <w:bottom w:val="none" w:sz="0" w:space="0" w:color="auto"/>
            </w:tcBorders>
            <w:shd w:val="clear" w:color="auto" w:fill="auto"/>
            <w:vAlign w:val="bottom"/>
          </w:tcPr>
          <w:p w14:paraId="2193DED2" w14:textId="77777777" w:rsidR="00744544" w:rsidRPr="00A66C9F" w:rsidRDefault="00744544" w:rsidP="00107D5D">
            <w:pPr>
              <w:suppressAutoHyphens/>
              <w:autoSpaceDE w:val="0"/>
              <w:autoSpaceDN w:val="0"/>
              <w:adjustRightInd w:val="0"/>
              <w:spacing w:before="40" w:beforeAutospacing="1" w:after="40" w:afterAutospacing="1" w:line="210" w:lineRule="exact"/>
              <w:ind w:right="40"/>
              <w:rPr>
                <w:sz w:val="17"/>
                <w:lang w:val="fr-FR"/>
              </w:rPr>
            </w:pPr>
          </w:p>
        </w:tc>
        <w:tc>
          <w:tcPr>
            <w:tcW w:w="1560" w:type="dxa"/>
            <w:tcBorders>
              <w:top w:val="single" w:sz="12" w:space="0" w:color="auto"/>
              <w:bottom w:val="none" w:sz="0" w:space="0" w:color="auto"/>
            </w:tcBorders>
            <w:shd w:val="clear" w:color="auto" w:fill="auto"/>
            <w:vAlign w:val="bottom"/>
          </w:tcPr>
          <w:p w14:paraId="40D7D763" w14:textId="77777777" w:rsidR="00744544" w:rsidRPr="00A66C9F" w:rsidRDefault="00744544" w:rsidP="00107D5D">
            <w:pPr>
              <w:suppressAutoHyphens/>
              <w:autoSpaceDE w:val="0"/>
              <w:autoSpaceDN w:val="0"/>
              <w:adjustRightInd w:val="0"/>
              <w:spacing w:before="40" w:beforeAutospacing="1" w:after="40" w:afterAutospacing="1" w:line="210" w:lineRule="exact"/>
              <w:ind w:right="43"/>
              <w:jc w:val="right"/>
              <w:rPr>
                <w:sz w:val="17"/>
                <w:szCs w:val="17"/>
                <w:lang w:val="fr-FR"/>
              </w:rPr>
            </w:pPr>
          </w:p>
        </w:tc>
      </w:tr>
      <w:tr w:rsidR="00744544" w:rsidRPr="00A66C9F" w14:paraId="460FB2A3" w14:textId="77777777" w:rsidTr="00107D5D">
        <w:trPr>
          <w:cnfStyle w:val="000000100000" w:firstRow="0" w:lastRow="0" w:firstColumn="0" w:lastColumn="0" w:oddVBand="0" w:evenVBand="0" w:oddHBand="1" w:evenHBand="0" w:firstRowFirstColumn="0" w:firstRowLastColumn="0" w:lastRowFirstColumn="0" w:lastRowLastColumn="0"/>
        </w:trPr>
        <w:tc>
          <w:tcPr>
            <w:tcW w:w="0" w:type="dxa"/>
            <w:tcBorders>
              <w:bottom w:val="none" w:sz="0" w:space="0" w:color="auto"/>
            </w:tcBorders>
            <w:shd w:val="clear" w:color="auto" w:fill="auto"/>
            <w:vAlign w:val="bottom"/>
          </w:tcPr>
          <w:p w14:paraId="3C7571DD" w14:textId="77777777" w:rsidR="00744544" w:rsidRPr="00A66C9F" w:rsidRDefault="00744544" w:rsidP="00107D5D">
            <w:pPr>
              <w:tabs>
                <w:tab w:val="left" w:pos="288"/>
                <w:tab w:val="left" w:pos="576"/>
                <w:tab w:val="left" w:pos="864"/>
                <w:tab w:val="left" w:pos="1152"/>
              </w:tabs>
              <w:suppressAutoHyphens/>
              <w:autoSpaceDE w:val="0"/>
              <w:autoSpaceDN w:val="0"/>
              <w:adjustRightInd w:val="0"/>
              <w:spacing w:before="40" w:after="40" w:line="210" w:lineRule="exact"/>
              <w:ind w:right="43"/>
              <w:rPr>
                <w:sz w:val="17"/>
                <w:szCs w:val="17"/>
                <w:lang w:val="fr-FR"/>
              </w:rPr>
            </w:pPr>
            <w:r w:rsidRPr="00A66C9F">
              <w:rPr>
                <w:sz w:val="17"/>
                <w:lang w:val="fr-FR"/>
              </w:rPr>
              <w:t>Participants actifs accumulant des droits à prestations</w:t>
            </w:r>
          </w:p>
        </w:tc>
        <w:tc>
          <w:tcPr>
            <w:tcW w:w="0" w:type="dxa"/>
            <w:tcBorders>
              <w:bottom w:val="none" w:sz="0" w:space="0" w:color="auto"/>
            </w:tcBorders>
            <w:shd w:val="clear" w:color="auto" w:fill="auto"/>
            <w:vAlign w:val="bottom"/>
          </w:tcPr>
          <w:p w14:paraId="009DF013" w14:textId="77777777" w:rsidR="00744544" w:rsidRPr="00A66C9F" w:rsidRDefault="00744544" w:rsidP="00107D5D">
            <w:pPr>
              <w:tabs>
                <w:tab w:val="left" w:pos="288"/>
                <w:tab w:val="left" w:pos="576"/>
                <w:tab w:val="left" w:pos="864"/>
                <w:tab w:val="left" w:pos="1152"/>
              </w:tabs>
              <w:suppressAutoHyphens/>
              <w:autoSpaceDE w:val="0"/>
              <w:autoSpaceDN w:val="0"/>
              <w:adjustRightInd w:val="0"/>
              <w:spacing w:before="40" w:after="40" w:line="210" w:lineRule="exact"/>
              <w:ind w:right="43"/>
              <w:jc w:val="right"/>
              <w:rPr>
                <w:sz w:val="17"/>
                <w:szCs w:val="17"/>
                <w:lang w:val="fr-FR"/>
              </w:rPr>
            </w:pPr>
          </w:p>
        </w:tc>
      </w:tr>
      <w:tr w:rsidR="00744544" w:rsidRPr="00A66C9F" w14:paraId="2491C35A" w14:textId="77777777" w:rsidTr="00107D5D">
        <w:tc>
          <w:tcPr>
            <w:tcW w:w="0" w:type="dxa"/>
            <w:shd w:val="clear" w:color="auto" w:fill="auto"/>
            <w:vAlign w:val="bottom"/>
          </w:tcPr>
          <w:p w14:paraId="6344F7B9" w14:textId="77777777" w:rsidR="00744544" w:rsidRPr="00A66C9F" w:rsidRDefault="00744544" w:rsidP="00107D5D">
            <w:pPr>
              <w:tabs>
                <w:tab w:val="left" w:pos="288"/>
                <w:tab w:val="left" w:pos="576"/>
                <w:tab w:val="left" w:pos="864"/>
                <w:tab w:val="left" w:pos="1152"/>
              </w:tabs>
              <w:suppressAutoHyphens/>
              <w:autoSpaceDE w:val="0"/>
              <w:autoSpaceDN w:val="0"/>
              <w:adjustRightInd w:val="0"/>
              <w:spacing w:before="40" w:after="40" w:line="210" w:lineRule="exact"/>
              <w:ind w:right="43"/>
              <w:rPr>
                <w:sz w:val="17"/>
                <w:szCs w:val="17"/>
                <w:lang w:val="fr-FR"/>
              </w:rPr>
            </w:pPr>
            <w:r w:rsidRPr="00A66C9F">
              <w:rPr>
                <w:sz w:val="17"/>
                <w:lang w:val="fr-FR"/>
              </w:rPr>
              <w:tab/>
              <w:t>Nombre</w:t>
            </w:r>
          </w:p>
        </w:tc>
        <w:tc>
          <w:tcPr>
            <w:tcW w:w="0" w:type="dxa"/>
            <w:shd w:val="clear" w:color="auto" w:fill="auto"/>
            <w:vAlign w:val="bottom"/>
          </w:tcPr>
          <w:p w14:paraId="67E057B6" w14:textId="77777777" w:rsidR="00744544" w:rsidRPr="00A66C9F" w:rsidRDefault="00744544" w:rsidP="00107D5D">
            <w:pPr>
              <w:tabs>
                <w:tab w:val="left" w:pos="288"/>
                <w:tab w:val="left" w:pos="576"/>
                <w:tab w:val="left" w:pos="864"/>
                <w:tab w:val="left" w:pos="1152"/>
              </w:tabs>
              <w:suppressAutoHyphens/>
              <w:autoSpaceDE w:val="0"/>
              <w:autoSpaceDN w:val="0"/>
              <w:adjustRightInd w:val="0"/>
              <w:spacing w:before="40" w:after="40" w:line="210" w:lineRule="exact"/>
              <w:ind w:right="43"/>
              <w:jc w:val="right"/>
              <w:rPr>
                <w:sz w:val="17"/>
                <w:szCs w:val="17"/>
                <w:lang w:val="fr-FR"/>
              </w:rPr>
            </w:pPr>
            <w:r w:rsidRPr="00A66C9F">
              <w:rPr>
                <w:sz w:val="17"/>
                <w:lang w:val="fr-FR"/>
              </w:rPr>
              <w:t xml:space="preserve">119 932 </w:t>
            </w:r>
          </w:p>
        </w:tc>
      </w:tr>
      <w:tr w:rsidR="00744544" w:rsidRPr="00A66C9F" w14:paraId="6C676118" w14:textId="77777777" w:rsidTr="00107D5D">
        <w:trPr>
          <w:cnfStyle w:val="000000100000" w:firstRow="0" w:lastRow="0" w:firstColumn="0" w:lastColumn="0" w:oddVBand="0" w:evenVBand="0" w:oddHBand="1" w:evenHBand="0" w:firstRowFirstColumn="0" w:firstRowLastColumn="0" w:lastRowFirstColumn="0" w:lastRowLastColumn="0"/>
        </w:trPr>
        <w:tc>
          <w:tcPr>
            <w:tcW w:w="0" w:type="dxa"/>
            <w:tcBorders>
              <w:bottom w:val="single" w:sz="4" w:space="0" w:color="auto"/>
            </w:tcBorders>
            <w:shd w:val="clear" w:color="auto" w:fill="auto"/>
            <w:vAlign w:val="bottom"/>
          </w:tcPr>
          <w:p w14:paraId="07000C32" w14:textId="77777777" w:rsidR="00744544" w:rsidRPr="00A66C9F" w:rsidRDefault="00744544" w:rsidP="00107D5D">
            <w:pPr>
              <w:tabs>
                <w:tab w:val="left" w:pos="288"/>
                <w:tab w:val="left" w:pos="576"/>
                <w:tab w:val="left" w:pos="864"/>
                <w:tab w:val="left" w:pos="1152"/>
              </w:tabs>
              <w:suppressAutoHyphens/>
              <w:autoSpaceDE w:val="0"/>
              <w:autoSpaceDN w:val="0"/>
              <w:adjustRightInd w:val="0"/>
              <w:spacing w:before="40" w:after="81" w:line="210" w:lineRule="exact"/>
              <w:ind w:right="43"/>
              <w:rPr>
                <w:sz w:val="17"/>
                <w:szCs w:val="17"/>
                <w:lang w:val="fr-FR"/>
              </w:rPr>
            </w:pPr>
            <w:r w:rsidRPr="00A66C9F">
              <w:rPr>
                <w:sz w:val="17"/>
                <w:lang w:val="fr-FR"/>
              </w:rPr>
              <w:tab/>
              <w:t>Rémunération annuelle (en millions de dollars É.-U.)</w:t>
            </w:r>
          </w:p>
        </w:tc>
        <w:tc>
          <w:tcPr>
            <w:tcW w:w="0" w:type="dxa"/>
            <w:tcBorders>
              <w:bottom w:val="single" w:sz="4" w:space="0" w:color="auto"/>
            </w:tcBorders>
            <w:shd w:val="clear" w:color="auto" w:fill="auto"/>
            <w:vAlign w:val="bottom"/>
          </w:tcPr>
          <w:p w14:paraId="27E08BFE" w14:textId="77777777" w:rsidR="00744544" w:rsidRPr="00A66C9F" w:rsidRDefault="00744544" w:rsidP="00107D5D">
            <w:pPr>
              <w:tabs>
                <w:tab w:val="left" w:pos="288"/>
                <w:tab w:val="left" w:pos="576"/>
                <w:tab w:val="left" w:pos="864"/>
                <w:tab w:val="left" w:pos="1152"/>
              </w:tabs>
              <w:suppressAutoHyphens/>
              <w:autoSpaceDE w:val="0"/>
              <w:autoSpaceDN w:val="0"/>
              <w:adjustRightInd w:val="0"/>
              <w:spacing w:before="40" w:after="81" w:line="210" w:lineRule="exact"/>
              <w:ind w:right="43"/>
              <w:jc w:val="right"/>
              <w:rPr>
                <w:sz w:val="17"/>
                <w:szCs w:val="17"/>
                <w:lang w:val="fr-FR"/>
              </w:rPr>
            </w:pPr>
            <w:r w:rsidRPr="00A66C9F">
              <w:rPr>
                <w:sz w:val="17"/>
                <w:lang w:val="fr-FR"/>
              </w:rPr>
              <w:t xml:space="preserve">11 467 </w:t>
            </w:r>
          </w:p>
        </w:tc>
      </w:tr>
      <w:tr w:rsidR="00744544" w:rsidRPr="00A66C9F" w14:paraId="5C554B57" w14:textId="77777777" w:rsidTr="00107D5D">
        <w:tc>
          <w:tcPr>
            <w:tcW w:w="0" w:type="dxa"/>
            <w:tcBorders>
              <w:top w:val="single" w:sz="4" w:space="0" w:color="auto"/>
              <w:bottom w:val="single" w:sz="4" w:space="0" w:color="auto"/>
            </w:tcBorders>
            <w:shd w:val="clear" w:color="auto" w:fill="auto"/>
            <w:vAlign w:val="bottom"/>
          </w:tcPr>
          <w:p w14:paraId="5504BD0B" w14:textId="77777777" w:rsidR="00744544" w:rsidRPr="00A66C9F" w:rsidRDefault="00744544" w:rsidP="00107D5D">
            <w:pPr>
              <w:tabs>
                <w:tab w:val="left" w:pos="288"/>
                <w:tab w:val="left" w:pos="576"/>
                <w:tab w:val="left" w:pos="864"/>
                <w:tab w:val="left" w:pos="1152"/>
              </w:tabs>
              <w:suppressAutoHyphens/>
              <w:autoSpaceDE w:val="0"/>
              <w:autoSpaceDN w:val="0"/>
              <w:adjustRightInd w:val="0"/>
              <w:spacing w:before="81" w:after="81" w:line="210" w:lineRule="exact"/>
              <w:ind w:right="43"/>
              <w:rPr>
                <w:b/>
                <w:sz w:val="17"/>
                <w:szCs w:val="17"/>
                <w:lang w:val="fr-FR"/>
              </w:rPr>
            </w:pPr>
            <w:r w:rsidRPr="00A66C9F">
              <w:rPr>
                <w:b/>
                <w:bCs/>
                <w:sz w:val="17"/>
                <w:lang w:val="fr-FR"/>
              </w:rPr>
              <w:tab/>
              <w:t>Rémunération moyenne (en dollars É.-U.)</w:t>
            </w:r>
          </w:p>
        </w:tc>
        <w:tc>
          <w:tcPr>
            <w:tcW w:w="0" w:type="dxa"/>
            <w:tcBorders>
              <w:top w:val="single" w:sz="4" w:space="0" w:color="auto"/>
              <w:bottom w:val="single" w:sz="4" w:space="0" w:color="auto"/>
            </w:tcBorders>
            <w:shd w:val="clear" w:color="auto" w:fill="auto"/>
            <w:vAlign w:val="bottom"/>
          </w:tcPr>
          <w:p w14:paraId="31D53B6B" w14:textId="77777777" w:rsidR="00744544" w:rsidRPr="00A66C9F" w:rsidRDefault="00744544" w:rsidP="00107D5D">
            <w:pPr>
              <w:tabs>
                <w:tab w:val="left" w:pos="288"/>
                <w:tab w:val="left" w:pos="576"/>
                <w:tab w:val="left" w:pos="864"/>
                <w:tab w:val="left" w:pos="1152"/>
              </w:tabs>
              <w:suppressAutoHyphens/>
              <w:autoSpaceDE w:val="0"/>
              <w:autoSpaceDN w:val="0"/>
              <w:adjustRightInd w:val="0"/>
              <w:spacing w:before="81" w:after="81" w:line="210" w:lineRule="exact"/>
              <w:ind w:right="43"/>
              <w:jc w:val="right"/>
              <w:rPr>
                <w:b/>
                <w:sz w:val="17"/>
                <w:szCs w:val="17"/>
                <w:lang w:val="fr-FR"/>
              </w:rPr>
            </w:pPr>
            <w:r w:rsidRPr="00A66C9F">
              <w:rPr>
                <w:b/>
                <w:bCs/>
                <w:sz w:val="17"/>
                <w:lang w:val="fr-FR"/>
              </w:rPr>
              <w:t>95 613</w:t>
            </w:r>
            <w:r w:rsidRPr="00A66C9F">
              <w:rPr>
                <w:b/>
                <w:sz w:val="17"/>
                <w:lang w:val="fr-FR"/>
              </w:rPr>
              <w:t xml:space="preserve"> </w:t>
            </w:r>
          </w:p>
        </w:tc>
      </w:tr>
      <w:tr w:rsidR="00744544" w:rsidRPr="00A66C9F" w14:paraId="145962EC" w14:textId="77777777" w:rsidTr="00107D5D">
        <w:trPr>
          <w:cnfStyle w:val="000000100000" w:firstRow="0" w:lastRow="0" w:firstColumn="0" w:lastColumn="0" w:oddVBand="0" w:evenVBand="0" w:oddHBand="1" w:evenHBand="0" w:firstRowFirstColumn="0" w:firstRowLastColumn="0" w:lastRowFirstColumn="0" w:lastRowLastColumn="0"/>
        </w:trPr>
        <w:tc>
          <w:tcPr>
            <w:tcW w:w="0" w:type="dxa"/>
            <w:tcBorders>
              <w:top w:val="single" w:sz="4" w:space="0" w:color="auto"/>
              <w:bottom w:val="none" w:sz="0" w:space="0" w:color="auto"/>
            </w:tcBorders>
            <w:shd w:val="clear" w:color="auto" w:fill="auto"/>
            <w:vAlign w:val="bottom"/>
          </w:tcPr>
          <w:p w14:paraId="4F382FC8" w14:textId="77777777" w:rsidR="00744544" w:rsidRPr="00A66C9F" w:rsidRDefault="00744544" w:rsidP="00107D5D">
            <w:pPr>
              <w:tabs>
                <w:tab w:val="left" w:pos="288"/>
                <w:tab w:val="left" w:pos="576"/>
                <w:tab w:val="left" w:pos="864"/>
                <w:tab w:val="left" w:pos="1152"/>
              </w:tabs>
              <w:suppressAutoHyphens/>
              <w:autoSpaceDE w:val="0"/>
              <w:autoSpaceDN w:val="0"/>
              <w:adjustRightInd w:val="0"/>
              <w:spacing w:before="81" w:after="40" w:line="210" w:lineRule="exact"/>
              <w:ind w:right="43"/>
              <w:rPr>
                <w:sz w:val="17"/>
                <w:szCs w:val="17"/>
                <w:lang w:val="fr-FR"/>
              </w:rPr>
            </w:pPr>
            <w:r w:rsidRPr="00A66C9F">
              <w:rPr>
                <w:sz w:val="17"/>
                <w:lang w:val="fr-FR"/>
              </w:rPr>
              <w:t>Participants inactifs n’accumulant plus de droits à prestations</w:t>
            </w:r>
          </w:p>
        </w:tc>
        <w:tc>
          <w:tcPr>
            <w:tcW w:w="0" w:type="dxa"/>
            <w:tcBorders>
              <w:top w:val="single" w:sz="4" w:space="0" w:color="auto"/>
              <w:bottom w:val="none" w:sz="0" w:space="0" w:color="auto"/>
            </w:tcBorders>
            <w:shd w:val="clear" w:color="auto" w:fill="auto"/>
            <w:vAlign w:val="bottom"/>
          </w:tcPr>
          <w:p w14:paraId="398DEA11" w14:textId="77777777" w:rsidR="00744544" w:rsidRPr="00A66C9F" w:rsidRDefault="00744544" w:rsidP="00107D5D">
            <w:pPr>
              <w:tabs>
                <w:tab w:val="left" w:pos="288"/>
                <w:tab w:val="left" w:pos="576"/>
                <w:tab w:val="left" w:pos="864"/>
                <w:tab w:val="left" w:pos="1152"/>
              </w:tabs>
              <w:suppressAutoHyphens/>
              <w:autoSpaceDE w:val="0"/>
              <w:autoSpaceDN w:val="0"/>
              <w:adjustRightInd w:val="0"/>
              <w:spacing w:before="81" w:after="40" w:line="210" w:lineRule="exact"/>
              <w:ind w:right="43"/>
              <w:jc w:val="right"/>
              <w:rPr>
                <w:sz w:val="17"/>
                <w:szCs w:val="17"/>
                <w:lang w:val="fr-FR"/>
              </w:rPr>
            </w:pPr>
          </w:p>
        </w:tc>
      </w:tr>
      <w:tr w:rsidR="00744544" w:rsidRPr="00A66C9F" w14:paraId="203615E4" w14:textId="77777777" w:rsidTr="00107D5D">
        <w:tc>
          <w:tcPr>
            <w:tcW w:w="0" w:type="dxa"/>
            <w:shd w:val="clear" w:color="auto" w:fill="auto"/>
            <w:vAlign w:val="bottom"/>
          </w:tcPr>
          <w:p w14:paraId="4434BBEB" w14:textId="77777777" w:rsidR="00744544" w:rsidRPr="00A66C9F" w:rsidRDefault="00744544" w:rsidP="00107D5D">
            <w:pPr>
              <w:tabs>
                <w:tab w:val="left" w:pos="288"/>
                <w:tab w:val="left" w:pos="576"/>
                <w:tab w:val="left" w:pos="864"/>
                <w:tab w:val="left" w:pos="1152"/>
              </w:tabs>
              <w:suppressAutoHyphens/>
              <w:autoSpaceDE w:val="0"/>
              <w:autoSpaceDN w:val="0"/>
              <w:adjustRightInd w:val="0"/>
              <w:spacing w:before="40" w:after="40" w:line="210" w:lineRule="exact"/>
              <w:ind w:right="43"/>
              <w:rPr>
                <w:sz w:val="17"/>
                <w:szCs w:val="17"/>
                <w:lang w:val="fr-FR"/>
              </w:rPr>
            </w:pPr>
            <w:r w:rsidRPr="00A66C9F">
              <w:rPr>
                <w:sz w:val="17"/>
                <w:lang w:val="fr-FR"/>
              </w:rPr>
              <w:tab/>
              <w:t>Nombre</w:t>
            </w:r>
          </w:p>
        </w:tc>
        <w:tc>
          <w:tcPr>
            <w:tcW w:w="0" w:type="dxa"/>
            <w:shd w:val="clear" w:color="auto" w:fill="auto"/>
            <w:vAlign w:val="bottom"/>
          </w:tcPr>
          <w:p w14:paraId="361A0B73" w14:textId="77777777" w:rsidR="00744544" w:rsidRPr="00A66C9F" w:rsidRDefault="00744544" w:rsidP="00107D5D">
            <w:pPr>
              <w:tabs>
                <w:tab w:val="left" w:pos="288"/>
                <w:tab w:val="left" w:pos="576"/>
                <w:tab w:val="left" w:pos="864"/>
                <w:tab w:val="left" w:pos="1152"/>
              </w:tabs>
              <w:suppressAutoHyphens/>
              <w:autoSpaceDE w:val="0"/>
              <w:autoSpaceDN w:val="0"/>
              <w:adjustRightInd w:val="0"/>
              <w:spacing w:before="40" w:after="40" w:line="210" w:lineRule="exact"/>
              <w:ind w:right="43"/>
              <w:jc w:val="right"/>
              <w:rPr>
                <w:sz w:val="17"/>
                <w:szCs w:val="17"/>
                <w:lang w:val="fr-FR"/>
              </w:rPr>
            </w:pPr>
            <w:r w:rsidRPr="00A66C9F">
              <w:rPr>
                <w:sz w:val="17"/>
                <w:lang w:val="fr-FR"/>
              </w:rPr>
              <w:t xml:space="preserve">11 651 </w:t>
            </w:r>
          </w:p>
        </w:tc>
      </w:tr>
      <w:tr w:rsidR="00744544" w:rsidRPr="00A66C9F" w14:paraId="55A26622" w14:textId="77777777" w:rsidTr="00107D5D">
        <w:trPr>
          <w:cnfStyle w:val="000000100000" w:firstRow="0" w:lastRow="0" w:firstColumn="0" w:lastColumn="0" w:oddVBand="0" w:evenVBand="0" w:oddHBand="1" w:evenHBand="0" w:firstRowFirstColumn="0" w:firstRowLastColumn="0" w:lastRowFirstColumn="0" w:lastRowLastColumn="0"/>
        </w:trPr>
        <w:tc>
          <w:tcPr>
            <w:tcW w:w="0" w:type="dxa"/>
            <w:tcBorders>
              <w:bottom w:val="single" w:sz="4" w:space="0" w:color="auto"/>
            </w:tcBorders>
            <w:shd w:val="clear" w:color="auto" w:fill="auto"/>
            <w:vAlign w:val="bottom"/>
          </w:tcPr>
          <w:p w14:paraId="55F2A0DF" w14:textId="77777777" w:rsidR="00744544" w:rsidRPr="00A66C9F" w:rsidRDefault="00744544" w:rsidP="00107D5D">
            <w:pPr>
              <w:tabs>
                <w:tab w:val="left" w:pos="288"/>
                <w:tab w:val="left" w:pos="576"/>
                <w:tab w:val="left" w:pos="864"/>
                <w:tab w:val="left" w:pos="1152"/>
              </w:tabs>
              <w:suppressAutoHyphens/>
              <w:autoSpaceDE w:val="0"/>
              <w:autoSpaceDN w:val="0"/>
              <w:adjustRightInd w:val="0"/>
              <w:spacing w:before="40" w:after="81" w:line="210" w:lineRule="exact"/>
              <w:ind w:left="288" w:right="43" w:hanging="288"/>
              <w:rPr>
                <w:sz w:val="17"/>
                <w:szCs w:val="17"/>
                <w:lang w:val="fr-FR"/>
              </w:rPr>
            </w:pPr>
            <w:r w:rsidRPr="00A66C9F">
              <w:rPr>
                <w:sz w:val="17"/>
                <w:lang w:val="fr-FR"/>
              </w:rPr>
              <w:tab/>
              <w:t>Montant total des prestations annuelles à verser à l’âge normal de la retraite (en millions de dollars É.-U.)</w:t>
            </w:r>
          </w:p>
        </w:tc>
        <w:tc>
          <w:tcPr>
            <w:tcW w:w="0" w:type="dxa"/>
            <w:tcBorders>
              <w:bottom w:val="single" w:sz="4" w:space="0" w:color="auto"/>
            </w:tcBorders>
            <w:shd w:val="clear" w:color="auto" w:fill="auto"/>
            <w:vAlign w:val="bottom"/>
          </w:tcPr>
          <w:p w14:paraId="58126B12" w14:textId="77777777" w:rsidR="00744544" w:rsidRPr="00A66C9F" w:rsidRDefault="00744544" w:rsidP="00107D5D">
            <w:pPr>
              <w:tabs>
                <w:tab w:val="left" w:pos="288"/>
                <w:tab w:val="left" w:pos="576"/>
                <w:tab w:val="left" w:pos="864"/>
                <w:tab w:val="left" w:pos="1152"/>
              </w:tabs>
              <w:suppressAutoHyphens/>
              <w:autoSpaceDE w:val="0"/>
              <w:autoSpaceDN w:val="0"/>
              <w:adjustRightInd w:val="0"/>
              <w:spacing w:before="40" w:after="81" w:line="210" w:lineRule="exact"/>
              <w:ind w:right="43"/>
              <w:jc w:val="right"/>
              <w:rPr>
                <w:sz w:val="17"/>
                <w:szCs w:val="17"/>
                <w:lang w:val="fr-FR"/>
              </w:rPr>
            </w:pPr>
            <w:r w:rsidRPr="00A66C9F">
              <w:rPr>
                <w:sz w:val="17"/>
                <w:lang w:val="fr-FR"/>
              </w:rPr>
              <w:t xml:space="preserve">119 </w:t>
            </w:r>
          </w:p>
        </w:tc>
      </w:tr>
      <w:tr w:rsidR="00744544" w:rsidRPr="00A66C9F" w14:paraId="0C522E4E" w14:textId="77777777" w:rsidTr="00107D5D">
        <w:tc>
          <w:tcPr>
            <w:tcW w:w="0" w:type="dxa"/>
            <w:tcBorders>
              <w:top w:val="single" w:sz="4" w:space="0" w:color="auto"/>
              <w:bottom w:val="single" w:sz="4" w:space="0" w:color="auto"/>
            </w:tcBorders>
            <w:shd w:val="clear" w:color="auto" w:fill="auto"/>
            <w:vAlign w:val="bottom"/>
          </w:tcPr>
          <w:p w14:paraId="523502F6" w14:textId="77777777" w:rsidR="00744544" w:rsidRPr="00A66C9F" w:rsidRDefault="00744544" w:rsidP="00107D5D">
            <w:pPr>
              <w:tabs>
                <w:tab w:val="left" w:pos="288"/>
                <w:tab w:val="left" w:pos="576"/>
                <w:tab w:val="left" w:pos="864"/>
                <w:tab w:val="left" w:pos="1152"/>
              </w:tabs>
              <w:suppressAutoHyphens/>
              <w:autoSpaceDE w:val="0"/>
              <w:autoSpaceDN w:val="0"/>
              <w:adjustRightInd w:val="0"/>
              <w:spacing w:before="81" w:after="81" w:line="210" w:lineRule="exact"/>
              <w:ind w:left="288" w:right="43" w:hanging="288"/>
              <w:rPr>
                <w:b/>
                <w:sz w:val="17"/>
                <w:szCs w:val="17"/>
                <w:lang w:val="fr-FR"/>
              </w:rPr>
            </w:pPr>
            <w:r w:rsidRPr="00A66C9F">
              <w:rPr>
                <w:b/>
                <w:bCs/>
                <w:sz w:val="17"/>
                <w:lang w:val="fr-FR"/>
              </w:rPr>
              <w:tab/>
              <w:t>Montant moyen des prestations à verser à l’âge normal de la retraite (en dollars É.-U.)</w:t>
            </w:r>
          </w:p>
        </w:tc>
        <w:tc>
          <w:tcPr>
            <w:tcW w:w="0" w:type="dxa"/>
            <w:tcBorders>
              <w:top w:val="single" w:sz="4" w:space="0" w:color="auto"/>
              <w:bottom w:val="single" w:sz="4" w:space="0" w:color="auto"/>
            </w:tcBorders>
            <w:shd w:val="clear" w:color="auto" w:fill="auto"/>
            <w:vAlign w:val="bottom"/>
          </w:tcPr>
          <w:p w14:paraId="56BF84B0" w14:textId="77777777" w:rsidR="00744544" w:rsidRPr="00A66C9F" w:rsidRDefault="00744544" w:rsidP="00107D5D">
            <w:pPr>
              <w:tabs>
                <w:tab w:val="left" w:pos="288"/>
                <w:tab w:val="left" w:pos="576"/>
                <w:tab w:val="left" w:pos="864"/>
                <w:tab w:val="left" w:pos="1152"/>
              </w:tabs>
              <w:suppressAutoHyphens/>
              <w:autoSpaceDE w:val="0"/>
              <w:autoSpaceDN w:val="0"/>
              <w:adjustRightInd w:val="0"/>
              <w:spacing w:before="81" w:after="81" w:line="210" w:lineRule="exact"/>
              <w:ind w:right="43"/>
              <w:jc w:val="right"/>
              <w:rPr>
                <w:b/>
                <w:sz w:val="17"/>
                <w:szCs w:val="17"/>
                <w:lang w:val="fr-FR"/>
              </w:rPr>
            </w:pPr>
            <w:r w:rsidRPr="00A66C9F">
              <w:rPr>
                <w:b/>
                <w:bCs/>
                <w:sz w:val="17"/>
                <w:lang w:val="fr-FR"/>
              </w:rPr>
              <w:t>11 298</w:t>
            </w:r>
            <w:r w:rsidRPr="00A66C9F">
              <w:rPr>
                <w:b/>
                <w:sz w:val="17"/>
                <w:lang w:val="fr-FR"/>
              </w:rPr>
              <w:t xml:space="preserve"> </w:t>
            </w:r>
          </w:p>
        </w:tc>
      </w:tr>
      <w:tr w:rsidR="00744544" w:rsidRPr="00A66C9F" w14:paraId="6DA6C9E7" w14:textId="77777777" w:rsidTr="00107D5D">
        <w:trPr>
          <w:cnfStyle w:val="000000100000" w:firstRow="0" w:lastRow="0" w:firstColumn="0" w:lastColumn="0" w:oddVBand="0" w:evenVBand="0" w:oddHBand="1" w:evenHBand="0" w:firstRowFirstColumn="0" w:firstRowLastColumn="0" w:lastRowFirstColumn="0" w:lastRowLastColumn="0"/>
        </w:trPr>
        <w:tc>
          <w:tcPr>
            <w:tcW w:w="0" w:type="dxa"/>
            <w:tcBorders>
              <w:bottom w:val="none" w:sz="0" w:space="0" w:color="auto"/>
            </w:tcBorders>
            <w:shd w:val="clear" w:color="auto" w:fill="auto"/>
            <w:vAlign w:val="bottom"/>
          </w:tcPr>
          <w:p w14:paraId="47C71C0F" w14:textId="77777777" w:rsidR="00744544" w:rsidRPr="00A66C9F" w:rsidRDefault="00744544" w:rsidP="00107D5D">
            <w:pPr>
              <w:tabs>
                <w:tab w:val="left" w:pos="288"/>
                <w:tab w:val="left" w:pos="576"/>
                <w:tab w:val="left" w:pos="864"/>
                <w:tab w:val="left" w:pos="1152"/>
              </w:tabs>
              <w:suppressAutoHyphens/>
              <w:autoSpaceDE w:val="0"/>
              <w:autoSpaceDN w:val="0"/>
              <w:adjustRightInd w:val="0"/>
              <w:spacing w:before="81" w:after="40" w:line="210" w:lineRule="exact"/>
              <w:ind w:right="43"/>
              <w:rPr>
                <w:sz w:val="17"/>
                <w:szCs w:val="17"/>
                <w:lang w:val="fr-FR"/>
              </w:rPr>
            </w:pPr>
            <w:r w:rsidRPr="00A66C9F">
              <w:rPr>
                <w:sz w:val="17"/>
                <w:lang w:val="fr-FR"/>
              </w:rPr>
              <w:t>Participants retraités et ayants droit</w:t>
            </w:r>
          </w:p>
        </w:tc>
        <w:tc>
          <w:tcPr>
            <w:tcW w:w="0" w:type="dxa"/>
            <w:tcBorders>
              <w:bottom w:val="none" w:sz="0" w:space="0" w:color="auto"/>
            </w:tcBorders>
            <w:shd w:val="clear" w:color="auto" w:fill="auto"/>
            <w:vAlign w:val="bottom"/>
          </w:tcPr>
          <w:p w14:paraId="3C8C4E5B" w14:textId="77777777" w:rsidR="00744544" w:rsidRPr="00A66C9F" w:rsidRDefault="00744544" w:rsidP="00107D5D">
            <w:pPr>
              <w:tabs>
                <w:tab w:val="left" w:pos="288"/>
                <w:tab w:val="left" w:pos="576"/>
                <w:tab w:val="left" w:pos="864"/>
                <w:tab w:val="left" w:pos="1152"/>
              </w:tabs>
              <w:suppressAutoHyphens/>
              <w:autoSpaceDE w:val="0"/>
              <w:autoSpaceDN w:val="0"/>
              <w:adjustRightInd w:val="0"/>
              <w:spacing w:before="81" w:after="40" w:line="210" w:lineRule="exact"/>
              <w:ind w:right="43"/>
              <w:jc w:val="right"/>
              <w:rPr>
                <w:sz w:val="17"/>
                <w:szCs w:val="17"/>
                <w:lang w:val="fr-FR"/>
              </w:rPr>
            </w:pPr>
          </w:p>
        </w:tc>
      </w:tr>
      <w:tr w:rsidR="00744544" w:rsidRPr="00A66C9F" w14:paraId="5F053180" w14:textId="77777777" w:rsidTr="00107D5D">
        <w:tc>
          <w:tcPr>
            <w:tcW w:w="0" w:type="dxa"/>
            <w:shd w:val="clear" w:color="auto" w:fill="auto"/>
            <w:vAlign w:val="bottom"/>
          </w:tcPr>
          <w:p w14:paraId="329CA2BF" w14:textId="77777777" w:rsidR="00744544" w:rsidRPr="00A66C9F" w:rsidRDefault="00744544" w:rsidP="00107D5D">
            <w:pPr>
              <w:tabs>
                <w:tab w:val="left" w:pos="288"/>
                <w:tab w:val="left" w:pos="576"/>
                <w:tab w:val="left" w:pos="864"/>
                <w:tab w:val="left" w:pos="1152"/>
              </w:tabs>
              <w:suppressAutoHyphens/>
              <w:autoSpaceDE w:val="0"/>
              <w:autoSpaceDN w:val="0"/>
              <w:adjustRightInd w:val="0"/>
              <w:spacing w:before="40" w:after="40" w:line="210" w:lineRule="exact"/>
              <w:ind w:right="43"/>
              <w:rPr>
                <w:sz w:val="17"/>
                <w:szCs w:val="17"/>
                <w:lang w:val="fr-FR"/>
              </w:rPr>
            </w:pPr>
            <w:r w:rsidRPr="00A66C9F">
              <w:rPr>
                <w:sz w:val="17"/>
                <w:lang w:val="fr-FR"/>
              </w:rPr>
              <w:tab/>
              <w:t>Nombre</w:t>
            </w:r>
          </w:p>
        </w:tc>
        <w:tc>
          <w:tcPr>
            <w:tcW w:w="0" w:type="dxa"/>
            <w:shd w:val="clear" w:color="auto" w:fill="auto"/>
            <w:vAlign w:val="bottom"/>
          </w:tcPr>
          <w:p w14:paraId="3E1C4EBB" w14:textId="77777777" w:rsidR="00744544" w:rsidRPr="00A66C9F" w:rsidRDefault="00744544" w:rsidP="00107D5D">
            <w:pPr>
              <w:tabs>
                <w:tab w:val="left" w:pos="288"/>
                <w:tab w:val="left" w:pos="576"/>
                <w:tab w:val="left" w:pos="864"/>
                <w:tab w:val="left" w:pos="1152"/>
              </w:tabs>
              <w:suppressAutoHyphens/>
              <w:autoSpaceDE w:val="0"/>
              <w:autoSpaceDN w:val="0"/>
              <w:adjustRightInd w:val="0"/>
              <w:spacing w:before="40" w:after="40" w:line="210" w:lineRule="exact"/>
              <w:ind w:right="43"/>
              <w:jc w:val="right"/>
              <w:rPr>
                <w:sz w:val="17"/>
                <w:szCs w:val="17"/>
                <w:lang w:val="fr-FR"/>
              </w:rPr>
            </w:pPr>
            <w:r w:rsidRPr="00A66C9F">
              <w:rPr>
                <w:sz w:val="17"/>
                <w:lang w:val="fr-FR"/>
              </w:rPr>
              <w:t xml:space="preserve">79 975 </w:t>
            </w:r>
          </w:p>
        </w:tc>
      </w:tr>
      <w:tr w:rsidR="00744544" w:rsidRPr="00A66C9F" w14:paraId="217E1CE9" w14:textId="77777777" w:rsidTr="00107D5D">
        <w:trPr>
          <w:cnfStyle w:val="000000100000" w:firstRow="0" w:lastRow="0" w:firstColumn="0" w:lastColumn="0" w:oddVBand="0" w:evenVBand="0" w:oddHBand="1" w:evenHBand="0" w:firstRowFirstColumn="0" w:firstRowLastColumn="0" w:lastRowFirstColumn="0" w:lastRowLastColumn="0"/>
        </w:trPr>
        <w:tc>
          <w:tcPr>
            <w:tcW w:w="0" w:type="dxa"/>
            <w:tcBorders>
              <w:bottom w:val="single" w:sz="4" w:space="0" w:color="auto"/>
            </w:tcBorders>
            <w:shd w:val="clear" w:color="auto" w:fill="auto"/>
            <w:vAlign w:val="bottom"/>
          </w:tcPr>
          <w:p w14:paraId="6548E5F9" w14:textId="77777777" w:rsidR="00744544" w:rsidRPr="00A66C9F" w:rsidRDefault="00744544" w:rsidP="00107D5D">
            <w:pPr>
              <w:tabs>
                <w:tab w:val="left" w:pos="288"/>
                <w:tab w:val="left" w:pos="576"/>
                <w:tab w:val="left" w:pos="864"/>
                <w:tab w:val="left" w:pos="1152"/>
              </w:tabs>
              <w:suppressAutoHyphens/>
              <w:autoSpaceDE w:val="0"/>
              <w:autoSpaceDN w:val="0"/>
              <w:adjustRightInd w:val="0"/>
              <w:spacing w:before="40" w:after="81" w:line="210" w:lineRule="exact"/>
              <w:ind w:right="43"/>
              <w:rPr>
                <w:sz w:val="17"/>
                <w:szCs w:val="17"/>
                <w:lang w:val="fr-FR"/>
              </w:rPr>
            </w:pPr>
            <w:r w:rsidRPr="00A66C9F">
              <w:rPr>
                <w:sz w:val="17"/>
                <w:lang w:val="fr-FR"/>
              </w:rPr>
              <w:tab/>
              <w:t>Montant total des prestations annuelles (en millions de dollars É.-U.)</w:t>
            </w:r>
          </w:p>
        </w:tc>
        <w:tc>
          <w:tcPr>
            <w:tcW w:w="0" w:type="dxa"/>
            <w:tcBorders>
              <w:bottom w:val="single" w:sz="4" w:space="0" w:color="auto"/>
            </w:tcBorders>
            <w:shd w:val="clear" w:color="auto" w:fill="auto"/>
            <w:vAlign w:val="bottom"/>
          </w:tcPr>
          <w:p w14:paraId="38AB5F91" w14:textId="77777777" w:rsidR="00744544" w:rsidRPr="00A66C9F" w:rsidRDefault="00744544" w:rsidP="00107D5D">
            <w:pPr>
              <w:tabs>
                <w:tab w:val="left" w:pos="288"/>
                <w:tab w:val="left" w:pos="576"/>
                <w:tab w:val="left" w:pos="864"/>
                <w:tab w:val="left" w:pos="1152"/>
              </w:tabs>
              <w:suppressAutoHyphens/>
              <w:autoSpaceDE w:val="0"/>
              <w:autoSpaceDN w:val="0"/>
              <w:adjustRightInd w:val="0"/>
              <w:spacing w:before="40" w:after="81" w:line="210" w:lineRule="exact"/>
              <w:ind w:right="43"/>
              <w:jc w:val="right"/>
              <w:rPr>
                <w:sz w:val="17"/>
                <w:szCs w:val="17"/>
                <w:lang w:val="fr-FR"/>
              </w:rPr>
            </w:pPr>
            <w:r w:rsidRPr="00A66C9F">
              <w:rPr>
                <w:sz w:val="17"/>
                <w:lang w:val="fr-FR"/>
              </w:rPr>
              <w:t xml:space="preserve"> 2 455 </w:t>
            </w:r>
          </w:p>
        </w:tc>
      </w:tr>
      <w:tr w:rsidR="00744544" w:rsidRPr="00A66C9F" w14:paraId="7F455FD9" w14:textId="77777777" w:rsidTr="00107D5D">
        <w:tc>
          <w:tcPr>
            <w:tcW w:w="0" w:type="dxa"/>
            <w:tcBorders>
              <w:top w:val="single" w:sz="4" w:space="0" w:color="auto"/>
              <w:bottom w:val="single" w:sz="12" w:space="0" w:color="auto"/>
            </w:tcBorders>
            <w:shd w:val="clear" w:color="auto" w:fill="auto"/>
            <w:vAlign w:val="bottom"/>
          </w:tcPr>
          <w:p w14:paraId="7E27EB4F" w14:textId="77777777" w:rsidR="00744544" w:rsidRPr="00A66C9F" w:rsidRDefault="00744544" w:rsidP="00107D5D">
            <w:pPr>
              <w:tabs>
                <w:tab w:val="left" w:pos="288"/>
                <w:tab w:val="left" w:pos="576"/>
                <w:tab w:val="left" w:pos="864"/>
                <w:tab w:val="left" w:pos="1152"/>
              </w:tabs>
              <w:suppressAutoHyphens/>
              <w:autoSpaceDE w:val="0"/>
              <w:autoSpaceDN w:val="0"/>
              <w:adjustRightInd w:val="0"/>
              <w:spacing w:before="81" w:after="81" w:line="210" w:lineRule="exact"/>
              <w:ind w:right="43"/>
              <w:rPr>
                <w:b/>
                <w:sz w:val="17"/>
                <w:szCs w:val="17"/>
                <w:lang w:val="fr-FR"/>
              </w:rPr>
            </w:pPr>
            <w:r w:rsidRPr="00A66C9F">
              <w:rPr>
                <w:b/>
                <w:bCs/>
                <w:sz w:val="17"/>
                <w:lang w:val="fr-FR"/>
              </w:rPr>
              <w:tab/>
              <w:t>Montant moyen des prestations (en dollars É.-U.)</w:t>
            </w:r>
          </w:p>
        </w:tc>
        <w:tc>
          <w:tcPr>
            <w:tcW w:w="0" w:type="dxa"/>
            <w:tcBorders>
              <w:top w:val="single" w:sz="4" w:space="0" w:color="auto"/>
              <w:bottom w:val="single" w:sz="12" w:space="0" w:color="auto"/>
            </w:tcBorders>
            <w:shd w:val="clear" w:color="auto" w:fill="auto"/>
            <w:vAlign w:val="bottom"/>
          </w:tcPr>
          <w:p w14:paraId="5C7B3FA4" w14:textId="77777777" w:rsidR="00744544" w:rsidRPr="00A66C9F" w:rsidRDefault="00744544" w:rsidP="00107D5D">
            <w:pPr>
              <w:tabs>
                <w:tab w:val="left" w:pos="288"/>
                <w:tab w:val="left" w:pos="576"/>
                <w:tab w:val="left" w:pos="864"/>
                <w:tab w:val="left" w:pos="1152"/>
              </w:tabs>
              <w:suppressAutoHyphens/>
              <w:autoSpaceDE w:val="0"/>
              <w:autoSpaceDN w:val="0"/>
              <w:adjustRightInd w:val="0"/>
              <w:spacing w:before="81" w:after="81" w:line="210" w:lineRule="exact"/>
              <w:ind w:right="43"/>
              <w:jc w:val="right"/>
              <w:rPr>
                <w:b/>
                <w:sz w:val="17"/>
                <w:szCs w:val="17"/>
                <w:lang w:val="fr-FR"/>
              </w:rPr>
            </w:pPr>
            <w:r w:rsidRPr="00A66C9F">
              <w:rPr>
                <w:b/>
                <w:bCs/>
                <w:sz w:val="17"/>
                <w:lang w:val="fr-FR"/>
              </w:rPr>
              <w:t>30 697</w:t>
            </w:r>
            <w:r w:rsidRPr="00A66C9F">
              <w:rPr>
                <w:b/>
                <w:sz w:val="17"/>
                <w:lang w:val="fr-FR"/>
              </w:rPr>
              <w:t xml:space="preserve"> </w:t>
            </w:r>
          </w:p>
        </w:tc>
      </w:tr>
    </w:tbl>
    <w:p w14:paraId="237B0FE7" w14:textId="77777777" w:rsidR="00744544" w:rsidRPr="00A66C9F" w:rsidRDefault="00744544" w:rsidP="00744544">
      <w:pPr>
        <w:pStyle w:val="SingleTxt"/>
        <w:spacing w:after="0" w:line="120" w:lineRule="exact"/>
        <w:rPr>
          <w:sz w:val="10"/>
          <w:lang w:val="fr-FR"/>
        </w:rPr>
      </w:pPr>
    </w:p>
    <w:p w14:paraId="431DE55D" w14:textId="77777777" w:rsidR="00744544" w:rsidRPr="00A66C9F" w:rsidRDefault="00744544" w:rsidP="00744544">
      <w:pPr>
        <w:pStyle w:val="SingleTxt"/>
        <w:spacing w:after="0" w:line="120" w:lineRule="exact"/>
        <w:rPr>
          <w:sz w:val="10"/>
          <w:lang w:val="fr-FR"/>
        </w:rPr>
      </w:pPr>
    </w:p>
    <w:p w14:paraId="6CF4EF75" w14:textId="77777777" w:rsidR="00744544" w:rsidRPr="00A66C9F" w:rsidRDefault="00744544" w:rsidP="00744544">
      <w:pPr>
        <w:pStyle w:val="SingleTxt"/>
        <w:spacing w:after="0" w:line="120" w:lineRule="exact"/>
        <w:rPr>
          <w:sz w:val="10"/>
          <w:lang w:val="fr-FR"/>
        </w:rPr>
      </w:pPr>
    </w:p>
    <w:bookmarkEnd w:id="424"/>
    <w:p w14:paraId="0B935112"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fr-FR"/>
        </w:rPr>
      </w:pPr>
      <w:r w:rsidRPr="00A66C9F">
        <w:rPr>
          <w:lang w:val="fr-FR"/>
        </w:rPr>
        <w:tab/>
      </w:r>
      <w:r w:rsidRPr="00A66C9F">
        <w:rPr>
          <w:lang w:val="fr-FR"/>
        </w:rPr>
        <w:tab/>
        <w:t>Note 19</w:t>
      </w:r>
    </w:p>
    <w:p w14:paraId="2D99D2DE"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Engagements et passifs et actifs éventuels</w:t>
      </w:r>
    </w:p>
    <w:p w14:paraId="013B5263" w14:textId="77777777" w:rsidR="00744544" w:rsidRPr="00A66C9F" w:rsidRDefault="00744544" w:rsidP="00744544">
      <w:pPr>
        <w:pStyle w:val="SingleTxt"/>
        <w:spacing w:after="0" w:line="120" w:lineRule="exact"/>
        <w:rPr>
          <w:sz w:val="10"/>
          <w:lang w:val="fr-FR"/>
        </w:rPr>
      </w:pPr>
    </w:p>
    <w:p w14:paraId="5BD45B3B"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425" w:name="_Toc484006254"/>
      <w:bookmarkStart w:id="426" w:name="_Toc450645519"/>
      <w:bookmarkStart w:id="427" w:name="_Toc450645628"/>
      <w:bookmarkStart w:id="428" w:name="_Toc450831181"/>
      <w:bookmarkStart w:id="429" w:name="_Toc450831290"/>
      <w:bookmarkStart w:id="430" w:name="_Toc450834632"/>
      <w:bookmarkStart w:id="431" w:name="_Toc450901685"/>
      <w:bookmarkStart w:id="432" w:name="_Toc451169340"/>
      <w:bookmarkStart w:id="433" w:name="_Toc450645520"/>
      <w:bookmarkStart w:id="434" w:name="_Toc450645629"/>
      <w:bookmarkStart w:id="435" w:name="_Toc450831182"/>
      <w:bookmarkStart w:id="436" w:name="_Toc450831291"/>
      <w:bookmarkStart w:id="437" w:name="_Toc450834633"/>
      <w:bookmarkStart w:id="438" w:name="_Toc450901686"/>
      <w:bookmarkStart w:id="439" w:name="_Toc451169341"/>
      <w:bookmarkStart w:id="440" w:name="_Toc450645535"/>
      <w:bookmarkStart w:id="441" w:name="_Toc450645644"/>
      <w:bookmarkStart w:id="442" w:name="_Toc450831197"/>
      <w:bookmarkStart w:id="443" w:name="_Toc450831306"/>
      <w:bookmarkStart w:id="444" w:name="_Toc450834648"/>
      <w:bookmarkStart w:id="445" w:name="_Toc450901701"/>
      <w:bookmarkStart w:id="446" w:name="_Toc451169356"/>
      <w:bookmarkStart w:id="447" w:name="_Toc450645550"/>
      <w:bookmarkStart w:id="448" w:name="_Toc450645659"/>
      <w:bookmarkStart w:id="449" w:name="_Toc450831212"/>
      <w:bookmarkStart w:id="450" w:name="_Toc450831321"/>
      <w:bookmarkStart w:id="451" w:name="_Toc450834663"/>
      <w:bookmarkStart w:id="452" w:name="_Toc450901716"/>
      <w:bookmarkStart w:id="453" w:name="_Toc451169371"/>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sidRPr="00A66C9F">
        <w:rPr>
          <w:szCs w:val="20"/>
          <w:lang w:val="fr-FR"/>
        </w:rPr>
        <w:lastRenderedPageBreak/>
        <w:tab/>
        <w:t>19.1</w:t>
      </w:r>
      <w:r w:rsidRPr="00A66C9F">
        <w:rPr>
          <w:szCs w:val="20"/>
          <w:lang w:val="fr-FR"/>
        </w:rPr>
        <w:tab/>
        <w:t>Engagements</w:t>
      </w:r>
      <w:r w:rsidRPr="00A66C9F">
        <w:rPr>
          <w:lang w:val="fr-FR"/>
        </w:rPr>
        <w:t xml:space="preserve"> au titre des investissements</w:t>
      </w:r>
    </w:p>
    <w:p w14:paraId="7CBCDA45" w14:textId="77777777" w:rsidR="00744544" w:rsidRPr="00A66C9F" w:rsidRDefault="00744544" w:rsidP="00744544">
      <w:pPr>
        <w:pStyle w:val="SingleTxt"/>
        <w:spacing w:after="0" w:line="120" w:lineRule="exact"/>
        <w:rPr>
          <w:sz w:val="10"/>
          <w:lang w:val="fr-FR"/>
        </w:rPr>
      </w:pPr>
    </w:p>
    <w:p w14:paraId="740E8DB0" w14:textId="77777777" w:rsidR="00744544" w:rsidRPr="00A66C9F" w:rsidRDefault="00744544" w:rsidP="00753AB8">
      <w:pPr>
        <w:pStyle w:val="SingleTxt"/>
        <w:numPr>
          <w:ilvl w:val="0"/>
          <w:numId w:val="18"/>
        </w:numPr>
        <w:spacing w:line="240" w:lineRule="exact"/>
        <w:rPr>
          <w:lang w:val="fr-FR"/>
        </w:rPr>
      </w:pPr>
      <w:r w:rsidRPr="00A66C9F">
        <w:rPr>
          <w:szCs w:val="20"/>
          <w:lang w:val="fr-FR"/>
        </w:rPr>
        <w:t>Au</w:t>
      </w:r>
      <w:r w:rsidRPr="00A66C9F">
        <w:rPr>
          <w:lang w:val="fr-FR"/>
        </w:rPr>
        <w:t xml:space="preserve"> 31 décembre 2019 et au 31 décembre 2018, les engagements de la Caisse au titre des investissements s’établissaient comme suit :</w:t>
      </w:r>
    </w:p>
    <w:p w14:paraId="6D5E8641" w14:textId="77777777" w:rsidR="00744544" w:rsidRPr="00A66C9F" w:rsidRDefault="00744544" w:rsidP="00744544">
      <w:pPr>
        <w:pStyle w:val="SingleTxt"/>
        <w:spacing w:after="0" w:line="120" w:lineRule="exact"/>
        <w:rPr>
          <w:sz w:val="10"/>
          <w:lang w:val="fr-FR"/>
        </w:rPr>
      </w:pPr>
    </w:p>
    <w:p w14:paraId="5E516C6A" w14:textId="77777777" w:rsidR="00744544" w:rsidRPr="00A66C9F" w:rsidRDefault="00744544" w:rsidP="0074454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lang w:val="fr-FR"/>
        </w:rPr>
        <w:tab/>
      </w:r>
      <w:r w:rsidRPr="00A66C9F">
        <w:rPr>
          <w:sz w:val="14"/>
          <w:szCs w:val="14"/>
          <w:lang w:val="fr-FR"/>
        </w:rPr>
        <w:tab/>
        <w:t>(En milliers de dollars des États-Unis)</w:t>
      </w:r>
    </w:p>
    <w:p w14:paraId="74B901A3" w14:textId="77777777" w:rsidR="00744544" w:rsidRPr="00A66C9F" w:rsidRDefault="00744544" w:rsidP="00744544">
      <w:pPr>
        <w:pStyle w:val="SingleTxt"/>
        <w:spacing w:after="0" w:line="120" w:lineRule="exact"/>
        <w:rPr>
          <w:sz w:val="10"/>
          <w:lang w:val="fr-FR"/>
        </w:rPr>
      </w:pPr>
    </w:p>
    <w:p w14:paraId="7880AFF7" w14:textId="77777777" w:rsidR="00744544" w:rsidRPr="00A66C9F" w:rsidRDefault="00744544" w:rsidP="00744544">
      <w:pPr>
        <w:pStyle w:val="SingleTxt"/>
        <w:spacing w:after="0" w:line="120" w:lineRule="exact"/>
        <w:rPr>
          <w:sz w:val="10"/>
          <w:lang w:val="fr-FR"/>
        </w:rPr>
      </w:pPr>
    </w:p>
    <w:tbl>
      <w:tblPr>
        <w:tblW w:w="7320" w:type="dxa"/>
        <w:tblInd w:w="1260" w:type="dxa"/>
        <w:tblLayout w:type="fixed"/>
        <w:tblCellMar>
          <w:left w:w="0" w:type="dxa"/>
          <w:right w:w="0" w:type="dxa"/>
        </w:tblCellMar>
        <w:tblLook w:val="00A0" w:firstRow="1" w:lastRow="0" w:firstColumn="1" w:lastColumn="0" w:noHBand="0" w:noVBand="0"/>
      </w:tblPr>
      <w:tblGrid>
        <w:gridCol w:w="3771"/>
        <w:gridCol w:w="1773"/>
        <w:gridCol w:w="1776"/>
      </w:tblGrid>
      <w:tr w:rsidR="00744544" w:rsidRPr="00A66C9F" w14:paraId="2EE38DF7" w14:textId="77777777" w:rsidTr="00107D5D">
        <w:trPr>
          <w:trHeight w:val="288"/>
          <w:tblHeader/>
        </w:trPr>
        <w:tc>
          <w:tcPr>
            <w:tcW w:w="3771" w:type="dxa"/>
            <w:tcBorders>
              <w:top w:val="single" w:sz="4" w:space="0" w:color="auto"/>
              <w:bottom w:val="single" w:sz="12" w:space="0" w:color="auto"/>
            </w:tcBorders>
            <w:shd w:val="clear" w:color="auto" w:fill="auto"/>
            <w:vAlign w:val="bottom"/>
          </w:tcPr>
          <w:p w14:paraId="7BEB8A57" w14:textId="77777777" w:rsidR="00744544" w:rsidRPr="00A66C9F" w:rsidRDefault="00744544" w:rsidP="00107D5D">
            <w:pPr>
              <w:keepNext/>
              <w:keepLines/>
              <w:suppressAutoHyphens/>
              <w:spacing w:before="81" w:after="81" w:line="160" w:lineRule="exact"/>
              <w:ind w:right="40"/>
              <w:rPr>
                <w:bCs/>
                <w:i/>
                <w:iCs/>
                <w:sz w:val="14"/>
                <w:szCs w:val="20"/>
                <w:lang w:val="fr-FR"/>
              </w:rPr>
            </w:pPr>
          </w:p>
        </w:tc>
        <w:tc>
          <w:tcPr>
            <w:tcW w:w="1773" w:type="dxa"/>
            <w:tcBorders>
              <w:top w:val="single" w:sz="4" w:space="0" w:color="auto"/>
              <w:bottom w:val="single" w:sz="12" w:space="0" w:color="auto"/>
            </w:tcBorders>
            <w:shd w:val="clear" w:color="auto" w:fill="auto"/>
            <w:vAlign w:val="bottom"/>
          </w:tcPr>
          <w:p w14:paraId="1627364D" w14:textId="77777777" w:rsidR="00744544" w:rsidRPr="00A66C9F" w:rsidDel="005F43B7" w:rsidRDefault="00744544" w:rsidP="00107D5D">
            <w:pPr>
              <w:keepNext/>
              <w:keepLines/>
              <w:suppressAutoHyphens/>
              <w:spacing w:before="81" w:after="81" w:line="160" w:lineRule="exact"/>
              <w:ind w:right="43"/>
              <w:jc w:val="right"/>
              <w:rPr>
                <w:bCs/>
                <w:i/>
                <w:iCs/>
                <w:sz w:val="14"/>
                <w:szCs w:val="20"/>
                <w:lang w:val="fr-FR"/>
              </w:rPr>
            </w:pPr>
            <w:r w:rsidRPr="00A66C9F">
              <w:rPr>
                <w:i/>
                <w:iCs/>
                <w:sz w:val="14"/>
                <w:lang w:val="fr-FR"/>
              </w:rPr>
              <w:t>Au 31 décembre 2019</w:t>
            </w:r>
          </w:p>
        </w:tc>
        <w:tc>
          <w:tcPr>
            <w:tcW w:w="1776" w:type="dxa"/>
            <w:tcBorders>
              <w:top w:val="single" w:sz="4" w:space="0" w:color="auto"/>
              <w:bottom w:val="single" w:sz="12" w:space="0" w:color="auto"/>
            </w:tcBorders>
            <w:shd w:val="clear" w:color="auto" w:fill="auto"/>
            <w:vAlign w:val="bottom"/>
          </w:tcPr>
          <w:p w14:paraId="795AE3D6" w14:textId="77777777" w:rsidR="00744544" w:rsidRPr="00A66C9F" w:rsidRDefault="00744544" w:rsidP="00107D5D">
            <w:pPr>
              <w:keepNext/>
              <w:keepLines/>
              <w:suppressAutoHyphens/>
              <w:spacing w:before="81" w:after="81" w:line="160" w:lineRule="exact"/>
              <w:ind w:right="43"/>
              <w:jc w:val="right"/>
              <w:rPr>
                <w:bCs/>
                <w:i/>
                <w:iCs/>
                <w:sz w:val="14"/>
                <w:szCs w:val="20"/>
                <w:lang w:val="fr-FR"/>
              </w:rPr>
            </w:pPr>
            <w:r w:rsidRPr="00A66C9F">
              <w:rPr>
                <w:i/>
                <w:iCs/>
                <w:sz w:val="14"/>
                <w:lang w:val="fr-FR"/>
              </w:rPr>
              <w:t>Au 31 décembre 2018</w:t>
            </w:r>
          </w:p>
        </w:tc>
      </w:tr>
      <w:tr w:rsidR="00744544" w:rsidRPr="00A66C9F" w14:paraId="7E273822" w14:textId="77777777" w:rsidTr="00107D5D">
        <w:trPr>
          <w:trHeight w:hRule="exact" w:val="115"/>
          <w:tblHeader/>
        </w:trPr>
        <w:tc>
          <w:tcPr>
            <w:tcW w:w="3771" w:type="dxa"/>
            <w:tcBorders>
              <w:top w:val="single" w:sz="12" w:space="0" w:color="auto"/>
            </w:tcBorders>
            <w:shd w:val="clear" w:color="auto" w:fill="auto"/>
            <w:vAlign w:val="bottom"/>
          </w:tcPr>
          <w:p w14:paraId="6ACA1512" w14:textId="77777777" w:rsidR="00744544" w:rsidRPr="00A66C9F" w:rsidRDefault="00744544" w:rsidP="00107D5D">
            <w:pPr>
              <w:keepNext/>
              <w:keepLines/>
              <w:suppressAutoHyphens/>
              <w:spacing w:before="40" w:beforeAutospacing="1" w:after="40" w:afterAutospacing="1" w:line="210" w:lineRule="exact"/>
              <w:ind w:right="40"/>
              <w:rPr>
                <w:sz w:val="17"/>
                <w:lang w:val="fr-FR"/>
              </w:rPr>
            </w:pPr>
          </w:p>
        </w:tc>
        <w:tc>
          <w:tcPr>
            <w:tcW w:w="1773" w:type="dxa"/>
            <w:tcBorders>
              <w:top w:val="single" w:sz="12" w:space="0" w:color="auto"/>
            </w:tcBorders>
            <w:shd w:val="clear" w:color="auto" w:fill="auto"/>
            <w:vAlign w:val="bottom"/>
          </w:tcPr>
          <w:p w14:paraId="6597334C" w14:textId="77777777" w:rsidR="00744544" w:rsidRPr="00A66C9F" w:rsidRDefault="00744544" w:rsidP="00107D5D">
            <w:pPr>
              <w:keepNext/>
              <w:keepLines/>
              <w:suppressAutoHyphens/>
              <w:spacing w:before="40" w:beforeAutospacing="1" w:after="40" w:afterAutospacing="1" w:line="210" w:lineRule="exact"/>
              <w:ind w:right="43"/>
              <w:jc w:val="right"/>
              <w:rPr>
                <w:sz w:val="17"/>
                <w:lang w:val="fr-FR"/>
              </w:rPr>
            </w:pPr>
          </w:p>
        </w:tc>
        <w:tc>
          <w:tcPr>
            <w:tcW w:w="1776" w:type="dxa"/>
            <w:tcBorders>
              <w:top w:val="single" w:sz="12" w:space="0" w:color="auto"/>
            </w:tcBorders>
            <w:shd w:val="clear" w:color="auto" w:fill="auto"/>
            <w:vAlign w:val="bottom"/>
          </w:tcPr>
          <w:p w14:paraId="7497C9D7" w14:textId="77777777" w:rsidR="00744544" w:rsidRPr="00A66C9F" w:rsidRDefault="00744544" w:rsidP="00107D5D">
            <w:pPr>
              <w:keepNext/>
              <w:keepLines/>
              <w:suppressAutoHyphens/>
              <w:spacing w:before="40" w:beforeAutospacing="1" w:after="40" w:afterAutospacing="1" w:line="210" w:lineRule="exact"/>
              <w:ind w:right="43"/>
              <w:jc w:val="right"/>
              <w:rPr>
                <w:sz w:val="17"/>
                <w:lang w:val="fr-FR"/>
              </w:rPr>
            </w:pPr>
          </w:p>
        </w:tc>
      </w:tr>
      <w:tr w:rsidR="00744544" w:rsidRPr="00A66C9F" w14:paraId="4CED232E" w14:textId="77777777" w:rsidTr="00107D5D">
        <w:tc>
          <w:tcPr>
            <w:tcW w:w="3771" w:type="dxa"/>
            <w:shd w:val="clear" w:color="auto" w:fill="auto"/>
            <w:vAlign w:val="bottom"/>
          </w:tcPr>
          <w:p w14:paraId="41A17A72"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Fonds de placements immobiliers</w:t>
            </w:r>
          </w:p>
        </w:tc>
        <w:tc>
          <w:tcPr>
            <w:tcW w:w="1773" w:type="dxa"/>
            <w:shd w:val="clear" w:color="auto" w:fill="auto"/>
            <w:vAlign w:val="bottom"/>
          </w:tcPr>
          <w:p w14:paraId="6AE33842"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2 736 907</w:t>
            </w:r>
          </w:p>
        </w:tc>
        <w:tc>
          <w:tcPr>
            <w:tcW w:w="1776" w:type="dxa"/>
            <w:shd w:val="clear" w:color="auto" w:fill="auto"/>
            <w:vAlign w:val="bottom"/>
          </w:tcPr>
          <w:p w14:paraId="29F23BCE"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2 676 748</w:t>
            </w:r>
          </w:p>
        </w:tc>
      </w:tr>
      <w:tr w:rsidR="00744544" w:rsidRPr="00A66C9F" w14:paraId="4F55D3CC" w14:textId="77777777" w:rsidTr="00107D5D">
        <w:tc>
          <w:tcPr>
            <w:tcW w:w="3771" w:type="dxa"/>
            <w:shd w:val="clear" w:color="auto" w:fill="auto"/>
            <w:vAlign w:val="bottom"/>
          </w:tcPr>
          <w:p w14:paraId="406B7148"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 xml:space="preserve">Capital-investissement </w:t>
            </w:r>
          </w:p>
        </w:tc>
        <w:tc>
          <w:tcPr>
            <w:tcW w:w="1773" w:type="dxa"/>
            <w:shd w:val="clear" w:color="auto" w:fill="auto"/>
            <w:vAlign w:val="bottom"/>
          </w:tcPr>
          <w:p w14:paraId="74E59B43"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2 912 648</w:t>
            </w:r>
          </w:p>
        </w:tc>
        <w:tc>
          <w:tcPr>
            <w:tcW w:w="1776" w:type="dxa"/>
            <w:shd w:val="clear" w:color="auto" w:fill="auto"/>
            <w:vAlign w:val="bottom"/>
          </w:tcPr>
          <w:p w14:paraId="27825DD1"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2 809 048</w:t>
            </w:r>
          </w:p>
        </w:tc>
      </w:tr>
      <w:tr w:rsidR="00744544" w:rsidRPr="00A66C9F" w14:paraId="7109D45A" w14:textId="77777777" w:rsidTr="00107D5D">
        <w:tc>
          <w:tcPr>
            <w:tcW w:w="3771" w:type="dxa"/>
            <w:shd w:val="clear" w:color="auto" w:fill="auto"/>
            <w:vAlign w:val="bottom"/>
          </w:tcPr>
          <w:p w14:paraId="2AAB0DC8"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Fonds d’infrastructure</w:t>
            </w:r>
          </w:p>
        </w:tc>
        <w:tc>
          <w:tcPr>
            <w:tcW w:w="1773" w:type="dxa"/>
            <w:shd w:val="clear" w:color="auto" w:fill="auto"/>
            <w:vAlign w:val="bottom"/>
          </w:tcPr>
          <w:p w14:paraId="7F3C6EDE"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224 881</w:t>
            </w:r>
          </w:p>
        </w:tc>
        <w:tc>
          <w:tcPr>
            <w:tcW w:w="1776" w:type="dxa"/>
            <w:shd w:val="clear" w:color="auto" w:fill="auto"/>
            <w:vAlign w:val="bottom"/>
          </w:tcPr>
          <w:p w14:paraId="4C764A36" w14:textId="77777777" w:rsidR="00744544" w:rsidRPr="00A66C9F" w:rsidRDefault="00744544" w:rsidP="00107D5D">
            <w:pPr>
              <w:keepNext/>
              <w:keepLines/>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144 578</w:t>
            </w:r>
          </w:p>
        </w:tc>
      </w:tr>
      <w:tr w:rsidR="00744544" w:rsidRPr="00A66C9F" w14:paraId="2AA4F06E" w14:textId="77777777" w:rsidTr="00107D5D">
        <w:tc>
          <w:tcPr>
            <w:tcW w:w="3771" w:type="dxa"/>
            <w:tcBorders>
              <w:bottom w:val="single" w:sz="4" w:space="0" w:color="auto"/>
            </w:tcBorders>
            <w:shd w:val="clear" w:color="auto" w:fill="auto"/>
            <w:vAlign w:val="bottom"/>
          </w:tcPr>
          <w:p w14:paraId="21247FA0" w14:textId="77777777" w:rsidR="00744544" w:rsidRPr="00A66C9F" w:rsidRDefault="00744544" w:rsidP="00107D5D">
            <w:pPr>
              <w:keepNext/>
              <w:keepLines/>
              <w:tabs>
                <w:tab w:val="left" w:pos="288"/>
                <w:tab w:val="left" w:pos="576"/>
                <w:tab w:val="left" w:pos="864"/>
                <w:tab w:val="left" w:pos="1152"/>
              </w:tabs>
              <w:suppressAutoHyphens/>
              <w:spacing w:before="40" w:after="81" w:line="210" w:lineRule="exact"/>
              <w:ind w:right="40"/>
              <w:rPr>
                <w:sz w:val="17"/>
                <w:szCs w:val="17"/>
                <w:lang w:val="fr-FR"/>
              </w:rPr>
            </w:pPr>
            <w:r w:rsidRPr="00A66C9F">
              <w:rPr>
                <w:sz w:val="17"/>
                <w:lang w:val="fr-FR"/>
              </w:rPr>
              <w:t>Forêts exploitables</w:t>
            </w:r>
          </w:p>
        </w:tc>
        <w:tc>
          <w:tcPr>
            <w:tcW w:w="1773" w:type="dxa"/>
            <w:tcBorders>
              <w:bottom w:val="single" w:sz="4" w:space="0" w:color="auto"/>
            </w:tcBorders>
            <w:shd w:val="clear" w:color="auto" w:fill="auto"/>
            <w:vAlign w:val="bottom"/>
          </w:tcPr>
          <w:p w14:paraId="1040EB94" w14:textId="77777777" w:rsidR="00744544" w:rsidRPr="00A66C9F" w:rsidRDefault="00744544" w:rsidP="00107D5D">
            <w:pPr>
              <w:keepNext/>
              <w:keepLines/>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lang w:val="fr-FR"/>
              </w:rPr>
              <w:t>11 270</w:t>
            </w:r>
          </w:p>
        </w:tc>
        <w:tc>
          <w:tcPr>
            <w:tcW w:w="1776" w:type="dxa"/>
            <w:tcBorders>
              <w:bottom w:val="single" w:sz="4" w:space="0" w:color="auto"/>
            </w:tcBorders>
            <w:shd w:val="clear" w:color="auto" w:fill="auto"/>
            <w:vAlign w:val="bottom"/>
          </w:tcPr>
          <w:p w14:paraId="259A4710" w14:textId="77777777" w:rsidR="00744544" w:rsidRPr="00A66C9F" w:rsidRDefault="00744544" w:rsidP="00107D5D">
            <w:pPr>
              <w:keepNext/>
              <w:keepLines/>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lang w:val="fr-FR"/>
              </w:rPr>
              <w:t>11 270</w:t>
            </w:r>
          </w:p>
        </w:tc>
      </w:tr>
      <w:tr w:rsidR="00744544" w:rsidRPr="00A66C9F" w14:paraId="18D4BEE4" w14:textId="77777777" w:rsidTr="00107D5D">
        <w:tc>
          <w:tcPr>
            <w:tcW w:w="3771" w:type="dxa"/>
            <w:tcBorders>
              <w:top w:val="single" w:sz="4" w:space="0" w:color="auto"/>
              <w:bottom w:val="single" w:sz="12" w:space="0" w:color="auto"/>
            </w:tcBorders>
            <w:shd w:val="clear" w:color="auto" w:fill="auto"/>
            <w:vAlign w:val="bottom"/>
          </w:tcPr>
          <w:p w14:paraId="14A8679B" w14:textId="77777777" w:rsidR="00744544" w:rsidRPr="00A66C9F" w:rsidRDefault="00744544" w:rsidP="00107D5D">
            <w:pPr>
              <w:keepNext/>
              <w:keepLines/>
              <w:tabs>
                <w:tab w:val="left" w:pos="288"/>
                <w:tab w:val="left" w:pos="576"/>
                <w:tab w:val="left" w:pos="864"/>
                <w:tab w:val="left" w:pos="1152"/>
              </w:tabs>
              <w:suppressAutoHyphens/>
              <w:spacing w:before="81" w:after="81" w:line="210" w:lineRule="exact"/>
              <w:ind w:right="40"/>
              <w:rPr>
                <w:b/>
                <w:sz w:val="17"/>
                <w:szCs w:val="17"/>
                <w:lang w:val="fr-FR"/>
              </w:rPr>
            </w:pPr>
            <w:r w:rsidRPr="00A66C9F">
              <w:rPr>
                <w:b/>
                <w:bCs/>
                <w:sz w:val="17"/>
                <w:lang w:val="fr-FR"/>
              </w:rPr>
              <w:tab/>
              <w:t>Total</w:t>
            </w:r>
          </w:p>
        </w:tc>
        <w:tc>
          <w:tcPr>
            <w:tcW w:w="1773" w:type="dxa"/>
            <w:tcBorders>
              <w:top w:val="single" w:sz="4" w:space="0" w:color="auto"/>
              <w:bottom w:val="single" w:sz="12" w:space="0" w:color="auto"/>
            </w:tcBorders>
            <w:shd w:val="clear" w:color="auto" w:fill="auto"/>
            <w:vAlign w:val="bottom"/>
          </w:tcPr>
          <w:p w14:paraId="1B9B6F44" w14:textId="77777777" w:rsidR="00744544" w:rsidRPr="00A66C9F" w:rsidRDefault="00744544" w:rsidP="00107D5D">
            <w:pPr>
              <w:keepNext/>
              <w:keepLines/>
              <w:tabs>
                <w:tab w:val="left" w:pos="288"/>
                <w:tab w:val="left" w:pos="576"/>
                <w:tab w:val="left" w:pos="864"/>
                <w:tab w:val="left" w:pos="1152"/>
              </w:tabs>
              <w:suppressAutoHyphens/>
              <w:spacing w:before="81" w:after="81" w:line="210" w:lineRule="exact"/>
              <w:ind w:right="43"/>
              <w:jc w:val="right"/>
              <w:rPr>
                <w:b/>
                <w:sz w:val="17"/>
                <w:szCs w:val="17"/>
                <w:lang w:val="fr-FR"/>
              </w:rPr>
            </w:pPr>
            <w:r w:rsidRPr="00A66C9F">
              <w:rPr>
                <w:b/>
                <w:bCs/>
                <w:sz w:val="17"/>
                <w:lang w:val="fr-FR"/>
              </w:rPr>
              <w:t>5 885 706</w:t>
            </w:r>
          </w:p>
        </w:tc>
        <w:tc>
          <w:tcPr>
            <w:tcW w:w="1776" w:type="dxa"/>
            <w:tcBorders>
              <w:top w:val="single" w:sz="4" w:space="0" w:color="auto"/>
              <w:bottom w:val="single" w:sz="12" w:space="0" w:color="auto"/>
            </w:tcBorders>
            <w:shd w:val="clear" w:color="auto" w:fill="auto"/>
            <w:vAlign w:val="bottom"/>
          </w:tcPr>
          <w:p w14:paraId="350841E5" w14:textId="77777777" w:rsidR="00744544" w:rsidRPr="00A66C9F" w:rsidRDefault="00744544" w:rsidP="00107D5D">
            <w:pPr>
              <w:keepNext/>
              <w:keepLines/>
              <w:tabs>
                <w:tab w:val="left" w:pos="288"/>
                <w:tab w:val="left" w:pos="576"/>
                <w:tab w:val="left" w:pos="864"/>
                <w:tab w:val="left" w:pos="1152"/>
              </w:tabs>
              <w:suppressAutoHyphens/>
              <w:spacing w:before="81" w:after="81" w:line="210" w:lineRule="exact"/>
              <w:ind w:right="43"/>
              <w:jc w:val="right"/>
              <w:rPr>
                <w:b/>
                <w:sz w:val="17"/>
                <w:szCs w:val="17"/>
                <w:lang w:val="fr-FR"/>
              </w:rPr>
            </w:pPr>
            <w:r w:rsidRPr="00A66C9F">
              <w:rPr>
                <w:b/>
                <w:bCs/>
                <w:sz w:val="17"/>
                <w:lang w:val="fr-FR"/>
              </w:rPr>
              <w:t>5 641 644</w:t>
            </w:r>
          </w:p>
        </w:tc>
      </w:tr>
    </w:tbl>
    <w:p w14:paraId="34ABFC5B" w14:textId="77777777" w:rsidR="00744544" w:rsidRPr="00A66C9F" w:rsidRDefault="00744544" w:rsidP="00744544">
      <w:pPr>
        <w:pStyle w:val="SingleTxt"/>
        <w:spacing w:after="0" w:line="120" w:lineRule="exact"/>
        <w:rPr>
          <w:sz w:val="10"/>
          <w:lang w:val="fr-FR"/>
        </w:rPr>
      </w:pPr>
    </w:p>
    <w:p w14:paraId="44FD0C7F" w14:textId="77777777" w:rsidR="00744544" w:rsidRPr="00A66C9F" w:rsidRDefault="00744544" w:rsidP="00744544">
      <w:pPr>
        <w:pStyle w:val="SingleTxt"/>
        <w:spacing w:after="0" w:line="120" w:lineRule="exact"/>
        <w:rPr>
          <w:sz w:val="10"/>
          <w:lang w:val="fr-FR"/>
        </w:rPr>
      </w:pPr>
    </w:p>
    <w:p w14:paraId="3AD52B05" w14:textId="77777777" w:rsidR="00744544" w:rsidRPr="00A66C9F" w:rsidRDefault="00744544" w:rsidP="00753AB8">
      <w:pPr>
        <w:pStyle w:val="SingleTxt"/>
        <w:numPr>
          <w:ilvl w:val="0"/>
          <w:numId w:val="18"/>
        </w:numPr>
        <w:spacing w:line="240" w:lineRule="exact"/>
        <w:rPr>
          <w:szCs w:val="20"/>
          <w:lang w:val="fr-FR"/>
        </w:rPr>
      </w:pPr>
      <w:r w:rsidRPr="00A66C9F">
        <w:rPr>
          <w:lang w:val="fr-FR"/>
        </w:rPr>
        <w:t>En ce qui concerne les investissements dans des partenariats de capital-investissement, dans l’immobilier, dans les infrastructures et dans les forêts exploitables, un retrait de fonds ne peut être effectué que selon les conditions fixées dans l’accord propre à l’investissement concerné. Des fonds sont toutefois retirés pour : a) financer des investissements dans des actifs qui ont été achetés ou pour lesquels un contrat d’achat a été passé ; b) payer les commissions dues à l’associé commandité ou au gérant en application de l’accord en question.</w:t>
      </w:r>
    </w:p>
    <w:p w14:paraId="1EE03237" w14:textId="77777777" w:rsidR="00744544" w:rsidRPr="00A66C9F" w:rsidRDefault="00744544" w:rsidP="00744544">
      <w:pPr>
        <w:pStyle w:val="SingleTxt"/>
        <w:spacing w:after="0" w:line="120" w:lineRule="exact"/>
        <w:rPr>
          <w:sz w:val="10"/>
          <w:szCs w:val="20"/>
          <w:lang w:val="fr-FR"/>
        </w:rPr>
      </w:pPr>
    </w:p>
    <w:p w14:paraId="19F321D4"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t>19.2</w:t>
      </w:r>
      <w:r w:rsidRPr="00A66C9F">
        <w:rPr>
          <w:lang w:val="fr-FR"/>
        </w:rPr>
        <w:tab/>
        <w:t>Obligations locatives</w:t>
      </w:r>
    </w:p>
    <w:p w14:paraId="1F657E2F" w14:textId="77777777" w:rsidR="00744544" w:rsidRPr="00A66C9F" w:rsidRDefault="00744544" w:rsidP="00744544">
      <w:pPr>
        <w:pStyle w:val="SingleTxt"/>
        <w:spacing w:after="0" w:line="120" w:lineRule="exact"/>
        <w:rPr>
          <w:sz w:val="10"/>
          <w:lang w:val="fr-FR"/>
        </w:rPr>
      </w:pPr>
    </w:p>
    <w:p w14:paraId="13A6A572" w14:textId="77777777" w:rsidR="00744544" w:rsidRPr="00A66C9F" w:rsidRDefault="00744544" w:rsidP="00753AB8">
      <w:pPr>
        <w:pStyle w:val="SingleTxt"/>
        <w:numPr>
          <w:ilvl w:val="0"/>
          <w:numId w:val="18"/>
        </w:numPr>
        <w:spacing w:line="240" w:lineRule="exact"/>
        <w:rPr>
          <w:szCs w:val="20"/>
          <w:lang w:val="fr-FR"/>
        </w:rPr>
      </w:pPr>
      <w:r w:rsidRPr="00A66C9F">
        <w:rPr>
          <w:lang w:val="fr-FR"/>
        </w:rPr>
        <w:t>Au 31 décembre 2019 et au 31 décembre 2018, les obligations locatives de la Caisse s’établissaient comme suit :</w:t>
      </w:r>
    </w:p>
    <w:p w14:paraId="7B25CE1E" w14:textId="77777777" w:rsidR="00744544" w:rsidRPr="00A66C9F" w:rsidRDefault="00744544" w:rsidP="00744544">
      <w:pPr>
        <w:pStyle w:val="SingleTxt"/>
        <w:spacing w:after="0" w:line="120" w:lineRule="exact"/>
        <w:rPr>
          <w:sz w:val="10"/>
          <w:lang w:val="fr-FR"/>
        </w:rPr>
      </w:pPr>
    </w:p>
    <w:p w14:paraId="74614E94" w14:textId="77777777" w:rsidR="00744544" w:rsidRPr="00A66C9F" w:rsidRDefault="00744544" w:rsidP="0074454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lang w:val="fr-FR"/>
        </w:rPr>
        <w:tab/>
      </w:r>
      <w:r w:rsidRPr="00A66C9F">
        <w:rPr>
          <w:lang w:val="fr-FR"/>
        </w:rPr>
        <w:tab/>
      </w:r>
      <w:r w:rsidRPr="00A66C9F">
        <w:rPr>
          <w:sz w:val="14"/>
          <w:szCs w:val="14"/>
          <w:lang w:val="fr-FR"/>
        </w:rPr>
        <w:t>(En milliers de dollars des États-Unis)</w:t>
      </w:r>
    </w:p>
    <w:p w14:paraId="5410835E" w14:textId="77777777" w:rsidR="00744544" w:rsidRPr="00A66C9F" w:rsidRDefault="00744544" w:rsidP="00744544">
      <w:pPr>
        <w:pStyle w:val="SingleTxt"/>
        <w:spacing w:after="0" w:line="120" w:lineRule="exact"/>
        <w:rPr>
          <w:sz w:val="10"/>
          <w:lang w:val="fr-FR"/>
        </w:rPr>
      </w:pPr>
    </w:p>
    <w:p w14:paraId="188C93E1" w14:textId="77777777" w:rsidR="00744544" w:rsidRPr="00A66C9F" w:rsidRDefault="00744544" w:rsidP="00744544">
      <w:pPr>
        <w:pStyle w:val="SingleTxt"/>
        <w:spacing w:after="0" w:line="120" w:lineRule="exact"/>
        <w:rPr>
          <w:sz w:val="10"/>
          <w:lang w:val="fr-FR"/>
        </w:rPr>
      </w:pPr>
    </w:p>
    <w:tbl>
      <w:tblPr>
        <w:tblW w:w="7320" w:type="dxa"/>
        <w:tblInd w:w="1260" w:type="dxa"/>
        <w:tblLayout w:type="fixed"/>
        <w:tblCellMar>
          <w:left w:w="0" w:type="dxa"/>
          <w:right w:w="0" w:type="dxa"/>
        </w:tblCellMar>
        <w:tblLook w:val="00A0" w:firstRow="1" w:lastRow="0" w:firstColumn="1" w:lastColumn="0" w:noHBand="0" w:noVBand="0"/>
      </w:tblPr>
      <w:tblGrid>
        <w:gridCol w:w="3762"/>
        <w:gridCol w:w="1809"/>
        <w:gridCol w:w="1749"/>
      </w:tblGrid>
      <w:tr w:rsidR="00744544" w:rsidRPr="00A66C9F" w14:paraId="3F8F01B7" w14:textId="77777777" w:rsidTr="00107D5D">
        <w:trPr>
          <w:trHeight w:val="288"/>
          <w:tblHeader/>
        </w:trPr>
        <w:tc>
          <w:tcPr>
            <w:tcW w:w="3762" w:type="dxa"/>
            <w:tcBorders>
              <w:top w:val="single" w:sz="4" w:space="0" w:color="auto"/>
              <w:bottom w:val="single" w:sz="12" w:space="0" w:color="auto"/>
            </w:tcBorders>
            <w:shd w:val="clear" w:color="auto" w:fill="auto"/>
            <w:vAlign w:val="bottom"/>
          </w:tcPr>
          <w:p w14:paraId="6411D356" w14:textId="77777777" w:rsidR="00744544" w:rsidRPr="00A66C9F" w:rsidRDefault="00744544" w:rsidP="00107D5D">
            <w:pPr>
              <w:suppressAutoHyphens/>
              <w:spacing w:before="81" w:after="81" w:line="160" w:lineRule="exact"/>
              <w:ind w:right="40"/>
              <w:rPr>
                <w:bCs/>
                <w:i/>
                <w:iCs/>
                <w:sz w:val="14"/>
                <w:szCs w:val="20"/>
                <w:lang w:val="fr-FR"/>
              </w:rPr>
            </w:pPr>
          </w:p>
        </w:tc>
        <w:tc>
          <w:tcPr>
            <w:tcW w:w="1809" w:type="dxa"/>
            <w:tcBorders>
              <w:top w:val="single" w:sz="4" w:space="0" w:color="auto"/>
              <w:bottom w:val="single" w:sz="12" w:space="0" w:color="auto"/>
            </w:tcBorders>
            <w:shd w:val="clear" w:color="auto" w:fill="auto"/>
            <w:vAlign w:val="bottom"/>
          </w:tcPr>
          <w:p w14:paraId="1AE577B7" w14:textId="77777777" w:rsidR="00744544" w:rsidRPr="00A66C9F" w:rsidDel="005F43B7" w:rsidRDefault="00744544" w:rsidP="00107D5D">
            <w:pPr>
              <w:suppressAutoHyphens/>
              <w:spacing w:before="81" w:after="81" w:line="160" w:lineRule="exact"/>
              <w:ind w:right="43"/>
              <w:jc w:val="right"/>
              <w:rPr>
                <w:bCs/>
                <w:i/>
                <w:iCs/>
                <w:sz w:val="14"/>
                <w:szCs w:val="20"/>
                <w:lang w:val="fr-FR"/>
              </w:rPr>
            </w:pPr>
            <w:r w:rsidRPr="00A66C9F">
              <w:rPr>
                <w:i/>
                <w:iCs/>
                <w:sz w:val="14"/>
                <w:lang w:val="fr-FR"/>
              </w:rPr>
              <w:t>Au 31 décembre 2019</w:t>
            </w:r>
          </w:p>
        </w:tc>
        <w:tc>
          <w:tcPr>
            <w:tcW w:w="1749" w:type="dxa"/>
            <w:tcBorders>
              <w:top w:val="single" w:sz="4" w:space="0" w:color="auto"/>
              <w:bottom w:val="single" w:sz="12" w:space="0" w:color="auto"/>
            </w:tcBorders>
            <w:shd w:val="clear" w:color="auto" w:fill="auto"/>
            <w:vAlign w:val="bottom"/>
          </w:tcPr>
          <w:p w14:paraId="702E696A" w14:textId="77777777" w:rsidR="00744544" w:rsidRPr="00A66C9F" w:rsidRDefault="00744544" w:rsidP="00107D5D">
            <w:pPr>
              <w:suppressAutoHyphens/>
              <w:spacing w:before="81" w:after="81" w:line="160" w:lineRule="exact"/>
              <w:ind w:right="43"/>
              <w:jc w:val="right"/>
              <w:rPr>
                <w:bCs/>
                <w:i/>
                <w:iCs/>
                <w:sz w:val="14"/>
                <w:szCs w:val="20"/>
                <w:lang w:val="fr-FR"/>
              </w:rPr>
            </w:pPr>
            <w:r w:rsidRPr="00A66C9F">
              <w:rPr>
                <w:i/>
                <w:iCs/>
                <w:sz w:val="14"/>
                <w:lang w:val="fr-FR"/>
              </w:rPr>
              <w:t>Au 31 décembre 2018</w:t>
            </w:r>
          </w:p>
        </w:tc>
      </w:tr>
      <w:tr w:rsidR="00744544" w:rsidRPr="00A66C9F" w14:paraId="630296B5" w14:textId="77777777" w:rsidTr="00107D5D">
        <w:trPr>
          <w:trHeight w:hRule="exact" w:val="115"/>
          <w:tblHeader/>
        </w:trPr>
        <w:tc>
          <w:tcPr>
            <w:tcW w:w="3762" w:type="dxa"/>
            <w:tcBorders>
              <w:top w:val="single" w:sz="12" w:space="0" w:color="auto"/>
            </w:tcBorders>
            <w:shd w:val="clear" w:color="auto" w:fill="auto"/>
            <w:vAlign w:val="bottom"/>
          </w:tcPr>
          <w:p w14:paraId="6C41AD35" w14:textId="77777777" w:rsidR="00744544" w:rsidRPr="00A66C9F" w:rsidRDefault="00744544" w:rsidP="00107D5D">
            <w:pPr>
              <w:suppressAutoHyphens/>
              <w:spacing w:before="40" w:beforeAutospacing="1" w:after="40" w:afterAutospacing="1" w:line="210" w:lineRule="exact"/>
              <w:ind w:right="40"/>
              <w:rPr>
                <w:b/>
                <w:bCs/>
                <w:sz w:val="17"/>
                <w:lang w:val="fr-FR"/>
              </w:rPr>
            </w:pPr>
          </w:p>
        </w:tc>
        <w:tc>
          <w:tcPr>
            <w:tcW w:w="1809" w:type="dxa"/>
            <w:tcBorders>
              <w:top w:val="single" w:sz="12" w:space="0" w:color="auto"/>
            </w:tcBorders>
            <w:shd w:val="clear" w:color="auto" w:fill="auto"/>
            <w:vAlign w:val="bottom"/>
          </w:tcPr>
          <w:p w14:paraId="2E9EC164" w14:textId="77777777" w:rsidR="00744544" w:rsidRPr="00A66C9F" w:rsidRDefault="00744544" w:rsidP="00107D5D">
            <w:pPr>
              <w:suppressAutoHyphens/>
              <w:spacing w:before="40" w:beforeAutospacing="1" w:after="40" w:afterAutospacing="1" w:line="210" w:lineRule="exact"/>
              <w:ind w:right="43"/>
              <w:jc w:val="right"/>
              <w:rPr>
                <w:sz w:val="17"/>
                <w:szCs w:val="17"/>
                <w:lang w:val="fr-FR"/>
              </w:rPr>
            </w:pPr>
          </w:p>
        </w:tc>
        <w:tc>
          <w:tcPr>
            <w:tcW w:w="1749" w:type="dxa"/>
            <w:tcBorders>
              <w:top w:val="single" w:sz="12" w:space="0" w:color="auto"/>
            </w:tcBorders>
            <w:shd w:val="clear" w:color="auto" w:fill="auto"/>
            <w:vAlign w:val="bottom"/>
          </w:tcPr>
          <w:p w14:paraId="1B6DEBFA" w14:textId="77777777" w:rsidR="00744544" w:rsidRPr="00A66C9F" w:rsidRDefault="00744544" w:rsidP="00107D5D">
            <w:pPr>
              <w:suppressAutoHyphens/>
              <w:spacing w:before="40" w:beforeAutospacing="1" w:after="40" w:afterAutospacing="1" w:line="210" w:lineRule="exact"/>
              <w:ind w:right="43"/>
              <w:jc w:val="right"/>
              <w:rPr>
                <w:sz w:val="17"/>
                <w:szCs w:val="17"/>
                <w:lang w:val="fr-FR"/>
              </w:rPr>
            </w:pPr>
          </w:p>
        </w:tc>
      </w:tr>
      <w:tr w:rsidR="00744544" w:rsidRPr="00A66C9F" w14:paraId="0C9A90E0" w14:textId="77777777" w:rsidTr="00107D5D">
        <w:tc>
          <w:tcPr>
            <w:tcW w:w="3762" w:type="dxa"/>
            <w:shd w:val="clear" w:color="auto" w:fill="auto"/>
            <w:vAlign w:val="bottom"/>
          </w:tcPr>
          <w:p w14:paraId="755C832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b/>
                <w:bCs/>
                <w:sz w:val="17"/>
                <w:szCs w:val="17"/>
                <w:lang w:val="fr-FR"/>
              </w:rPr>
            </w:pPr>
            <w:r w:rsidRPr="00A66C9F">
              <w:rPr>
                <w:b/>
                <w:bCs/>
                <w:sz w:val="17"/>
                <w:lang w:val="fr-FR"/>
              </w:rPr>
              <w:t>Obligations locatives immobilières</w:t>
            </w:r>
          </w:p>
        </w:tc>
        <w:tc>
          <w:tcPr>
            <w:tcW w:w="1809" w:type="dxa"/>
            <w:shd w:val="clear" w:color="auto" w:fill="auto"/>
            <w:vAlign w:val="bottom"/>
          </w:tcPr>
          <w:p w14:paraId="791F7FF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1749" w:type="dxa"/>
            <w:shd w:val="clear" w:color="auto" w:fill="auto"/>
            <w:vAlign w:val="bottom"/>
          </w:tcPr>
          <w:p w14:paraId="487D5E6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p>
        </w:tc>
      </w:tr>
      <w:tr w:rsidR="00744544" w:rsidRPr="00A66C9F" w14:paraId="557CC267" w14:textId="77777777" w:rsidTr="00107D5D">
        <w:tc>
          <w:tcPr>
            <w:tcW w:w="3762" w:type="dxa"/>
            <w:shd w:val="clear" w:color="auto" w:fill="auto"/>
            <w:vAlign w:val="bottom"/>
          </w:tcPr>
          <w:p w14:paraId="20B4887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szCs w:val="17"/>
                <w:lang w:val="fr-FR"/>
              </w:rPr>
            </w:pPr>
            <w:r w:rsidRPr="00A66C9F">
              <w:rPr>
                <w:sz w:val="17"/>
                <w:lang w:val="fr-FR"/>
              </w:rPr>
              <w:t>Moins de 1 an</w:t>
            </w:r>
          </w:p>
        </w:tc>
        <w:tc>
          <w:tcPr>
            <w:tcW w:w="1809" w:type="dxa"/>
            <w:shd w:val="clear" w:color="auto" w:fill="auto"/>
            <w:vAlign w:val="bottom"/>
          </w:tcPr>
          <w:p w14:paraId="48E4F63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5 745</w:t>
            </w:r>
          </w:p>
        </w:tc>
        <w:tc>
          <w:tcPr>
            <w:tcW w:w="1749" w:type="dxa"/>
            <w:shd w:val="clear" w:color="auto" w:fill="auto"/>
            <w:vAlign w:val="bottom"/>
          </w:tcPr>
          <w:p w14:paraId="12C61E1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6 003 </w:t>
            </w:r>
          </w:p>
        </w:tc>
      </w:tr>
      <w:tr w:rsidR="00744544" w:rsidRPr="00A66C9F" w14:paraId="389534FA" w14:textId="77777777" w:rsidTr="00107D5D">
        <w:tc>
          <w:tcPr>
            <w:tcW w:w="3762" w:type="dxa"/>
            <w:shd w:val="clear" w:color="auto" w:fill="auto"/>
            <w:vAlign w:val="bottom"/>
          </w:tcPr>
          <w:p w14:paraId="2E3ABAC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rPr>
                <w:sz w:val="17"/>
                <w:szCs w:val="17"/>
                <w:lang w:val="fr-FR"/>
              </w:rPr>
            </w:pPr>
            <w:r w:rsidRPr="00A66C9F">
              <w:rPr>
                <w:sz w:val="17"/>
                <w:lang w:val="fr-FR"/>
              </w:rPr>
              <w:t>De 1 à 5 ans</w:t>
            </w:r>
          </w:p>
        </w:tc>
        <w:tc>
          <w:tcPr>
            <w:tcW w:w="1809" w:type="dxa"/>
            <w:shd w:val="clear" w:color="auto" w:fill="auto"/>
            <w:vAlign w:val="bottom"/>
          </w:tcPr>
          <w:p w14:paraId="1E1CBB4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 </w:t>
            </w:r>
          </w:p>
        </w:tc>
        <w:tc>
          <w:tcPr>
            <w:tcW w:w="1749" w:type="dxa"/>
            <w:shd w:val="clear" w:color="auto" w:fill="auto"/>
            <w:vAlign w:val="bottom"/>
          </w:tcPr>
          <w:p w14:paraId="4F48D80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szCs w:val="17"/>
                <w:lang w:val="fr-FR"/>
              </w:rPr>
            </w:pPr>
            <w:r w:rsidRPr="00A66C9F">
              <w:rPr>
                <w:sz w:val="17"/>
                <w:lang w:val="fr-FR"/>
              </w:rPr>
              <w:t xml:space="preserve"> 5 532 </w:t>
            </w:r>
          </w:p>
        </w:tc>
      </w:tr>
      <w:tr w:rsidR="00744544" w:rsidRPr="00A66C9F" w14:paraId="58183B82" w14:textId="77777777" w:rsidTr="00107D5D">
        <w:tc>
          <w:tcPr>
            <w:tcW w:w="3762" w:type="dxa"/>
            <w:tcBorders>
              <w:bottom w:val="single" w:sz="4" w:space="0" w:color="auto"/>
            </w:tcBorders>
            <w:shd w:val="clear" w:color="auto" w:fill="auto"/>
            <w:vAlign w:val="bottom"/>
          </w:tcPr>
          <w:p w14:paraId="4F1E34E2" w14:textId="77777777" w:rsidR="00744544" w:rsidRPr="00A66C9F" w:rsidRDefault="00744544" w:rsidP="00107D5D">
            <w:pPr>
              <w:tabs>
                <w:tab w:val="left" w:pos="288"/>
                <w:tab w:val="left" w:pos="576"/>
                <w:tab w:val="left" w:pos="864"/>
                <w:tab w:val="left" w:pos="1152"/>
              </w:tabs>
              <w:suppressAutoHyphens/>
              <w:spacing w:before="40" w:after="81" w:line="210" w:lineRule="exact"/>
              <w:ind w:right="40"/>
              <w:rPr>
                <w:sz w:val="17"/>
                <w:szCs w:val="17"/>
                <w:lang w:val="fr-FR"/>
              </w:rPr>
            </w:pPr>
            <w:r w:rsidRPr="00A66C9F">
              <w:rPr>
                <w:sz w:val="17"/>
                <w:lang w:val="fr-FR"/>
              </w:rPr>
              <w:t>Plus de 5 ans</w:t>
            </w:r>
          </w:p>
        </w:tc>
        <w:tc>
          <w:tcPr>
            <w:tcW w:w="1809" w:type="dxa"/>
            <w:tcBorders>
              <w:bottom w:val="single" w:sz="4" w:space="0" w:color="auto"/>
            </w:tcBorders>
            <w:shd w:val="clear" w:color="auto" w:fill="auto"/>
            <w:vAlign w:val="bottom"/>
          </w:tcPr>
          <w:p w14:paraId="54DFA8AD"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lang w:val="fr-FR"/>
              </w:rPr>
              <w:t xml:space="preserve"> – </w:t>
            </w:r>
          </w:p>
        </w:tc>
        <w:tc>
          <w:tcPr>
            <w:tcW w:w="1749" w:type="dxa"/>
            <w:tcBorders>
              <w:bottom w:val="single" w:sz="4" w:space="0" w:color="auto"/>
            </w:tcBorders>
            <w:shd w:val="clear" w:color="auto" w:fill="auto"/>
            <w:vAlign w:val="bottom"/>
          </w:tcPr>
          <w:p w14:paraId="2356E83D"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szCs w:val="17"/>
                <w:lang w:val="fr-FR"/>
              </w:rPr>
            </w:pPr>
            <w:r w:rsidRPr="00A66C9F">
              <w:rPr>
                <w:sz w:val="17"/>
                <w:lang w:val="fr-FR"/>
              </w:rPr>
              <w:t xml:space="preserve"> – </w:t>
            </w:r>
          </w:p>
        </w:tc>
      </w:tr>
      <w:tr w:rsidR="00744544" w:rsidRPr="00A66C9F" w14:paraId="7059AD09" w14:textId="77777777" w:rsidTr="00107D5D">
        <w:tc>
          <w:tcPr>
            <w:tcW w:w="3762" w:type="dxa"/>
            <w:tcBorders>
              <w:top w:val="single" w:sz="4" w:space="0" w:color="auto"/>
              <w:bottom w:val="single" w:sz="12" w:space="0" w:color="auto"/>
            </w:tcBorders>
            <w:shd w:val="clear" w:color="auto" w:fill="auto"/>
            <w:vAlign w:val="bottom"/>
          </w:tcPr>
          <w:p w14:paraId="34AFD1C7" w14:textId="77777777" w:rsidR="00744544" w:rsidRPr="00A66C9F" w:rsidRDefault="00744544" w:rsidP="00107D5D">
            <w:pPr>
              <w:tabs>
                <w:tab w:val="left" w:pos="288"/>
                <w:tab w:val="left" w:pos="576"/>
                <w:tab w:val="left" w:pos="864"/>
                <w:tab w:val="left" w:pos="1152"/>
              </w:tabs>
              <w:suppressAutoHyphens/>
              <w:spacing w:before="81" w:after="81" w:line="210" w:lineRule="exact"/>
              <w:ind w:right="40"/>
              <w:rPr>
                <w:b/>
                <w:sz w:val="17"/>
                <w:szCs w:val="17"/>
                <w:lang w:val="fr-FR"/>
              </w:rPr>
            </w:pPr>
            <w:r w:rsidRPr="00A66C9F">
              <w:rPr>
                <w:b/>
                <w:bCs/>
                <w:sz w:val="17"/>
                <w:lang w:val="fr-FR"/>
              </w:rPr>
              <w:tab/>
              <w:t>Total</w:t>
            </w:r>
          </w:p>
        </w:tc>
        <w:tc>
          <w:tcPr>
            <w:tcW w:w="1809" w:type="dxa"/>
            <w:tcBorders>
              <w:top w:val="single" w:sz="4" w:space="0" w:color="auto"/>
              <w:bottom w:val="single" w:sz="12" w:space="0" w:color="auto"/>
            </w:tcBorders>
            <w:shd w:val="clear" w:color="auto" w:fill="auto"/>
            <w:vAlign w:val="bottom"/>
          </w:tcPr>
          <w:p w14:paraId="580F9A2E"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bCs/>
                <w:sz w:val="17"/>
                <w:szCs w:val="17"/>
                <w:lang w:val="fr-FR"/>
              </w:rPr>
            </w:pPr>
            <w:r w:rsidRPr="00A66C9F">
              <w:rPr>
                <w:b/>
                <w:sz w:val="17"/>
                <w:lang w:val="fr-FR"/>
              </w:rPr>
              <w:t xml:space="preserve"> </w:t>
            </w:r>
            <w:r w:rsidRPr="00A66C9F">
              <w:rPr>
                <w:b/>
                <w:bCs/>
                <w:sz w:val="17"/>
                <w:lang w:val="fr-FR"/>
              </w:rPr>
              <w:t>5 745</w:t>
            </w:r>
          </w:p>
        </w:tc>
        <w:tc>
          <w:tcPr>
            <w:tcW w:w="1749" w:type="dxa"/>
            <w:tcBorders>
              <w:top w:val="single" w:sz="4" w:space="0" w:color="auto"/>
              <w:bottom w:val="single" w:sz="12" w:space="0" w:color="auto"/>
            </w:tcBorders>
            <w:shd w:val="clear" w:color="auto" w:fill="auto"/>
            <w:vAlign w:val="bottom"/>
          </w:tcPr>
          <w:p w14:paraId="699ABD36"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szCs w:val="17"/>
                <w:lang w:val="fr-FR"/>
              </w:rPr>
            </w:pPr>
            <w:r w:rsidRPr="00A66C9F">
              <w:rPr>
                <w:b/>
                <w:sz w:val="17"/>
                <w:lang w:val="fr-FR"/>
              </w:rPr>
              <w:t xml:space="preserve"> </w:t>
            </w:r>
            <w:r w:rsidRPr="00A66C9F">
              <w:rPr>
                <w:b/>
                <w:bCs/>
                <w:sz w:val="17"/>
                <w:lang w:val="fr-FR"/>
              </w:rPr>
              <w:t>11 535</w:t>
            </w:r>
            <w:r w:rsidRPr="00A66C9F">
              <w:rPr>
                <w:b/>
                <w:sz w:val="17"/>
                <w:lang w:val="fr-FR"/>
              </w:rPr>
              <w:t xml:space="preserve"> </w:t>
            </w:r>
          </w:p>
        </w:tc>
      </w:tr>
    </w:tbl>
    <w:p w14:paraId="3B502C1B" w14:textId="77777777" w:rsidR="00744544" w:rsidRPr="00A66C9F" w:rsidRDefault="00744544" w:rsidP="00744544">
      <w:pPr>
        <w:pStyle w:val="SingleTxt"/>
        <w:spacing w:after="0" w:line="120" w:lineRule="exact"/>
        <w:rPr>
          <w:sz w:val="10"/>
          <w:lang w:val="fr-FR"/>
        </w:rPr>
      </w:pPr>
    </w:p>
    <w:p w14:paraId="0DB8C8C6" w14:textId="77777777" w:rsidR="00744544" w:rsidRPr="00A66C9F" w:rsidRDefault="00744544" w:rsidP="00744544">
      <w:pPr>
        <w:pStyle w:val="SingleTxt"/>
        <w:spacing w:after="0" w:line="120" w:lineRule="exact"/>
        <w:rPr>
          <w:sz w:val="10"/>
          <w:lang w:val="fr-FR"/>
        </w:rPr>
      </w:pPr>
    </w:p>
    <w:p w14:paraId="04FB19EB" w14:textId="77777777" w:rsidR="00744544" w:rsidRPr="00A66C9F" w:rsidRDefault="00744544" w:rsidP="00744544">
      <w:pPr>
        <w:pStyle w:val="SingleTxt"/>
        <w:spacing w:after="0" w:line="120" w:lineRule="exact"/>
        <w:rPr>
          <w:sz w:val="10"/>
          <w:lang w:val="fr-FR"/>
        </w:rPr>
      </w:pPr>
    </w:p>
    <w:p w14:paraId="301DF283"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t>19.3</w:t>
      </w:r>
      <w:r w:rsidRPr="00A66C9F">
        <w:rPr>
          <w:lang w:val="fr-FR"/>
        </w:rPr>
        <w:tab/>
        <w:t>Passifs éventuels liés à des risques juridiques et actifs éventuels</w:t>
      </w:r>
    </w:p>
    <w:p w14:paraId="07ED5087" w14:textId="77777777" w:rsidR="00744544" w:rsidRPr="00A66C9F" w:rsidRDefault="00744544" w:rsidP="00744544">
      <w:pPr>
        <w:pStyle w:val="SingleTxt"/>
        <w:keepNext/>
        <w:spacing w:after="0" w:line="120" w:lineRule="exact"/>
        <w:rPr>
          <w:sz w:val="10"/>
          <w:lang w:val="fr-FR"/>
        </w:rPr>
      </w:pPr>
    </w:p>
    <w:p w14:paraId="363702B7" w14:textId="77777777" w:rsidR="00744544" w:rsidRPr="00A66C9F" w:rsidRDefault="00744544" w:rsidP="00753AB8">
      <w:pPr>
        <w:pStyle w:val="SingleTxt"/>
        <w:numPr>
          <w:ilvl w:val="0"/>
          <w:numId w:val="18"/>
        </w:numPr>
        <w:spacing w:line="240" w:lineRule="exact"/>
        <w:rPr>
          <w:szCs w:val="20"/>
          <w:lang w:val="fr-FR"/>
        </w:rPr>
      </w:pPr>
      <w:r w:rsidRPr="00A66C9F">
        <w:rPr>
          <w:lang w:val="fr-FR"/>
        </w:rPr>
        <w:t>Il n’y a pas de passifs éventuels substantiels nés d’actions ou de réclamations en justice qui pourraient se traduire par une obligation pécuniaire importante à la charge de la Caisse.</w:t>
      </w:r>
    </w:p>
    <w:p w14:paraId="776FFEBE" w14:textId="77777777" w:rsidR="00744544" w:rsidRPr="00A66C9F" w:rsidRDefault="00744544" w:rsidP="00753AB8">
      <w:pPr>
        <w:pStyle w:val="SingleTxt"/>
        <w:numPr>
          <w:ilvl w:val="0"/>
          <w:numId w:val="18"/>
        </w:numPr>
        <w:spacing w:line="240" w:lineRule="exact"/>
        <w:rPr>
          <w:szCs w:val="20"/>
          <w:lang w:val="fr-FR"/>
        </w:rPr>
      </w:pPr>
      <w:r w:rsidRPr="00A66C9F">
        <w:rPr>
          <w:lang w:val="fr-FR"/>
        </w:rPr>
        <w:t>Les actifs éventuels ne sont pas comptabilisés dans l’état de l’actif net disponible pour le versement des prestations, car on estime que le flux d’avantages économiques est incertain et fonction d’événements sur lesquels la Caisse n’a aucun contrôle. Il n’y avait aucun actif éventuel ni au 31 décembre 2019 ni au 31 décembre 2018.</w:t>
      </w:r>
    </w:p>
    <w:p w14:paraId="1E8CBE2E" w14:textId="77777777" w:rsidR="00744544" w:rsidRPr="00A66C9F" w:rsidRDefault="00744544" w:rsidP="00744544">
      <w:pPr>
        <w:pStyle w:val="SingleTxt"/>
        <w:spacing w:after="0" w:line="120" w:lineRule="exact"/>
        <w:rPr>
          <w:sz w:val="10"/>
          <w:lang w:val="fr-FR"/>
        </w:rPr>
      </w:pPr>
    </w:p>
    <w:p w14:paraId="1868A7A1"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Note 20</w:t>
      </w:r>
    </w:p>
    <w:p w14:paraId="01F398D2"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A66C9F">
        <w:rPr>
          <w:lang w:val="fr-FR"/>
        </w:rPr>
        <w:tab/>
      </w:r>
      <w:r w:rsidRPr="00A66C9F">
        <w:rPr>
          <w:lang w:val="fr-FR"/>
        </w:rPr>
        <w:tab/>
      </w:r>
      <w:r w:rsidRPr="00A66C9F">
        <w:rPr>
          <w:bCs/>
          <w:lang w:val="fr-FR"/>
        </w:rPr>
        <w:t>Évaluation des risques</w:t>
      </w:r>
      <w:bookmarkStart w:id="454" w:name="_Toc450834665"/>
      <w:bookmarkStart w:id="455" w:name="_Toc450901718"/>
      <w:bookmarkStart w:id="456" w:name="_Toc451169373"/>
      <w:bookmarkStart w:id="457" w:name="_Toc450834666"/>
      <w:bookmarkStart w:id="458" w:name="_Toc450901719"/>
      <w:bookmarkStart w:id="459" w:name="_Toc451169374"/>
      <w:bookmarkStart w:id="460" w:name="_Toc339633758"/>
      <w:bookmarkStart w:id="461" w:name="_Toc339634093"/>
      <w:bookmarkEnd w:id="454"/>
      <w:bookmarkEnd w:id="455"/>
      <w:bookmarkEnd w:id="456"/>
      <w:bookmarkEnd w:id="457"/>
      <w:bookmarkEnd w:id="458"/>
      <w:bookmarkEnd w:id="459"/>
      <w:bookmarkEnd w:id="460"/>
      <w:bookmarkEnd w:id="461"/>
    </w:p>
    <w:p w14:paraId="793A4EC8" w14:textId="77777777" w:rsidR="00744544" w:rsidRPr="00A66C9F" w:rsidRDefault="00744544" w:rsidP="00744544">
      <w:pPr>
        <w:pStyle w:val="SingleTxt"/>
        <w:spacing w:after="0" w:line="120" w:lineRule="exact"/>
        <w:rPr>
          <w:sz w:val="10"/>
          <w:lang w:val="fr-FR"/>
        </w:rPr>
      </w:pPr>
    </w:p>
    <w:p w14:paraId="4CED4C17" w14:textId="77777777" w:rsidR="00744544" w:rsidRPr="00A66C9F" w:rsidRDefault="00744544" w:rsidP="00753AB8">
      <w:pPr>
        <w:pStyle w:val="SingleTxt"/>
        <w:numPr>
          <w:ilvl w:val="0"/>
          <w:numId w:val="19"/>
        </w:numPr>
        <w:rPr>
          <w:lang w:val="fr-FR"/>
        </w:rPr>
      </w:pPr>
      <w:r w:rsidRPr="00A66C9F">
        <w:rPr>
          <w:lang w:val="fr-FR"/>
        </w:rPr>
        <w:lastRenderedPageBreak/>
        <w:t>Eu égard à ses activités, la Caisse est exposée à divers risques financiers, notamment le risque de crédit, le risque de liquidité et le risque de marché (risque de change, risque de taux d’intérêt et risque de prix).</w:t>
      </w:r>
    </w:p>
    <w:p w14:paraId="468CDB75" w14:textId="77777777" w:rsidR="00744544" w:rsidRPr="00A66C9F" w:rsidRDefault="00744544" w:rsidP="00753AB8">
      <w:pPr>
        <w:pStyle w:val="SingleTxt"/>
        <w:numPr>
          <w:ilvl w:val="0"/>
          <w:numId w:val="19"/>
        </w:numPr>
        <w:spacing w:line="240" w:lineRule="exact"/>
        <w:rPr>
          <w:lang w:val="fr-FR"/>
        </w:rPr>
      </w:pPr>
      <w:r w:rsidRPr="00A66C9F">
        <w:rPr>
          <w:lang w:val="fr-FR"/>
        </w:rPr>
        <w:t>À l’aide de son programme de gestion des risques d’investissement, la Caisse mesure et surveille les risques auxquels elle est exposée de façon à réduire les effets préjudiciables qu’ils pourraient avoir sur ses résultats financiers, conformément à sa politique de répartition stratégique des actifs. Le Comité des placements conseille le Représentant du Secrétaire général en ce qui concerne la stratégie d’investissement et examine les investissements de la Caisse lors de ses réunions trimestrielles. Plus précisément, ses conseils portent sur la politique d’investissement à long terme, la composition du portefeuille et la stratégie d’investissement, la diversification par types de placements, par monnaies et par secteurs économiques, ainsi que sur toute autre question pertinente.</w:t>
      </w:r>
    </w:p>
    <w:p w14:paraId="24CBEDD3" w14:textId="77777777" w:rsidR="00744544" w:rsidRPr="00A66C9F" w:rsidRDefault="00744544" w:rsidP="00753AB8">
      <w:pPr>
        <w:pStyle w:val="SingleTxt"/>
        <w:numPr>
          <w:ilvl w:val="0"/>
          <w:numId w:val="19"/>
        </w:numPr>
        <w:spacing w:line="240" w:lineRule="exact"/>
        <w:rPr>
          <w:lang w:val="fr-FR"/>
        </w:rPr>
      </w:pPr>
      <w:r w:rsidRPr="00A66C9F">
        <w:rPr>
          <w:lang w:val="fr-FR"/>
        </w:rPr>
        <w:t>La Caisse emploie différentes méthodes pour mesurer, suivre et gérer les divers types de risques financiers auxquels elle est exposée. Ces méthodes sont expliquées ci-après.</w:t>
      </w:r>
    </w:p>
    <w:p w14:paraId="3E6F74B8" w14:textId="77777777" w:rsidR="00744544" w:rsidRPr="00A66C9F" w:rsidRDefault="00744544" w:rsidP="00744544">
      <w:pPr>
        <w:pStyle w:val="SingleTxt"/>
        <w:spacing w:after="0" w:line="120" w:lineRule="exact"/>
        <w:rPr>
          <w:sz w:val="10"/>
          <w:lang w:val="fr-FR"/>
        </w:rPr>
      </w:pPr>
    </w:p>
    <w:p w14:paraId="54DD921B"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t>20.1</w:t>
      </w:r>
      <w:r w:rsidRPr="00A66C9F">
        <w:rPr>
          <w:lang w:val="fr-FR"/>
        </w:rPr>
        <w:tab/>
        <w:t>Risque de crédit</w:t>
      </w:r>
    </w:p>
    <w:p w14:paraId="533AF8CA" w14:textId="77777777" w:rsidR="00744544" w:rsidRPr="00A66C9F" w:rsidRDefault="00744544" w:rsidP="00744544">
      <w:pPr>
        <w:pStyle w:val="SingleTxt"/>
        <w:spacing w:after="0" w:line="120" w:lineRule="exact"/>
        <w:rPr>
          <w:b/>
          <w:bCs/>
          <w:sz w:val="10"/>
          <w:lang w:val="fr-FR"/>
        </w:rPr>
      </w:pPr>
    </w:p>
    <w:p w14:paraId="18673534" w14:textId="77777777" w:rsidR="00744544" w:rsidRPr="00A66C9F" w:rsidRDefault="00744544" w:rsidP="00753AB8">
      <w:pPr>
        <w:pStyle w:val="SingleTxt"/>
        <w:numPr>
          <w:ilvl w:val="0"/>
          <w:numId w:val="19"/>
        </w:numPr>
        <w:spacing w:line="240" w:lineRule="exact"/>
        <w:rPr>
          <w:lang w:val="fr-FR"/>
        </w:rPr>
      </w:pPr>
      <w:r w:rsidRPr="00A66C9F">
        <w:rPr>
          <w:lang w:val="fr-FR"/>
        </w:rPr>
        <w:t>Le risque de crédit représente l’éventualité qu’un emprunteur ou une partie à un instrument financier manque aux obligations qu’il a contractées et provoque de ce fait une perte financière. Le risque qu’un partenaire commercial ne s’acquitte pas en temps voulu de ses obligations est un risque auquel tout débiteur est exposé. Il est donc capital, pour assurer la viabilité à long terme de la Caisse, de contrôler judicieusement ce risque et de le gérer efficacement. Pour la Caisse, la gestion du risque de crédit passe par les mesures suivantes :</w:t>
      </w:r>
    </w:p>
    <w:p w14:paraId="4A70BADF" w14:textId="77777777" w:rsidR="00744544" w:rsidRPr="00A66C9F" w:rsidRDefault="00744544" w:rsidP="00744544">
      <w:pPr>
        <w:pStyle w:val="SingleTxt"/>
        <w:tabs>
          <w:tab w:val="right" w:pos="1685"/>
        </w:tabs>
        <w:ind w:left="1742" w:hanging="475"/>
        <w:rPr>
          <w:lang w:val="fr-FR"/>
        </w:rPr>
      </w:pPr>
      <w:r w:rsidRPr="00A66C9F">
        <w:rPr>
          <w:lang w:val="fr-FR"/>
        </w:rPr>
        <w:tab/>
        <w:t>•</w:t>
      </w:r>
      <w:r w:rsidRPr="00A66C9F">
        <w:rPr>
          <w:lang w:val="fr-FR"/>
        </w:rPr>
        <w:tab/>
        <w:t>Approuver et tenir à jour des normes permettant de mesurer et de suivre le risque de crédit ;</w:t>
      </w:r>
    </w:p>
    <w:p w14:paraId="61BDD294" w14:textId="77777777" w:rsidR="00744544" w:rsidRPr="00A66C9F" w:rsidRDefault="00744544" w:rsidP="00744544">
      <w:pPr>
        <w:pStyle w:val="SingleTxt"/>
        <w:tabs>
          <w:tab w:val="right" w:pos="1685"/>
        </w:tabs>
        <w:ind w:left="1742" w:hanging="475"/>
        <w:rPr>
          <w:lang w:val="fr-FR"/>
        </w:rPr>
      </w:pPr>
      <w:r w:rsidRPr="00A66C9F">
        <w:rPr>
          <w:lang w:val="fr-FR"/>
        </w:rPr>
        <w:tab/>
        <w:t>•</w:t>
      </w:r>
      <w:r w:rsidRPr="00A66C9F">
        <w:rPr>
          <w:lang w:val="fr-FR"/>
        </w:rPr>
        <w:tab/>
        <w:t>Déterminer les montants plafonds et les concentrations maximales du risque, mettre en place un dispositif de suivi et en surveiller l’application ;</w:t>
      </w:r>
    </w:p>
    <w:p w14:paraId="4A44623D" w14:textId="77777777" w:rsidR="00744544" w:rsidRPr="00A66C9F" w:rsidRDefault="00744544" w:rsidP="00744544">
      <w:pPr>
        <w:pStyle w:val="SingleTxt"/>
        <w:tabs>
          <w:tab w:val="right" w:pos="1685"/>
        </w:tabs>
        <w:ind w:left="1742" w:hanging="475"/>
        <w:rPr>
          <w:lang w:val="fr-FR"/>
        </w:rPr>
      </w:pPr>
      <w:r w:rsidRPr="00A66C9F">
        <w:rPr>
          <w:lang w:val="fr-FR"/>
        </w:rPr>
        <w:tab/>
        <w:t>•</w:t>
      </w:r>
      <w:r w:rsidRPr="00A66C9F">
        <w:rPr>
          <w:lang w:val="fr-FR"/>
        </w:rPr>
        <w:tab/>
        <w:t>Veiller à ce que le risque de crédit soit soumis à des contrôles adéquats.</w:t>
      </w:r>
    </w:p>
    <w:p w14:paraId="3C799C45" w14:textId="77777777" w:rsidR="00744544" w:rsidRPr="00A66C9F" w:rsidRDefault="00744544" w:rsidP="00753AB8">
      <w:pPr>
        <w:pStyle w:val="SingleTxt"/>
        <w:numPr>
          <w:ilvl w:val="0"/>
          <w:numId w:val="19"/>
        </w:numPr>
        <w:spacing w:line="240" w:lineRule="exact"/>
        <w:rPr>
          <w:lang w:val="fr-FR"/>
        </w:rPr>
      </w:pPr>
      <w:r w:rsidRPr="00A66C9F">
        <w:rPr>
          <w:lang w:val="fr-FR"/>
        </w:rPr>
        <w:t>Le risque de crédit concerne essentiellement les valeurs à revenu fixe. La Caisse gère ce risque, compte tenu de la politique d’investissement adoptée pour 2019 et des indices de référence pour les investissements dans des valeurs à revenu fixe. Pour être retenus dans les indices de référence, les titres ou les émetteurs doivent avoir été notés par au moins une agence de notation de renom, S&amp;P Global Ratings, Moody’s ou Fitch.</w:t>
      </w:r>
    </w:p>
    <w:p w14:paraId="206CE24D" w14:textId="77777777" w:rsidR="00744544" w:rsidRPr="00A66C9F" w:rsidRDefault="00744544" w:rsidP="00753AB8">
      <w:pPr>
        <w:pStyle w:val="SingleTxt"/>
        <w:numPr>
          <w:ilvl w:val="0"/>
          <w:numId w:val="19"/>
        </w:numPr>
        <w:spacing w:line="240" w:lineRule="exact"/>
        <w:rPr>
          <w:lang w:val="fr-FR"/>
        </w:rPr>
      </w:pPr>
      <w:r w:rsidRPr="00A66C9F">
        <w:rPr>
          <w:lang w:val="fr-FR"/>
        </w:rPr>
        <w:t>Les tableaux ci-dessous récapitulent les notes de crédit attribuées par des agences de notation (Moody’s, S&amp;P Global Ratings ou Fitch) aux valeurs à revenu fixe détenues par la Caisse au 31 décembre 2019 et au 31 décembre 2018. La Caisse utilise les notes de Moody’s Investors Service comme source principale pour les informations présentées dans les tableaux. Si le titre n’est pas noté, la notation implicite de Moody’s est utilisée. Si ni le titre ni l’émetteur ne sont évalués par Moody’s, les notations de S&amp;P Global Ratings ou de Fitch sont alors utilisées.</w:t>
      </w:r>
    </w:p>
    <w:p w14:paraId="0C3278A5" w14:textId="77777777" w:rsidR="00744544" w:rsidRPr="00A66C9F" w:rsidRDefault="00744544" w:rsidP="00744544">
      <w:pPr>
        <w:pStyle w:val="SingleTxt"/>
        <w:spacing w:after="0" w:line="120" w:lineRule="exact"/>
        <w:rPr>
          <w:sz w:val="10"/>
          <w:lang w:val="fr-FR"/>
        </w:rPr>
      </w:pPr>
      <w:bookmarkStart w:id="462" w:name="_Hlk34646627"/>
    </w:p>
    <w:p w14:paraId="074B0F29" w14:textId="77777777" w:rsidR="00744544" w:rsidRPr="00A66C9F" w:rsidRDefault="00744544" w:rsidP="0074454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sz w:val="14"/>
          <w:szCs w:val="14"/>
          <w:lang w:val="fr-FR"/>
        </w:rPr>
        <w:lastRenderedPageBreak/>
        <w:t>(En milliers de dollars des États-Unis)</w:t>
      </w:r>
    </w:p>
    <w:p w14:paraId="65915ABB" w14:textId="77777777" w:rsidR="00744544" w:rsidRPr="00A66C9F" w:rsidRDefault="00744544" w:rsidP="00744544">
      <w:pPr>
        <w:pStyle w:val="SingleTxt"/>
        <w:keepNext/>
        <w:spacing w:after="0" w:line="120" w:lineRule="exact"/>
        <w:rPr>
          <w:sz w:val="10"/>
          <w:lang w:val="fr-FR"/>
        </w:rPr>
      </w:pPr>
    </w:p>
    <w:p w14:paraId="145292AD" w14:textId="77777777" w:rsidR="00744544" w:rsidRPr="00A66C9F" w:rsidRDefault="00744544" w:rsidP="00744544">
      <w:pPr>
        <w:pStyle w:val="SingleTxt"/>
        <w:keepNext/>
        <w:spacing w:after="0" w:line="120" w:lineRule="exact"/>
        <w:rPr>
          <w:sz w:val="10"/>
          <w:lang w:val="fr-FR"/>
        </w:rPr>
      </w:pPr>
    </w:p>
    <w:tbl>
      <w:tblPr>
        <w:tblW w:w="5005" w:type="pct"/>
        <w:tblLayout w:type="fixed"/>
        <w:tblCellMar>
          <w:left w:w="0" w:type="dxa"/>
          <w:right w:w="0" w:type="dxa"/>
        </w:tblCellMar>
        <w:tblLook w:val="04A0" w:firstRow="1" w:lastRow="0" w:firstColumn="1" w:lastColumn="0" w:noHBand="0" w:noVBand="1"/>
      </w:tblPr>
      <w:tblGrid>
        <w:gridCol w:w="2934"/>
        <w:gridCol w:w="1152"/>
        <w:gridCol w:w="1153"/>
        <w:gridCol w:w="1153"/>
        <w:gridCol w:w="1240"/>
        <w:gridCol w:w="1065"/>
        <w:gridCol w:w="1153"/>
      </w:tblGrid>
      <w:tr w:rsidR="00744544" w:rsidRPr="00A66C9F" w14:paraId="537286E6" w14:textId="77777777" w:rsidTr="00107D5D">
        <w:trPr>
          <w:tblHeader/>
        </w:trPr>
        <w:tc>
          <w:tcPr>
            <w:tcW w:w="2934" w:type="dxa"/>
            <w:tcBorders>
              <w:top w:val="single" w:sz="4" w:space="0" w:color="auto"/>
            </w:tcBorders>
            <w:shd w:val="clear" w:color="auto" w:fill="auto"/>
            <w:vAlign w:val="bottom"/>
          </w:tcPr>
          <w:p w14:paraId="3ED1A90D" w14:textId="77777777" w:rsidR="00744544" w:rsidRPr="00A66C9F" w:rsidRDefault="00744544" w:rsidP="00107D5D">
            <w:pPr>
              <w:suppressAutoHyphens/>
              <w:spacing w:before="81" w:after="81" w:line="160" w:lineRule="exact"/>
              <w:ind w:right="40"/>
              <w:rPr>
                <w:i/>
                <w:sz w:val="14"/>
                <w:lang w:val="fr-FR"/>
              </w:rPr>
            </w:pPr>
          </w:p>
        </w:tc>
        <w:tc>
          <w:tcPr>
            <w:tcW w:w="6916" w:type="dxa"/>
            <w:gridSpan w:val="6"/>
            <w:tcBorders>
              <w:top w:val="single" w:sz="4" w:space="0" w:color="auto"/>
              <w:bottom w:val="single" w:sz="4" w:space="0" w:color="auto"/>
            </w:tcBorders>
            <w:shd w:val="clear" w:color="auto" w:fill="auto"/>
            <w:vAlign w:val="bottom"/>
          </w:tcPr>
          <w:p w14:paraId="0C4F2607" w14:textId="77777777" w:rsidR="00744544" w:rsidRPr="00A66C9F" w:rsidRDefault="00744544" w:rsidP="00107D5D">
            <w:pPr>
              <w:suppressAutoHyphens/>
              <w:spacing w:before="81" w:after="81" w:line="160" w:lineRule="exact"/>
              <w:ind w:right="43"/>
              <w:jc w:val="center"/>
              <w:rPr>
                <w:i/>
                <w:sz w:val="14"/>
                <w:lang w:val="fr-FR"/>
              </w:rPr>
            </w:pPr>
            <w:r w:rsidRPr="00A66C9F">
              <w:rPr>
                <w:i/>
                <w:sz w:val="14"/>
                <w:lang w:val="fr-FR"/>
              </w:rPr>
              <w:t>31 décembre 2019</w:t>
            </w:r>
          </w:p>
        </w:tc>
      </w:tr>
      <w:tr w:rsidR="00744544" w:rsidRPr="00A66C9F" w14:paraId="11FA8C97" w14:textId="77777777" w:rsidTr="00107D5D">
        <w:trPr>
          <w:tblHeader/>
        </w:trPr>
        <w:tc>
          <w:tcPr>
            <w:tcW w:w="2934" w:type="dxa"/>
            <w:tcBorders>
              <w:bottom w:val="single" w:sz="12" w:space="0" w:color="auto"/>
            </w:tcBorders>
            <w:shd w:val="clear" w:color="auto" w:fill="auto"/>
            <w:vAlign w:val="bottom"/>
            <w:hideMark/>
          </w:tcPr>
          <w:p w14:paraId="6BAE13C6" w14:textId="77777777" w:rsidR="00744544" w:rsidRPr="00A66C9F" w:rsidRDefault="00744544" w:rsidP="00107D5D">
            <w:pPr>
              <w:suppressAutoHyphens/>
              <w:spacing w:before="81" w:after="81" w:line="160" w:lineRule="exact"/>
              <w:ind w:right="40"/>
              <w:rPr>
                <w:i/>
                <w:sz w:val="14"/>
                <w:lang w:val="fr-FR"/>
              </w:rPr>
            </w:pPr>
            <w:r w:rsidRPr="00A66C9F">
              <w:rPr>
                <w:i/>
                <w:sz w:val="14"/>
                <w:lang w:val="fr-FR"/>
              </w:rPr>
              <w:t>Valeurs à revenu fixe</w:t>
            </w:r>
          </w:p>
        </w:tc>
        <w:tc>
          <w:tcPr>
            <w:tcW w:w="1152" w:type="dxa"/>
            <w:tcBorders>
              <w:top w:val="single" w:sz="4" w:space="0" w:color="auto"/>
              <w:bottom w:val="single" w:sz="12" w:space="0" w:color="auto"/>
            </w:tcBorders>
            <w:shd w:val="clear" w:color="auto" w:fill="auto"/>
            <w:vAlign w:val="bottom"/>
            <w:hideMark/>
          </w:tcPr>
          <w:p w14:paraId="10397431"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Aaa/AA à Aa3/AA-</w:t>
            </w:r>
          </w:p>
        </w:tc>
        <w:tc>
          <w:tcPr>
            <w:tcW w:w="1153" w:type="dxa"/>
            <w:tcBorders>
              <w:top w:val="single" w:sz="4" w:space="0" w:color="auto"/>
              <w:bottom w:val="single" w:sz="12" w:space="0" w:color="auto"/>
            </w:tcBorders>
            <w:shd w:val="clear" w:color="auto" w:fill="auto"/>
            <w:vAlign w:val="bottom"/>
            <w:hideMark/>
          </w:tcPr>
          <w:p w14:paraId="072B2697"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A1/A+ à A3/A-</w:t>
            </w:r>
          </w:p>
        </w:tc>
        <w:tc>
          <w:tcPr>
            <w:tcW w:w="1153" w:type="dxa"/>
            <w:tcBorders>
              <w:top w:val="single" w:sz="4" w:space="0" w:color="auto"/>
              <w:bottom w:val="single" w:sz="12" w:space="0" w:color="auto"/>
            </w:tcBorders>
            <w:shd w:val="clear" w:color="auto" w:fill="auto"/>
            <w:vAlign w:val="bottom"/>
            <w:hideMark/>
          </w:tcPr>
          <w:p w14:paraId="1D741778"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Baa1/BBB+ à Baa3/BBB-</w:t>
            </w:r>
          </w:p>
        </w:tc>
        <w:tc>
          <w:tcPr>
            <w:tcW w:w="1240" w:type="dxa"/>
            <w:tcBorders>
              <w:top w:val="single" w:sz="4" w:space="0" w:color="auto"/>
              <w:bottom w:val="single" w:sz="12" w:space="0" w:color="auto"/>
            </w:tcBorders>
            <w:shd w:val="clear" w:color="auto" w:fill="auto"/>
            <w:vAlign w:val="bottom"/>
            <w:hideMark/>
          </w:tcPr>
          <w:p w14:paraId="09B51B4E"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Ba1/BB+ à B3/B-</w:t>
            </w:r>
          </w:p>
        </w:tc>
        <w:tc>
          <w:tcPr>
            <w:tcW w:w="1065" w:type="dxa"/>
            <w:tcBorders>
              <w:top w:val="single" w:sz="4" w:space="0" w:color="auto"/>
              <w:bottom w:val="single" w:sz="12" w:space="0" w:color="auto"/>
            </w:tcBorders>
            <w:shd w:val="clear" w:color="auto" w:fill="auto"/>
            <w:vAlign w:val="bottom"/>
            <w:hideMark/>
          </w:tcPr>
          <w:p w14:paraId="03E54878"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Sans note</w:t>
            </w:r>
            <w:r w:rsidRPr="00A66C9F">
              <w:rPr>
                <w:i/>
                <w:sz w:val="14"/>
                <w:vertAlign w:val="superscript"/>
                <w:lang w:val="fr-FR"/>
              </w:rPr>
              <w:t>a</w:t>
            </w:r>
            <w:r w:rsidRPr="00A66C9F">
              <w:rPr>
                <w:i/>
                <w:sz w:val="14"/>
                <w:lang w:val="fr-FR"/>
              </w:rPr>
              <w:t xml:space="preserve"> </w:t>
            </w:r>
          </w:p>
        </w:tc>
        <w:tc>
          <w:tcPr>
            <w:tcW w:w="1153" w:type="dxa"/>
            <w:tcBorders>
              <w:top w:val="single" w:sz="4" w:space="0" w:color="auto"/>
              <w:bottom w:val="single" w:sz="12" w:space="0" w:color="auto"/>
            </w:tcBorders>
            <w:shd w:val="clear" w:color="auto" w:fill="auto"/>
            <w:vAlign w:val="bottom"/>
            <w:hideMark/>
          </w:tcPr>
          <w:p w14:paraId="0E19E1DD"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Total</w:t>
            </w:r>
          </w:p>
        </w:tc>
      </w:tr>
      <w:tr w:rsidR="00744544" w:rsidRPr="00A66C9F" w14:paraId="21580CED" w14:textId="77777777" w:rsidTr="00107D5D">
        <w:trPr>
          <w:trHeight w:hRule="exact" w:val="115"/>
          <w:tblHeader/>
        </w:trPr>
        <w:tc>
          <w:tcPr>
            <w:tcW w:w="2934" w:type="dxa"/>
            <w:tcBorders>
              <w:top w:val="single" w:sz="12" w:space="0" w:color="auto"/>
            </w:tcBorders>
            <w:shd w:val="clear" w:color="auto" w:fill="auto"/>
            <w:noWrap/>
            <w:vAlign w:val="bottom"/>
          </w:tcPr>
          <w:p w14:paraId="53F04443" w14:textId="77777777" w:rsidR="00744544" w:rsidRPr="00A66C9F" w:rsidRDefault="00744544" w:rsidP="00107D5D">
            <w:pPr>
              <w:suppressAutoHyphens/>
              <w:spacing w:before="40" w:after="40" w:line="210" w:lineRule="exact"/>
              <w:ind w:right="40"/>
              <w:rPr>
                <w:sz w:val="17"/>
                <w:lang w:val="fr-FR"/>
              </w:rPr>
            </w:pPr>
          </w:p>
        </w:tc>
        <w:tc>
          <w:tcPr>
            <w:tcW w:w="1152" w:type="dxa"/>
            <w:tcBorders>
              <w:top w:val="single" w:sz="12" w:space="0" w:color="auto"/>
            </w:tcBorders>
            <w:shd w:val="clear" w:color="auto" w:fill="auto"/>
            <w:noWrap/>
            <w:vAlign w:val="bottom"/>
          </w:tcPr>
          <w:p w14:paraId="43779C26" w14:textId="77777777" w:rsidR="00744544" w:rsidRPr="00A66C9F" w:rsidRDefault="00744544" w:rsidP="00107D5D">
            <w:pPr>
              <w:suppressAutoHyphens/>
              <w:spacing w:before="40" w:after="40" w:line="210" w:lineRule="exact"/>
              <w:ind w:right="43"/>
              <w:jc w:val="right"/>
              <w:rPr>
                <w:sz w:val="17"/>
                <w:lang w:val="fr-FR"/>
              </w:rPr>
            </w:pPr>
          </w:p>
        </w:tc>
        <w:tc>
          <w:tcPr>
            <w:tcW w:w="1153" w:type="dxa"/>
            <w:tcBorders>
              <w:top w:val="single" w:sz="12" w:space="0" w:color="auto"/>
            </w:tcBorders>
            <w:shd w:val="clear" w:color="auto" w:fill="auto"/>
            <w:noWrap/>
            <w:vAlign w:val="bottom"/>
          </w:tcPr>
          <w:p w14:paraId="5EAE4787" w14:textId="77777777" w:rsidR="00744544" w:rsidRPr="00A66C9F" w:rsidRDefault="00744544" w:rsidP="00107D5D">
            <w:pPr>
              <w:suppressAutoHyphens/>
              <w:spacing w:before="40" w:after="40" w:line="210" w:lineRule="exact"/>
              <w:ind w:right="43"/>
              <w:jc w:val="right"/>
              <w:rPr>
                <w:sz w:val="17"/>
                <w:lang w:val="fr-FR"/>
              </w:rPr>
            </w:pPr>
          </w:p>
        </w:tc>
        <w:tc>
          <w:tcPr>
            <w:tcW w:w="1153" w:type="dxa"/>
            <w:tcBorders>
              <w:top w:val="single" w:sz="12" w:space="0" w:color="auto"/>
            </w:tcBorders>
            <w:shd w:val="clear" w:color="auto" w:fill="auto"/>
            <w:noWrap/>
            <w:vAlign w:val="bottom"/>
          </w:tcPr>
          <w:p w14:paraId="5EFAEB32" w14:textId="77777777" w:rsidR="00744544" w:rsidRPr="00A66C9F" w:rsidRDefault="00744544" w:rsidP="00107D5D">
            <w:pPr>
              <w:suppressAutoHyphens/>
              <w:spacing w:before="40" w:after="40" w:line="210" w:lineRule="exact"/>
              <w:ind w:right="43"/>
              <w:jc w:val="right"/>
              <w:rPr>
                <w:sz w:val="17"/>
                <w:lang w:val="fr-FR"/>
              </w:rPr>
            </w:pPr>
          </w:p>
        </w:tc>
        <w:tc>
          <w:tcPr>
            <w:tcW w:w="1240" w:type="dxa"/>
            <w:tcBorders>
              <w:top w:val="single" w:sz="12" w:space="0" w:color="auto"/>
            </w:tcBorders>
            <w:shd w:val="clear" w:color="auto" w:fill="auto"/>
            <w:noWrap/>
            <w:vAlign w:val="bottom"/>
          </w:tcPr>
          <w:p w14:paraId="5B1DBF3E" w14:textId="77777777" w:rsidR="00744544" w:rsidRPr="00A66C9F" w:rsidRDefault="00744544" w:rsidP="00107D5D">
            <w:pPr>
              <w:suppressAutoHyphens/>
              <w:spacing w:before="40" w:after="40" w:line="210" w:lineRule="exact"/>
              <w:ind w:right="43"/>
              <w:jc w:val="right"/>
              <w:rPr>
                <w:sz w:val="17"/>
                <w:lang w:val="fr-FR"/>
              </w:rPr>
            </w:pPr>
          </w:p>
        </w:tc>
        <w:tc>
          <w:tcPr>
            <w:tcW w:w="1065" w:type="dxa"/>
            <w:tcBorders>
              <w:top w:val="single" w:sz="12" w:space="0" w:color="auto"/>
            </w:tcBorders>
            <w:shd w:val="clear" w:color="auto" w:fill="auto"/>
            <w:noWrap/>
            <w:vAlign w:val="bottom"/>
          </w:tcPr>
          <w:p w14:paraId="1F3EA4D0" w14:textId="77777777" w:rsidR="00744544" w:rsidRPr="00A66C9F" w:rsidRDefault="00744544" w:rsidP="00107D5D">
            <w:pPr>
              <w:suppressAutoHyphens/>
              <w:spacing w:before="40" w:after="40" w:line="210" w:lineRule="exact"/>
              <w:ind w:right="43"/>
              <w:jc w:val="right"/>
              <w:rPr>
                <w:sz w:val="17"/>
                <w:lang w:val="fr-FR"/>
              </w:rPr>
            </w:pPr>
          </w:p>
        </w:tc>
        <w:tc>
          <w:tcPr>
            <w:tcW w:w="1153" w:type="dxa"/>
            <w:tcBorders>
              <w:top w:val="single" w:sz="12" w:space="0" w:color="auto"/>
            </w:tcBorders>
            <w:shd w:val="clear" w:color="auto" w:fill="auto"/>
            <w:noWrap/>
            <w:vAlign w:val="bottom"/>
          </w:tcPr>
          <w:p w14:paraId="414579A2" w14:textId="77777777" w:rsidR="00744544" w:rsidRPr="00A66C9F" w:rsidRDefault="00744544" w:rsidP="00107D5D">
            <w:pPr>
              <w:suppressAutoHyphens/>
              <w:spacing w:before="40" w:after="40" w:line="210" w:lineRule="exact"/>
              <w:ind w:right="43"/>
              <w:jc w:val="right"/>
              <w:rPr>
                <w:sz w:val="17"/>
                <w:lang w:val="fr-FR"/>
              </w:rPr>
            </w:pPr>
          </w:p>
        </w:tc>
      </w:tr>
      <w:tr w:rsidR="00744544" w:rsidRPr="00A66C9F" w14:paraId="166A5ACE" w14:textId="77777777" w:rsidTr="00107D5D">
        <w:tc>
          <w:tcPr>
            <w:tcW w:w="2934" w:type="dxa"/>
            <w:shd w:val="clear" w:color="auto" w:fill="auto"/>
            <w:noWrap/>
            <w:vAlign w:val="bottom"/>
            <w:hideMark/>
          </w:tcPr>
          <w:p w14:paraId="49F4A81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bookmarkStart w:id="463" w:name="_Hlk49503562"/>
            <w:r w:rsidRPr="00A66C9F">
              <w:rPr>
                <w:sz w:val="17"/>
                <w:lang w:val="fr-FR"/>
              </w:rPr>
              <w:t>Obligations d’État et d’organismes publics</w:t>
            </w:r>
          </w:p>
        </w:tc>
        <w:tc>
          <w:tcPr>
            <w:tcW w:w="1152" w:type="dxa"/>
            <w:shd w:val="clear" w:color="auto" w:fill="auto"/>
            <w:noWrap/>
            <w:vAlign w:val="bottom"/>
          </w:tcPr>
          <w:p w14:paraId="49E1DCA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15 725 534</w:t>
            </w:r>
          </w:p>
        </w:tc>
        <w:tc>
          <w:tcPr>
            <w:tcW w:w="1153" w:type="dxa"/>
            <w:shd w:val="clear" w:color="auto" w:fill="auto"/>
            <w:noWrap/>
            <w:vAlign w:val="bottom"/>
          </w:tcPr>
          <w:p w14:paraId="78DA485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1 463 835</w:t>
            </w:r>
          </w:p>
        </w:tc>
        <w:tc>
          <w:tcPr>
            <w:tcW w:w="1153" w:type="dxa"/>
            <w:shd w:val="clear" w:color="auto" w:fill="auto"/>
            <w:noWrap/>
            <w:vAlign w:val="bottom"/>
          </w:tcPr>
          <w:p w14:paraId="6915CD0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1 082 996</w:t>
            </w:r>
          </w:p>
        </w:tc>
        <w:tc>
          <w:tcPr>
            <w:tcW w:w="1240" w:type="dxa"/>
            <w:shd w:val="clear" w:color="auto" w:fill="auto"/>
            <w:noWrap/>
            <w:vAlign w:val="bottom"/>
          </w:tcPr>
          <w:p w14:paraId="046771F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590 847</w:t>
            </w:r>
          </w:p>
        </w:tc>
        <w:tc>
          <w:tcPr>
            <w:tcW w:w="1065" w:type="dxa"/>
            <w:shd w:val="clear" w:color="auto" w:fill="auto"/>
            <w:noWrap/>
            <w:vAlign w:val="bottom"/>
          </w:tcPr>
          <w:p w14:paraId="0F8BE43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53" w:type="dxa"/>
            <w:shd w:val="clear" w:color="auto" w:fill="auto"/>
            <w:noWrap/>
            <w:vAlign w:val="bottom"/>
          </w:tcPr>
          <w:p w14:paraId="04BE5FB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18 863 212</w:t>
            </w:r>
          </w:p>
        </w:tc>
      </w:tr>
      <w:tr w:rsidR="00744544" w:rsidRPr="00A66C9F" w14:paraId="2D528933" w14:textId="77777777" w:rsidTr="00107D5D">
        <w:tc>
          <w:tcPr>
            <w:tcW w:w="2934" w:type="dxa"/>
            <w:shd w:val="clear" w:color="auto" w:fill="auto"/>
            <w:noWrap/>
            <w:vAlign w:val="bottom"/>
          </w:tcPr>
          <w:p w14:paraId="092A3F3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Titres adossés à des créances mobilières</w:t>
            </w:r>
          </w:p>
        </w:tc>
        <w:tc>
          <w:tcPr>
            <w:tcW w:w="1152" w:type="dxa"/>
            <w:shd w:val="clear" w:color="auto" w:fill="auto"/>
            <w:noWrap/>
            <w:vAlign w:val="bottom"/>
          </w:tcPr>
          <w:p w14:paraId="34C80B8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157 585</w:t>
            </w:r>
          </w:p>
        </w:tc>
        <w:tc>
          <w:tcPr>
            <w:tcW w:w="1153" w:type="dxa"/>
            <w:shd w:val="clear" w:color="auto" w:fill="auto"/>
            <w:noWrap/>
            <w:vAlign w:val="bottom"/>
          </w:tcPr>
          <w:p w14:paraId="796F1F1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53" w:type="dxa"/>
            <w:shd w:val="clear" w:color="auto" w:fill="auto"/>
            <w:noWrap/>
            <w:vAlign w:val="bottom"/>
          </w:tcPr>
          <w:p w14:paraId="3709C36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240" w:type="dxa"/>
            <w:shd w:val="clear" w:color="auto" w:fill="auto"/>
            <w:noWrap/>
            <w:vAlign w:val="bottom"/>
          </w:tcPr>
          <w:p w14:paraId="0C990EE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065" w:type="dxa"/>
            <w:shd w:val="clear" w:color="auto" w:fill="auto"/>
            <w:noWrap/>
            <w:vAlign w:val="bottom"/>
          </w:tcPr>
          <w:p w14:paraId="66DE2D6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53" w:type="dxa"/>
            <w:shd w:val="clear" w:color="auto" w:fill="auto"/>
            <w:noWrap/>
            <w:vAlign w:val="bottom"/>
          </w:tcPr>
          <w:p w14:paraId="7481A98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157 585</w:t>
            </w:r>
          </w:p>
        </w:tc>
      </w:tr>
      <w:tr w:rsidR="00744544" w:rsidRPr="00A66C9F" w14:paraId="04B53D3D" w14:textId="77777777" w:rsidTr="00107D5D">
        <w:tc>
          <w:tcPr>
            <w:tcW w:w="2934" w:type="dxa"/>
            <w:shd w:val="clear" w:color="auto" w:fill="auto"/>
            <w:noWrap/>
            <w:vAlign w:val="bottom"/>
          </w:tcPr>
          <w:p w14:paraId="5266307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Obligations de sociétés</w:t>
            </w:r>
          </w:p>
        </w:tc>
        <w:tc>
          <w:tcPr>
            <w:tcW w:w="1152" w:type="dxa"/>
            <w:shd w:val="clear" w:color="auto" w:fill="auto"/>
            <w:noWrap/>
            <w:vAlign w:val="bottom"/>
          </w:tcPr>
          <w:p w14:paraId="355EDF6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45 031</w:t>
            </w:r>
          </w:p>
        </w:tc>
        <w:tc>
          <w:tcPr>
            <w:tcW w:w="1153" w:type="dxa"/>
            <w:shd w:val="clear" w:color="auto" w:fill="auto"/>
            <w:noWrap/>
            <w:vAlign w:val="bottom"/>
          </w:tcPr>
          <w:p w14:paraId="13AD9B3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479 792</w:t>
            </w:r>
          </w:p>
        </w:tc>
        <w:tc>
          <w:tcPr>
            <w:tcW w:w="1153" w:type="dxa"/>
            <w:shd w:val="clear" w:color="auto" w:fill="auto"/>
            <w:noWrap/>
            <w:vAlign w:val="bottom"/>
          </w:tcPr>
          <w:p w14:paraId="0629095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70 643</w:t>
            </w:r>
          </w:p>
        </w:tc>
        <w:tc>
          <w:tcPr>
            <w:tcW w:w="1240" w:type="dxa"/>
            <w:shd w:val="clear" w:color="auto" w:fill="auto"/>
            <w:noWrap/>
            <w:vAlign w:val="bottom"/>
          </w:tcPr>
          <w:p w14:paraId="6F581F7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065" w:type="dxa"/>
            <w:shd w:val="clear" w:color="auto" w:fill="auto"/>
            <w:noWrap/>
            <w:vAlign w:val="bottom"/>
          </w:tcPr>
          <w:p w14:paraId="22BB7E9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53" w:type="dxa"/>
            <w:shd w:val="clear" w:color="auto" w:fill="auto"/>
            <w:noWrap/>
            <w:vAlign w:val="bottom"/>
          </w:tcPr>
          <w:p w14:paraId="0DF4D5A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595 466</w:t>
            </w:r>
          </w:p>
        </w:tc>
      </w:tr>
      <w:tr w:rsidR="00744544" w:rsidRPr="00A66C9F" w14:paraId="6AD17CB4" w14:textId="77777777" w:rsidTr="00107D5D">
        <w:tc>
          <w:tcPr>
            <w:tcW w:w="2934" w:type="dxa"/>
            <w:shd w:val="clear" w:color="auto" w:fill="auto"/>
            <w:noWrap/>
            <w:vAlign w:val="bottom"/>
            <w:hideMark/>
          </w:tcPr>
          <w:p w14:paraId="37FB114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Obligations de collectivités locales</w:t>
            </w:r>
          </w:p>
        </w:tc>
        <w:tc>
          <w:tcPr>
            <w:tcW w:w="1152" w:type="dxa"/>
            <w:shd w:val="clear" w:color="auto" w:fill="auto"/>
            <w:noWrap/>
            <w:vAlign w:val="bottom"/>
          </w:tcPr>
          <w:p w14:paraId="35D2622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37 873</w:t>
            </w:r>
          </w:p>
        </w:tc>
        <w:tc>
          <w:tcPr>
            <w:tcW w:w="1153" w:type="dxa"/>
            <w:shd w:val="clear" w:color="auto" w:fill="auto"/>
            <w:noWrap/>
            <w:vAlign w:val="bottom"/>
          </w:tcPr>
          <w:p w14:paraId="630D379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53" w:type="dxa"/>
            <w:shd w:val="clear" w:color="auto" w:fill="auto"/>
            <w:noWrap/>
            <w:vAlign w:val="bottom"/>
          </w:tcPr>
          <w:p w14:paraId="0D1A23C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240" w:type="dxa"/>
            <w:shd w:val="clear" w:color="auto" w:fill="auto"/>
            <w:noWrap/>
            <w:vAlign w:val="bottom"/>
          </w:tcPr>
          <w:p w14:paraId="3EDC2CB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065" w:type="dxa"/>
            <w:shd w:val="clear" w:color="auto" w:fill="auto"/>
            <w:noWrap/>
            <w:vAlign w:val="bottom"/>
          </w:tcPr>
          <w:p w14:paraId="1FAB452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53" w:type="dxa"/>
            <w:shd w:val="clear" w:color="auto" w:fill="auto"/>
            <w:noWrap/>
            <w:vAlign w:val="bottom"/>
          </w:tcPr>
          <w:p w14:paraId="08882A7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37 873</w:t>
            </w:r>
          </w:p>
        </w:tc>
      </w:tr>
      <w:tr w:rsidR="00744544" w:rsidRPr="00A66C9F" w14:paraId="6C5123F9" w14:textId="77777777" w:rsidTr="00107D5D">
        <w:tc>
          <w:tcPr>
            <w:tcW w:w="2934" w:type="dxa"/>
            <w:shd w:val="clear" w:color="auto" w:fill="auto"/>
            <w:noWrap/>
            <w:vAlign w:val="bottom"/>
          </w:tcPr>
          <w:p w14:paraId="01A9FA0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Titres adossés à des créances hypothécaires</w:t>
            </w:r>
          </w:p>
        </w:tc>
        <w:tc>
          <w:tcPr>
            <w:tcW w:w="1152" w:type="dxa"/>
            <w:shd w:val="clear" w:color="auto" w:fill="auto"/>
            <w:noWrap/>
            <w:vAlign w:val="bottom"/>
          </w:tcPr>
          <w:p w14:paraId="70EABDE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704 655</w:t>
            </w:r>
          </w:p>
        </w:tc>
        <w:tc>
          <w:tcPr>
            <w:tcW w:w="1153" w:type="dxa"/>
            <w:shd w:val="clear" w:color="auto" w:fill="auto"/>
            <w:noWrap/>
            <w:vAlign w:val="bottom"/>
          </w:tcPr>
          <w:p w14:paraId="788355E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53" w:type="dxa"/>
            <w:shd w:val="clear" w:color="auto" w:fill="auto"/>
            <w:noWrap/>
            <w:vAlign w:val="bottom"/>
          </w:tcPr>
          <w:p w14:paraId="61844DC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240" w:type="dxa"/>
            <w:shd w:val="clear" w:color="auto" w:fill="auto"/>
            <w:noWrap/>
            <w:vAlign w:val="bottom"/>
          </w:tcPr>
          <w:p w14:paraId="2BA8755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065" w:type="dxa"/>
            <w:shd w:val="clear" w:color="auto" w:fill="auto"/>
            <w:noWrap/>
            <w:vAlign w:val="bottom"/>
          </w:tcPr>
          <w:p w14:paraId="78A9ED8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53" w:type="dxa"/>
            <w:shd w:val="clear" w:color="auto" w:fill="auto"/>
            <w:noWrap/>
            <w:vAlign w:val="bottom"/>
          </w:tcPr>
          <w:p w14:paraId="2A0A685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704 655</w:t>
            </w:r>
          </w:p>
        </w:tc>
      </w:tr>
      <w:tr w:rsidR="00744544" w:rsidRPr="00A66C9F" w14:paraId="0666BECC" w14:textId="77777777" w:rsidTr="00107D5D">
        <w:tc>
          <w:tcPr>
            <w:tcW w:w="2934" w:type="dxa"/>
            <w:tcBorders>
              <w:bottom w:val="single" w:sz="4" w:space="0" w:color="auto"/>
            </w:tcBorders>
            <w:shd w:val="clear" w:color="auto" w:fill="auto"/>
            <w:noWrap/>
            <w:vAlign w:val="bottom"/>
            <w:hideMark/>
          </w:tcPr>
          <w:p w14:paraId="7FDDEFE7" w14:textId="77777777" w:rsidR="00744544" w:rsidRPr="00A66C9F" w:rsidRDefault="00744544" w:rsidP="00107D5D">
            <w:pPr>
              <w:tabs>
                <w:tab w:val="left" w:pos="288"/>
                <w:tab w:val="left" w:pos="576"/>
                <w:tab w:val="left" w:pos="864"/>
                <w:tab w:val="left" w:pos="1152"/>
              </w:tabs>
              <w:suppressAutoHyphens/>
              <w:spacing w:before="40" w:after="81" w:line="210" w:lineRule="exact"/>
              <w:ind w:right="40"/>
              <w:rPr>
                <w:sz w:val="17"/>
                <w:lang w:val="fr-FR"/>
              </w:rPr>
            </w:pPr>
            <w:r w:rsidRPr="00A66C9F">
              <w:rPr>
                <w:sz w:val="17"/>
                <w:lang w:val="fr-FR"/>
              </w:rPr>
              <w:t>Fonds – obligations de sociétés</w:t>
            </w:r>
          </w:p>
        </w:tc>
        <w:tc>
          <w:tcPr>
            <w:tcW w:w="1152" w:type="dxa"/>
            <w:tcBorders>
              <w:bottom w:val="single" w:sz="4" w:space="0" w:color="auto"/>
            </w:tcBorders>
            <w:shd w:val="clear" w:color="auto" w:fill="auto"/>
            <w:noWrap/>
            <w:vAlign w:val="bottom"/>
          </w:tcPr>
          <w:p w14:paraId="00497937"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w:t>
            </w:r>
          </w:p>
        </w:tc>
        <w:tc>
          <w:tcPr>
            <w:tcW w:w="1153" w:type="dxa"/>
            <w:tcBorders>
              <w:bottom w:val="single" w:sz="4" w:space="0" w:color="auto"/>
            </w:tcBorders>
            <w:shd w:val="clear" w:color="auto" w:fill="auto"/>
            <w:noWrap/>
            <w:vAlign w:val="bottom"/>
          </w:tcPr>
          <w:p w14:paraId="1DBBF60B"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w:t>
            </w:r>
          </w:p>
        </w:tc>
        <w:tc>
          <w:tcPr>
            <w:tcW w:w="1153" w:type="dxa"/>
            <w:tcBorders>
              <w:bottom w:val="single" w:sz="4" w:space="0" w:color="auto"/>
            </w:tcBorders>
            <w:shd w:val="clear" w:color="auto" w:fill="auto"/>
            <w:noWrap/>
            <w:vAlign w:val="bottom"/>
          </w:tcPr>
          <w:p w14:paraId="4EDACD47"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w:t>
            </w:r>
          </w:p>
        </w:tc>
        <w:tc>
          <w:tcPr>
            <w:tcW w:w="1240" w:type="dxa"/>
            <w:tcBorders>
              <w:bottom w:val="single" w:sz="4" w:space="0" w:color="auto"/>
            </w:tcBorders>
            <w:shd w:val="clear" w:color="auto" w:fill="auto"/>
            <w:noWrap/>
            <w:vAlign w:val="bottom"/>
          </w:tcPr>
          <w:p w14:paraId="3B01F762"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w:t>
            </w:r>
          </w:p>
        </w:tc>
        <w:tc>
          <w:tcPr>
            <w:tcW w:w="1065" w:type="dxa"/>
            <w:tcBorders>
              <w:bottom w:val="single" w:sz="4" w:space="0" w:color="auto"/>
            </w:tcBorders>
            <w:shd w:val="clear" w:color="auto" w:fill="auto"/>
            <w:noWrap/>
            <w:vAlign w:val="bottom"/>
          </w:tcPr>
          <w:p w14:paraId="557C353B"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53 740</w:t>
            </w:r>
          </w:p>
        </w:tc>
        <w:tc>
          <w:tcPr>
            <w:tcW w:w="1153" w:type="dxa"/>
            <w:tcBorders>
              <w:bottom w:val="single" w:sz="4" w:space="0" w:color="auto"/>
            </w:tcBorders>
            <w:shd w:val="clear" w:color="auto" w:fill="auto"/>
            <w:noWrap/>
            <w:vAlign w:val="bottom"/>
          </w:tcPr>
          <w:p w14:paraId="1912EEFA"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53 740</w:t>
            </w:r>
          </w:p>
        </w:tc>
      </w:tr>
      <w:tr w:rsidR="00744544" w:rsidRPr="00A66C9F" w14:paraId="24398CD5" w14:textId="77777777" w:rsidTr="00107D5D">
        <w:tc>
          <w:tcPr>
            <w:tcW w:w="2934" w:type="dxa"/>
            <w:tcBorders>
              <w:top w:val="single" w:sz="4" w:space="0" w:color="auto"/>
              <w:bottom w:val="single" w:sz="4" w:space="0" w:color="auto"/>
            </w:tcBorders>
            <w:shd w:val="clear" w:color="auto" w:fill="auto"/>
            <w:noWrap/>
            <w:vAlign w:val="bottom"/>
            <w:hideMark/>
          </w:tcPr>
          <w:p w14:paraId="2EB240A6" w14:textId="77777777" w:rsidR="00744544" w:rsidRPr="00A66C9F" w:rsidRDefault="00744544" w:rsidP="00107D5D">
            <w:pPr>
              <w:tabs>
                <w:tab w:val="left" w:pos="288"/>
                <w:tab w:val="left" w:pos="576"/>
                <w:tab w:val="left" w:pos="864"/>
                <w:tab w:val="left" w:pos="1152"/>
              </w:tabs>
              <w:suppressAutoHyphens/>
              <w:spacing w:before="81" w:after="81" w:line="210" w:lineRule="exact"/>
              <w:ind w:right="40"/>
              <w:rPr>
                <w:b/>
                <w:sz w:val="17"/>
                <w:lang w:val="fr-FR"/>
              </w:rPr>
            </w:pPr>
            <w:r w:rsidRPr="00A66C9F">
              <w:rPr>
                <w:b/>
                <w:sz w:val="17"/>
                <w:lang w:val="fr-FR"/>
              </w:rPr>
              <w:tab/>
              <w:t>Total</w:t>
            </w:r>
          </w:p>
        </w:tc>
        <w:tc>
          <w:tcPr>
            <w:tcW w:w="1152" w:type="dxa"/>
            <w:tcBorders>
              <w:top w:val="single" w:sz="4" w:space="0" w:color="auto"/>
              <w:bottom w:val="single" w:sz="4" w:space="0" w:color="auto"/>
            </w:tcBorders>
            <w:shd w:val="clear" w:color="auto" w:fill="auto"/>
            <w:vAlign w:val="bottom"/>
          </w:tcPr>
          <w:p w14:paraId="0766DE0D"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16 670 678</w:t>
            </w:r>
          </w:p>
        </w:tc>
        <w:tc>
          <w:tcPr>
            <w:tcW w:w="1153" w:type="dxa"/>
            <w:tcBorders>
              <w:top w:val="single" w:sz="4" w:space="0" w:color="auto"/>
              <w:bottom w:val="single" w:sz="4" w:space="0" w:color="auto"/>
            </w:tcBorders>
            <w:shd w:val="clear" w:color="auto" w:fill="auto"/>
            <w:vAlign w:val="bottom"/>
          </w:tcPr>
          <w:p w14:paraId="10613F9D"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1 943 627</w:t>
            </w:r>
          </w:p>
        </w:tc>
        <w:tc>
          <w:tcPr>
            <w:tcW w:w="1153" w:type="dxa"/>
            <w:tcBorders>
              <w:top w:val="single" w:sz="4" w:space="0" w:color="auto"/>
              <w:bottom w:val="single" w:sz="4" w:space="0" w:color="auto"/>
            </w:tcBorders>
            <w:shd w:val="clear" w:color="auto" w:fill="auto"/>
            <w:vAlign w:val="bottom"/>
          </w:tcPr>
          <w:p w14:paraId="7DD227EC"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1 153 639</w:t>
            </w:r>
          </w:p>
        </w:tc>
        <w:tc>
          <w:tcPr>
            <w:tcW w:w="1240" w:type="dxa"/>
            <w:tcBorders>
              <w:top w:val="single" w:sz="4" w:space="0" w:color="auto"/>
              <w:bottom w:val="single" w:sz="4" w:space="0" w:color="auto"/>
            </w:tcBorders>
            <w:shd w:val="clear" w:color="auto" w:fill="auto"/>
            <w:vAlign w:val="bottom"/>
          </w:tcPr>
          <w:p w14:paraId="02528A4A"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590 847</w:t>
            </w:r>
          </w:p>
        </w:tc>
        <w:tc>
          <w:tcPr>
            <w:tcW w:w="1065" w:type="dxa"/>
            <w:tcBorders>
              <w:top w:val="single" w:sz="4" w:space="0" w:color="auto"/>
              <w:bottom w:val="single" w:sz="4" w:space="0" w:color="auto"/>
            </w:tcBorders>
            <w:shd w:val="clear" w:color="auto" w:fill="auto"/>
            <w:vAlign w:val="bottom"/>
          </w:tcPr>
          <w:p w14:paraId="338FEE9C"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53 740</w:t>
            </w:r>
          </w:p>
        </w:tc>
        <w:tc>
          <w:tcPr>
            <w:tcW w:w="1153" w:type="dxa"/>
            <w:tcBorders>
              <w:top w:val="single" w:sz="4" w:space="0" w:color="auto"/>
              <w:bottom w:val="single" w:sz="4" w:space="0" w:color="auto"/>
            </w:tcBorders>
            <w:shd w:val="clear" w:color="auto" w:fill="auto"/>
            <w:vAlign w:val="bottom"/>
          </w:tcPr>
          <w:p w14:paraId="33C19338"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20 412 531</w:t>
            </w:r>
          </w:p>
        </w:tc>
      </w:tr>
      <w:tr w:rsidR="00744544" w:rsidRPr="00A66C9F" w14:paraId="10B36A10" w14:textId="77777777" w:rsidTr="00107D5D">
        <w:tc>
          <w:tcPr>
            <w:tcW w:w="2934" w:type="dxa"/>
            <w:tcBorders>
              <w:top w:val="single" w:sz="4" w:space="0" w:color="auto"/>
              <w:bottom w:val="single" w:sz="12" w:space="0" w:color="auto"/>
            </w:tcBorders>
            <w:shd w:val="clear" w:color="auto" w:fill="auto"/>
            <w:noWrap/>
            <w:vAlign w:val="bottom"/>
          </w:tcPr>
          <w:p w14:paraId="4EDC97C7" w14:textId="77777777" w:rsidR="00744544" w:rsidRPr="00A66C9F" w:rsidRDefault="00744544" w:rsidP="00107D5D">
            <w:pPr>
              <w:tabs>
                <w:tab w:val="left" w:pos="288"/>
                <w:tab w:val="left" w:pos="576"/>
                <w:tab w:val="left" w:pos="864"/>
                <w:tab w:val="left" w:pos="1152"/>
              </w:tabs>
              <w:suppressAutoHyphens/>
              <w:spacing w:before="81" w:after="81" w:line="210" w:lineRule="exact"/>
              <w:ind w:right="40"/>
              <w:rPr>
                <w:b/>
                <w:sz w:val="17"/>
                <w:lang w:val="fr-FR"/>
              </w:rPr>
            </w:pPr>
            <w:r w:rsidRPr="00A66C9F">
              <w:rPr>
                <w:b/>
                <w:sz w:val="17"/>
                <w:lang w:val="fr-FR"/>
              </w:rPr>
              <w:tab/>
              <w:t>Pourcentage</w:t>
            </w:r>
          </w:p>
        </w:tc>
        <w:tc>
          <w:tcPr>
            <w:tcW w:w="1152" w:type="dxa"/>
            <w:tcBorders>
              <w:top w:val="single" w:sz="4" w:space="0" w:color="auto"/>
              <w:bottom w:val="single" w:sz="12" w:space="0" w:color="auto"/>
            </w:tcBorders>
            <w:shd w:val="clear" w:color="auto" w:fill="auto"/>
            <w:vAlign w:val="bottom"/>
          </w:tcPr>
          <w:p w14:paraId="7FB7834F"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81,6</w:t>
            </w:r>
          </w:p>
        </w:tc>
        <w:tc>
          <w:tcPr>
            <w:tcW w:w="1153" w:type="dxa"/>
            <w:tcBorders>
              <w:top w:val="single" w:sz="4" w:space="0" w:color="auto"/>
              <w:bottom w:val="single" w:sz="12" w:space="0" w:color="auto"/>
            </w:tcBorders>
            <w:shd w:val="clear" w:color="auto" w:fill="auto"/>
            <w:vAlign w:val="bottom"/>
          </w:tcPr>
          <w:p w14:paraId="3E355B9F"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9,5</w:t>
            </w:r>
          </w:p>
        </w:tc>
        <w:tc>
          <w:tcPr>
            <w:tcW w:w="1153" w:type="dxa"/>
            <w:tcBorders>
              <w:top w:val="single" w:sz="4" w:space="0" w:color="auto"/>
              <w:bottom w:val="single" w:sz="12" w:space="0" w:color="auto"/>
            </w:tcBorders>
            <w:shd w:val="clear" w:color="auto" w:fill="auto"/>
            <w:vAlign w:val="bottom"/>
          </w:tcPr>
          <w:p w14:paraId="2008A839"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5,7</w:t>
            </w:r>
          </w:p>
        </w:tc>
        <w:tc>
          <w:tcPr>
            <w:tcW w:w="1240" w:type="dxa"/>
            <w:tcBorders>
              <w:top w:val="single" w:sz="4" w:space="0" w:color="auto"/>
              <w:bottom w:val="single" w:sz="12" w:space="0" w:color="auto"/>
            </w:tcBorders>
            <w:shd w:val="clear" w:color="auto" w:fill="auto"/>
            <w:vAlign w:val="bottom"/>
          </w:tcPr>
          <w:p w14:paraId="072A54CC"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2,9</w:t>
            </w:r>
          </w:p>
        </w:tc>
        <w:tc>
          <w:tcPr>
            <w:tcW w:w="1065" w:type="dxa"/>
            <w:tcBorders>
              <w:top w:val="single" w:sz="4" w:space="0" w:color="auto"/>
              <w:bottom w:val="single" w:sz="12" w:space="0" w:color="auto"/>
            </w:tcBorders>
            <w:shd w:val="clear" w:color="auto" w:fill="auto"/>
            <w:vAlign w:val="bottom"/>
          </w:tcPr>
          <w:p w14:paraId="7E03D186"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0,3</w:t>
            </w:r>
          </w:p>
        </w:tc>
        <w:tc>
          <w:tcPr>
            <w:tcW w:w="1153" w:type="dxa"/>
            <w:tcBorders>
              <w:top w:val="single" w:sz="4" w:space="0" w:color="auto"/>
              <w:bottom w:val="single" w:sz="12" w:space="0" w:color="auto"/>
            </w:tcBorders>
            <w:shd w:val="clear" w:color="auto" w:fill="auto"/>
            <w:vAlign w:val="bottom"/>
          </w:tcPr>
          <w:p w14:paraId="738A0374"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100,0</w:t>
            </w:r>
          </w:p>
        </w:tc>
      </w:tr>
      <w:bookmarkEnd w:id="463"/>
    </w:tbl>
    <w:p w14:paraId="4DF89119" w14:textId="77777777" w:rsidR="00744544" w:rsidRPr="00A66C9F" w:rsidRDefault="00744544" w:rsidP="00744544">
      <w:pPr>
        <w:pStyle w:val="SingleTxt"/>
        <w:spacing w:after="0" w:line="120" w:lineRule="exact"/>
        <w:rPr>
          <w:sz w:val="10"/>
          <w:lang w:val="fr-FR"/>
        </w:rPr>
      </w:pPr>
    </w:p>
    <w:p w14:paraId="53E34924" w14:textId="77777777" w:rsidR="00744544" w:rsidRPr="00A66C9F" w:rsidRDefault="00744544" w:rsidP="00744544">
      <w:pPr>
        <w:pStyle w:val="FootnoteText"/>
        <w:tabs>
          <w:tab w:val="right" w:pos="216"/>
          <w:tab w:val="left" w:pos="288"/>
          <w:tab w:val="right" w:pos="576"/>
          <w:tab w:val="left" w:pos="648"/>
        </w:tabs>
        <w:suppressAutoHyphens/>
        <w:ind w:left="288" w:hanging="288"/>
        <w:rPr>
          <w:lang w:val="fr-FR"/>
        </w:rPr>
      </w:pPr>
      <w:r w:rsidRPr="00A66C9F">
        <w:rPr>
          <w:i/>
          <w:iCs/>
          <w:vertAlign w:val="superscript"/>
          <w:lang w:val="fr-FR"/>
        </w:rPr>
        <w:tab/>
        <w:t>a</w:t>
      </w:r>
      <w:r w:rsidRPr="00A66C9F">
        <w:rPr>
          <w:lang w:val="fr-FR"/>
        </w:rPr>
        <w:tab/>
        <w:t>Un titre, d’un montant de 53,7 millions de dollars placés dans un fonds obligataire, qui n’a donc pas été évalué par les agences de notation.</w:t>
      </w:r>
    </w:p>
    <w:p w14:paraId="5179DAD8" w14:textId="77777777" w:rsidR="00744544" w:rsidRPr="00A66C9F" w:rsidRDefault="00744544" w:rsidP="00744544">
      <w:pPr>
        <w:pStyle w:val="SingleTxt"/>
        <w:spacing w:after="0" w:line="120" w:lineRule="exact"/>
        <w:rPr>
          <w:sz w:val="10"/>
          <w:lang w:val="fr-FR"/>
        </w:rPr>
      </w:pPr>
    </w:p>
    <w:p w14:paraId="4ACD7878" w14:textId="77777777" w:rsidR="00744544" w:rsidRPr="00A66C9F" w:rsidRDefault="00744544" w:rsidP="00744544">
      <w:pPr>
        <w:pStyle w:val="SingleTxt"/>
        <w:spacing w:after="0" w:line="120" w:lineRule="exact"/>
        <w:rPr>
          <w:sz w:val="10"/>
          <w:lang w:val="fr-FR"/>
        </w:rPr>
      </w:pPr>
    </w:p>
    <w:p w14:paraId="479371EE" w14:textId="77777777" w:rsidR="00744544" w:rsidRPr="00A66C9F" w:rsidRDefault="00744544" w:rsidP="00744544">
      <w:pPr>
        <w:pStyle w:val="SingleTxt"/>
        <w:spacing w:after="0" w:line="120" w:lineRule="exact"/>
        <w:rPr>
          <w:sz w:val="10"/>
          <w:lang w:val="fr-FR"/>
        </w:rPr>
      </w:pPr>
    </w:p>
    <w:p w14:paraId="7E86853C" w14:textId="77777777" w:rsidR="00744544" w:rsidRPr="00A66C9F" w:rsidRDefault="00744544" w:rsidP="0074454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sz w:val="14"/>
          <w:szCs w:val="14"/>
          <w:lang w:val="fr-FR"/>
        </w:rPr>
        <w:t>(En milliers de dollars des États-Unis)</w:t>
      </w:r>
    </w:p>
    <w:p w14:paraId="09B23D78" w14:textId="77777777" w:rsidR="00744544" w:rsidRPr="00A66C9F" w:rsidRDefault="00744544" w:rsidP="00744544">
      <w:pPr>
        <w:pStyle w:val="SingleTxt"/>
        <w:spacing w:after="0" w:line="120" w:lineRule="exact"/>
        <w:rPr>
          <w:sz w:val="10"/>
          <w:lang w:val="fr-FR"/>
        </w:rPr>
      </w:pPr>
    </w:p>
    <w:p w14:paraId="15ECE303" w14:textId="77777777" w:rsidR="00744544" w:rsidRPr="00A66C9F" w:rsidRDefault="00744544" w:rsidP="00744544">
      <w:pPr>
        <w:pStyle w:val="SingleTxt"/>
        <w:spacing w:after="0" w:line="120" w:lineRule="exact"/>
        <w:rPr>
          <w:sz w:val="10"/>
          <w:lang w:val="fr-FR"/>
        </w:rPr>
      </w:pPr>
    </w:p>
    <w:tbl>
      <w:tblPr>
        <w:tblW w:w="5005" w:type="pct"/>
        <w:tblLayout w:type="fixed"/>
        <w:tblCellMar>
          <w:left w:w="0" w:type="dxa"/>
          <w:right w:w="0" w:type="dxa"/>
        </w:tblCellMar>
        <w:tblLook w:val="04A0" w:firstRow="1" w:lastRow="0" w:firstColumn="1" w:lastColumn="0" w:noHBand="0" w:noVBand="1"/>
      </w:tblPr>
      <w:tblGrid>
        <w:gridCol w:w="2934"/>
        <w:gridCol w:w="1152"/>
        <w:gridCol w:w="1153"/>
        <w:gridCol w:w="1153"/>
        <w:gridCol w:w="1231"/>
        <w:gridCol w:w="1074"/>
        <w:gridCol w:w="1153"/>
      </w:tblGrid>
      <w:tr w:rsidR="00744544" w:rsidRPr="00A66C9F" w14:paraId="1CF7418F" w14:textId="77777777" w:rsidTr="00107D5D">
        <w:trPr>
          <w:tblHeader/>
        </w:trPr>
        <w:tc>
          <w:tcPr>
            <w:tcW w:w="2934" w:type="dxa"/>
            <w:tcBorders>
              <w:top w:val="single" w:sz="4" w:space="0" w:color="auto"/>
            </w:tcBorders>
            <w:shd w:val="clear" w:color="auto" w:fill="auto"/>
            <w:vAlign w:val="bottom"/>
          </w:tcPr>
          <w:p w14:paraId="3BCDA954" w14:textId="77777777" w:rsidR="00744544" w:rsidRPr="00A66C9F" w:rsidRDefault="00744544" w:rsidP="00107D5D">
            <w:pPr>
              <w:suppressAutoHyphens/>
              <w:spacing w:before="81" w:after="81" w:line="160" w:lineRule="exact"/>
              <w:ind w:right="40"/>
              <w:rPr>
                <w:i/>
                <w:sz w:val="14"/>
                <w:lang w:val="fr-FR"/>
              </w:rPr>
            </w:pPr>
          </w:p>
        </w:tc>
        <w:tc>
          <w:tcPr>
            <w:tcW w:w="6916" w:type="dxa"/>
            <w:gridSpan w:val="6"/>
            <w:tcBorders>
              <w:top w:val="single" w:sz="4" w:space="0" w:color="auto"/>
              <w:bottom w:val="single" w:sz="4" w:space="0" w:color="auto"/>
            </w:tcBorders>
            <w:shd w:val="clear" w:color="auto" w:fill="auto"/>
            <w:vAlign w:val="bottom"/>
          </w:tcPr>
          <w:p w14:paraId="5BE5E10B" w14:textId="77777777" w:rsidR="00744544" w:rsidRPr="00A66C9F" w:rsidRDefault="00744544" w:rsidP="00107D5D">
            <w:pPr>
              <w:suppressAutoHyphens/>
              <w:spacing w:before="81" w:after="81" w:line="160" w:lineRule="exact"/>
              <w:ind w:right="43"/>
              <w:jc w:val="center"/>
              <w:rPr>
                <w:i/>
                <w:sz w:val="14"/>
                <w:lang w:val="fr-FR"/>
              </w:rPr>
            </w:pPr>
            <w:r w:rsidRPr="00A66C9F">
              <w:rPr>
                <w:i/>
                <w:sz w:val="14"/>
                <w:lang w:val="fr-FR"/>
              </w:rPr>
              <w:t>31 décembre 2018</w:t>
            </w:r>
          </w:p>
        </w:tc>
      </w:tr>
      <w:tr w:rsidR="00744544" w:rsidRPr="00A66C9F" w14:paraId="3E658E2A" w14:textId="77777777" w:rsidTr="00107D5D">
        <w:trPr>
          <w:tblHeader/>
        </w:trPr>
        <w:tc>
          <w:tcPr>
            <w:tcW w:w="2934" w:type="dxa"/>
            <w:tcBorders>
              <w:bottom w:val="single" w:sz="12" w:space="0" w:color="auto"/>
            </w:tcBorders>
            <w:shd w:val="clear" w:color="auto" w:fill="auto"/>
            <w:vAlign w:val="bottom"/>
            <w:hideMark/>
          </w:tcPr>
          <w:p w14:paraId="549AC744" w14:textId="77777777" w:rsidR="00744544" w:rsidRPr="00A66C9F" w:rsidRDefault="00744544" w:rsidP="00107D5D">
            <w:pPr>
              <w:suppressAutoHyphens/>
              <w:spacing w:before="81" w:after="81" w:line="160" w:lineRule="exact"/>
              <w:ind w:right="40"/>
              <w:rPr>
                <w:i/>
                <w:sz w:val="14"/>
                <w:lang w:val="fr-FR"/>
              </w:rPr>
            </w:pPr>
            <w:r w:rsidRPr="00A66C9F">
              <w:rPr>
                <w:i/>
                <w:sz w:val="14"/>
                <w:lang w:val="fr-FR"/>
              </w:rPr>
              <w:t>Valeurs à revenu fixe</w:t>
            </w:r>
          </w:p>
        </w:tc>
        <w:tc>
          <w:tcPr>
            <w:tcW w:w="1152" w:type="dxa"/>
            <w:tcBorders>
              <w:top w:val="single" w:sz="4" w:space="0" w:color="auto"/>
              <w:bottom w:val="single" w:sz="12" w:space="0" w:color="auto"/>
            </w:tcBorders>
            <w:shd w:val="clear" w:color="auto" w:fill="auto"/>
            <w:vAlign w:val="bottom"/>
            <w:hideMark/>
          </w:tcPr>
          <w:p w14:paraId="50DB5E02"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Aaa/AA à Aa3/AA-</w:t>
            </w:r>
          </w:p>
        </w:tc>
        <w:tc>
          <w:tcPr>
            <w:tcW w:w="1153" w:type="dxa"/>
            <w:tcBorders>
              <w:top w:val="single" w:sz="4" w:space="0" w:color="auto"/>
              <w:bottom w:val="single" w:sz="12" w:space="0" w:color="auto"/>
            </w:tcBorders>
            <w:shd w:val="clear" w:color="auto" w:fill="auto"/>
            <w:vAlign w:val="bottom"/>
            <w:hideMark/>
          </w:tcPr>
          <w:p w14:paraId="0AB2588F"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A1/A+ à A3/A-</w:t>
            </w:r>
          </w:p>
        </w:tc>
        <w:tc>
          <w:tcPr>
            <w:tcW w:w="1153" w:type="dxa"/>
            <w:tcBorders>
              <w:top w:val="single" w:sz="4" w:space="0" w:color="auto"/>
              <w:bottom w:val="single" w:sz="12" w:space="0" w:color="auto"/>
            </w:tcBorders>
            <w:shd w:val="clear" w:color="auto" w:fill="auto"/>
            <w:vAlign w:val="bottom"/>
            <w:hideMark/>
          </w:tcPr>
          <w:p w14:paraId="76FC13A7"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Baa1/BBB+ à Baa3/BBB-</w:t>
            </w:r>
          </w:p>
        </w:tc>
        <w:tc>
          <w:tcPr>
            <w:tcW w:w="1231" w:type="dxa"/>
            <w:tcBorders>
              <w:top w:val="single" w:sz="4" w:space="0" w:color="auto"/>
              <w:bottom w:val="single" w:sz="12" w:space="0" w:color="auto"/>
            </w:tcBorders>
            <w:shd w:val="clear" w:color="auto" w:fill="auto"/>
            <w:vAlign w:val="bottom"/>
            <w:hideMark/>
          </w:tcPr>
          <w:p w14:paraId="3F8AE63A"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Ba1/BB+ à B3/B-</w:t>
            </w:r>
          </w:p>
        </w:tc>
        <w:tc>
          <w:tcPr>
            <w:tcW w:w="1074" w:type="dxa"/>
            <w:tcBorders>
              <w:top w:val="single" w:sz="4" w:space="0" w:color="auto"/>
              <w:bottom w:val="single" w:sz="12" w:space="0" w:color="auto"/>
            </w:tcBorders>
            <w:shd w:val="clear" w:color="auto" w:fill="auto"/>
            <w:vAlign w:val="bottom"/>
            <w:hideMark/>
          </w:tcPr>
          <w:p w14:paraId="4EAF22F3"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Sans note</w:t>
            </w:r>
            <w:r w:rsidRPr="00A66C9F">
              <w:rPr>
                <w:i/>
                <w:sz w:val="14"/>
                <w:vertAlign w:val="superscript"/>
                <w:lang w:val="fr-FR"/>
              </w:rPr>
              <w:t>a</w:t>
            </w:r>
          </w:p>
        </w:tc>
        <w:tc>
          <w:tcPr>
            <w:tcW w:w="1153" w:type="dxa"/>
            <w:tcBorders>
              <w:top w:val="single" w:sz="4" w:space="0" w:color="auto"/>
              <w:bottom w:val="single" w:sz="12" w:space="0" w:color="auto"/>
            </w:tcBorders>
            <w:shd w:val="clear" w:color="auto" w:fill="auto"/>
            <w:vAlign w:val="bottom"/>
            <w:hideMark/>
          </w:tcPr>
          <w:p w14:paraId="2FDCA2FD"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Total</w:t>
            </w:r>
          </w:p>
        </w:tc>
      </w:tr>
      <w:tr w:rsidR="00744544" w:rsidRPr="00A66C9F" w14:paraId="3552443A" w14:textId="77777777" w:rsidTr="00107D5D">
        <w:trPr>
          <w:trHeight w:hRule="exact" w:val="115"/>
          <w:tblHeader/>
        </w:trPr>
        <w:tc>
          <w:tcPr>
            <w:tcW w:w="2934" w:type="dxa"/>
            <w:tcBorders>
              <w:top w:val="single" w:sz="12" w:space="0" w:color="auto"/>
            </w:tcBorders>
            <w:shd w:val="clear" w:color="auto" w:fill="auto"/>
            <w:noWrap/>
            <w:vAlign w:val="bottom"/>
          </w:tcPr>
          <w:p w14:paraId="590BBB52" w14:textId="77777777" w:rsidR="00744544" w:rsidRPr="00A66C9F" w:rsidRDefault="00744544" w:rsidP="00107D5D">
            <w:pPr>
              <w:suppressAutoHyphens/>
              <w:spacing w:before="40" w:after="40" w:line="210" w:lineRule="exact"/>
              <w:ind w:right="40"/>
              <w:rPr>
                <w:sz w:val="17"/>
                <w:lang w:val="fr-FR"/>
              </w:rPr>
            </w:pPr>
          </w:p>
        </w:tc>
        <w:tc>
          <w:tcPr>
            <w:tcW w:w="1152" w:type="dxa"/>
            <w:tcBorders>
              <w:top w:val="single" w:sz="12" w:space="0" w:color="auto"/>
            </w:tcBorders>
            <w:shd w:val="clear" w:color="auto" w:fill="auto"/>
            <w:noWrap/>
            <w:vAlign w:val="bottom"/>
          </w:tcPr>
          <w:p w14:paraId="321E1F5E" w14:textId="77777777" w:rsidR="00744544" w:rsidRPr="00A66C9F" w:rsidRDefault="00744544" w:rsidP="00107D5D">
            <w:pPr>
              <w:suppressAutoHyphens/>
              <w:spacing w:before="40" w:after="40" w:line="210" w:lineRule="exact"/>
              <w:ind w:right="43"/>
              <w:jc w:val="right"/>
              <w:rPr>
                <w:sz w:val="17"/>
                <w:lang w:val="fr-FR"/>
              </w:rPr>
            </w:pPr>
          </w:p>
        </w:tc>
        <w:tc>
          <w:tcPr>
            <w:tcW w:w="1153" w:type="dxa"/>
            <w:tcBorders>
              <w:top w:val="single" w:sz="12" w:space="0" w:color="auto"/>
            </w:tcBorders>
            <w:shd w:val="clear" w:color="auto" w:fill="auto"/>
            <w:noWrap/>
            <w:vAlign w:val="bottom"/>
          </w:tcPr>
          <w:p w14:paraId="48A6262D" w14:textId="77777777" w:rsidR="00744544" w:rsidRPr="00A66C9F" w:rsidRDefault="00744544" w:rsidP="00107D5D">
            <w:pPr>
              <w:suppressAutoHyphens/>
              <w:spacing w:before="40" w:after="40" w:line="210" w:lineRule="exact"/>
              <w:ind w:right="43"/>
              <w:jc w:val="right"/>
              <w:rPr>
                <w:sz w:val="17"/>
                <w:lang w:val="fr-FR"/>
              </w:rPr>
            </w:pPr>
          </w:p>
        </w:tc>
        <w:tc>
          <w:tcPr>
            <w:tcW w:w="1153" w:type="dxa"/>
            <w:tcBorders>
              <w:top w:val="single" w:sz="12" w:space="0" w:color="auto"/>
            </w:tcBorders>
            <w:shd w:val="clear" w:color="auto" w:fill="auto"/>
            <w:noWrap/>
            <w:vAlign w:val="bottom"/>
          </w:tcPr>
          <w:p w14:paraId="29135BB3" w14:textId="77777777" w:rsidR="00744544" w:rsidRPr="00A66C9F" w:rsidRDefault="00744544" w:rsidP="00107D5D">
            <w:pPr>
              <w:suppressAutoHyphens/>
              <w:spacing w:before="40" w:after="40" w:line="210" w:lineRule="exact"/>
              <w:ind w:right="43"/>
              <w:jc w:val="right"/>
              <w:rPr>
                <w:sz w:val="17"/>
                <w:lang w:val="fr-FR"/>
              </w:rPr>
            </w:pPr>
          </w:p>
        </w:tc>
        <w:tc>
          <w:tcPr>
            <w:tcW w:w="1231" w:type="dxa"/>
            <w:tcBorders>
              <w:top w:val="single" w:sz="12" w:space="0" w:color="auto"/>
            </w:tcBorders>
            <w:shd w:val="clear" w:color="auto" w:fill="auto"/>
            <w:noWrap/>
            <w:vAlign w:val="bottom"/>
          </w:tcPr>
          <w:p w14:paraId="66B1A337" w14:textId="77777777" w:rsidR="00744544" w:rsidRPr="00A66C9F" w:rsidRDefault="00744544" w:rsidP="00107D5D">
            <w:pPr>
              <w:suppressAutoHyphens/>
              <w:spacing w:before="40" w:after="40" w:line="210" w:lineRule="exact"/>
              <w:ind w:right="43"/>
              <w:jc w:val="right"/>
              <w:rPr>
                <w:sz w:val="17"/>
                <w:lang w:val="fr-FR"/>
              </w:rPr>
            </w:pPr>
          </w:p>
        </w:tc>
        <w:tc>
          <w:tcPr>
            <w:tcW w:w="1074" w:type="dxa"/>
            <w:tcBorders>
              <w:top w:val="single" w:sz="12" w:space="0" w:color="auto"/>
            </w:tcBorders>
            <w:shd w:val="clear" w:color="auto" w:fill="auto"/>
            <w:noWrap/>
            <w:vAlign w:val="bottom"/>
          </w:tcPr>
          <w:p w14:paraId="47CF4FDE" w14:textId="77777777" w:rsidR="00744544" w:rsidRPr="00A66C9F" w:rsidRDefault="00744544" w:rsidP="00107D5D">
            <w:pPr>
              <w:suppressAutoHyphens/>
              <w:spacing w:before="40" w:after="40" w:line="210" w:lineRule="exact"/>
              <w:ind w:right="43"/>
              <w:jc w:val="right"/>
              <w:rPr>
                <w:sz w:val="17"/>
                <w:lang w:val="fr-FR"/>
              </w:rPr>
            </w:pPr>
          </w:p>
        </w:tc>
        <w:tc>
          <w:tcPr>
            <w:tcW w:w="1153" w:type="dxa"/>
            <w:tcBorders>
              <w:top w:val="single" w:sz="12" w:space="0" w:color="auto"/>
            </w:tcBorders>
            <w:shd w:val="clear" w:color="auto" w:fill="auto"/>
            <w:noWrap/>
            <w:vAlign w:val="bottom"/>
          </w:tcPr>
          <w:p w14:paraId="7737DE26" w14:textId="77777777" w:rsidR="00744544" w:rsidRPr="00A66C9F" w:rsidRDefault="00744544" w:rsidP="00107D5D">
            <w:pPr>
              <w:suppressAutoHyphens/>
              <w:spacing w:before="40" w:after="40" w:line="210" w:lineRule="exact"/>
              <w:ind w:right="43"/>
              <w:jc w:val="right"/>
              <w:rPr>
                <w:sz w:val="17"/>
                <w:lang w:val="fr-FR"/>
              </w:rPr>
            </w:pPr>
          </w:p>
        </w:tc>
      </w:tr>
      <w:tr w:rsidR="00744544" w:rsidRPr="00A66C9F" w14:paraId="79AB5758" w14:textId="77777777" w:rsidTr="00107D5D">
        <w:tc>
          <w:tcPr>
            <w:tcW w:w="2934" w:type="dxa"/>
            <w:shd w:val="clear" w:color="auto" w:fill="auto"/>
            <w:noWrap/>
            <w:vAlign w:val="bottom"/>
            <w:hideMark/>
          </w:tcPr>
          <w:p w14:paraId="3010389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Obligations d’État et d’organismes publics</w:t>
            </w:r>
          </w:p>
        </w:tc>
        <w:tc>
          <w:tcPr>
            <w:tcW w:w="1152" w:type="dxa"/>
            <w:shd w:val="clear" w:color="auto" w:fill="auto"/>
            <w:noWrap/>
            <w:vAlign w:val="bottom"/>
            <w:hideMark/>
          </w:tcPr>
          <w:p w14:paraId="7958CD2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9 905 490</w:t>
            </w:r>
          </w:p>
        </w:tc>
        <w:tc>
          <w:tcPr>
            <w:tcW w:w="1153" w:type="dxa"/>
            <w:shd w:val="clear" w:color="auto" w:fill="auto"/>
            <w:noWrap/>
            <w:vAlign w:val="bottom"/>
            <w:hideMark/>
          </w:tcPr>
          <w:p w14:paraId="5EC437F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3 012 324</w:t>
            </w:r>
          </w:p>
        </w:tc>
        <w:tc>
          <w:tcPr>
            <w:tcW w:w="1153" w:type="dxa"/>
            <w:shd w:val="clear" w:color="auto" w:fill="auto"/>
            <w:noWrap/>
            <w:vAlign w:val="bottom"/>
            <w:hideMark/>
          </w:tcPr>
          <w:p w14:paraId="28A52D3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793 255</w:t>
            </w:r>
          </w:p>
        </w:tc>
        <w:tc>
          <w:tcPr>
            <w:tcW w:w="1231" w:type="dxa"/>
            <w:shd w:val="clear" w:color="auto" w:fill="auto"/>
            <w:noWrap/>
            <w:vAlign w:val="bottom"/>
            <w:hideMark/>
          </w:tcPr>
          <w:p w14:paraId="63C39EC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33 773</w:t>
            </w:r>
          </w:p>
        </w:tc>
        <w:tc>
          <w:tcPr>
            <w:tcW w:w="1074" w:type="dxa"/>
            <w:shd w:val="clear" w:color="auto" w:fill="auto"/>
            <w:noWrap/>
            <w:vAlign w:val="bottom"/>
            <w:hideMark/>
          </w:tcPr>
          <w:p w14:paraId="62AFC47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53" w:type="dxa"/>
            <w:shd w:val="clear" w:color="auto" w:fill="auto"/>
            <w:noWrap/>
            <w:vAlign w:val="bottom"/>
            <w:hideMark/>
          </w:tcPr>
          <w:p w14:paraId="0C10C03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13 744 842</w:t>
            </w:r>
          </w:p>
        </w:tc>
      </w:tr>
      <w:tr w:rsidR="00744544" w:rsidRPr="00A66C9F" w14:paraId="08377B67" w14:textId="77777777" w:rsidTr="00107D5D">
        <w:tc>
          <w:tcPr>
            <w:tcW w:w="2934" w:type="dxa"/>
            <w:shd w:val="clear" w:color="auto" w:fill="auto"/>
            <w:noWrap/>
            <w:vAlign w:val="bottom"/>
            <w:hideMark/>
          </w:tcPr>
          <w:p w14:paraId="3D42C8D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Obligations de sociétés</w:t>
            </w:r>
          </w:p>
        </w:tc>
        <w:tc>
          <w:tcPr>
            <w:tcW w:w="1152" w:type="dxa"/>
            <w:shd w:val="clear" w:color="auto" w:fill="auto"/>
            <w:noWrap/>
            <w:vAlign w:val="bottom"/>
            <w:hideMark/>
          </w:tcPr>
          <w:p w14:paraId="46200CA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1 172 546</w:t>
            </w:r>
          </w:p>
        </w:tc>
        <w:tc>
          <w:tcPr>
            <w:tcW w:w="1153" w:type="dxa"/>
            <w:shd w:val="clear" w:color="auto" w:fill="auto"/>
            <w:noWrap/>
            <w:vAlign w:val="bottom"/>
            <w:hideMark/>
          </w:tcPr>
          <w:p w14:paraId="5692BBC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1 971 865</w:t>
            </w:r>
          </w:p>
        </w:tc>
        <w:tc>
          <w:tcPr>
            <w:tcW w:w="1153" w:type="dxa"/>
            <w:shd w:val="clear" w:color="auto" w:fill="auto"/>
            <w:noWrap/>
            <w:vAlign w:val="bottom"/>
            <w:hideMark/>
          </w:tcPr>
          <w:p w14:paraId="563BDD2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640 768</w:t>
            </w:r>
          </w:p>
        </w:tc>
        <w:tc>
          <w:tcPr>
            <w:tcW w:w="1231" w:type="dxa"/>
            <w:shd w:val="clear" w:color="auto" w:fill="auto"/>
            <w:noWrap/>
            <w:vAlign w:val="bottom"/>
            <w:hideMark/>
          </w:tcPr>
          <w:p w14:paraId="51A0CD2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074" w:type="dxa"/>
            <w:shd w:val="clear" w:color="auto" w:fill="auto"/>
            <w:noWrap/>
            <w:vAlign w:val="bottom"/>
            <w:hideMark/>
          </w:tcPr>
          <w:p w14:paraId="20EC42A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53" w:type="dxa"/>
            <w:shd w:val="clear" w:color="auto" w:fill="auto"/>
            <w:noWrap/>
            <w:vAlign w:val="bottom"/>
            <w:hideMark/>
          </w:tcPr>
          <w:p w14:paraId="22C55AC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3 785 179</w:t>
            </w:r>
          </w:p>
        </w:tc>
      </w:tr>
      <w:tr w:rsidR="00744544" w:rsidRPr="00A66C9F" w14:paraId="06A85F95" w14:textId="77777777" w:rsidTr="00107D5D">
        <w:tc>
          <w:tcPr>
            <w:tcW w:w="2934" w:type="dxa"/>
            <w:shd w:val="clear" w:color="auto" w:fill="auto"/>
            <w:noWrap/>
            <w:vAlign w:val="bottom"/>
            <w:hideMark/>
          </w:tcPr>
          <w:p w14:paraId="5385D75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 xml:space="preserve">Obligations de collectivités locales </w:t>
            </w:r>
          </w:p>
        </w:tc>
        <w:tc>
          <w:tcPr>
            <w:tcW w:w="1152" w:type="dxa"/>
            <w:shd w:val="clear" w:color="auto" w:fill="auto"/>
            <w:noWrap/>
            <w:vAlign w:val="bottom"/>
            <w:hideMark/>
          </w:tcPr>
          <w:p w14:paraId="50A3E66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671 683</w:t>
            </w:r>
          </w:p>
        </w:tc>
        <w:tc>
          <w:tcPr>
            <w:tcW w:w="1153" w:type="dxa"/>
            <w:shd w:val="clear" w:color="auto" w:fill="auto"/>
            <w:noWrap/>
            <w:vAlign w:val="bottom"/>
            <w:hideMark/>
          </w:tcPr>
          <w:p w14:paraId="3ACB9CB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107 394</w:t>
            </w:r>
          </w:p>
        </w:tc>
        <w:tc>
          <w:tcPr>
            <w:tcW w:w="1153" w:type="dxa"/>
            <w:shd w:val="clear" w:color="auto" w:fill="auto"/>
            <w:noWrap/>
            <w:vAlign w:val="bottom"/>
            <w:hideMark/>
          </w:tcPr>
          <w:p w14:paraId="30471BE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231" w:type="dxa"/>
            <w:shd w:val="clear" w:color="auto" w:fill="auto"/>
            <w:noWrap/>
            <w:vAlign w:val="bottom"/>
            <w:hideMark/>
          </w:tcPr>
          <w:p w14:paraId="3305379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074" w:type="dxa"/>
            <w:shd w:val="clear" w:color="auto" w:fill="auto"/>
            <w:noWrap/>
            <w:vAlign w:val="bottom"/>
            <w:hideMark/>
          </w:tcPr>
          <w:p w14:paraId="6A32862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53" w:type="dxa"/>
            <w:shd w:val="clear" w:color="auto" w:fill="auto"/>
            <w:noWrap/>
            <w:vAlign w:val="bottom"/>
            <w:hideMark/>
          </w:tcPr>
          <w:p w14:paraId="2F5262E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779 077</w:t>
            </w:r>
          </w:p>
        </w:tc>
      </w:tr>
      <w:tr w:rsidR="00744544" w:rsidRPr="00A66C9F" w14:paraId="20E0E412" w14:textId="77777777" w:rsidTr="00107D5D">
        <w:tc>
          <w:tcPr>
            <w:tcW w:w="2934" w:type="dxa"/>
            <w:shd w:val="clear" w:color="auto" w:fill="auto"/>
            <w:noWrap/>
            <w:vAlign w:val="bottom"/>
            <w:hideMark/>
          </w:tcPr>
          <w:p w14:paraId="046784B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Bons, dépôts et effets de commerce</w:t>
            </w:r>
          </w:p>
        </w:tc>
        <w:tc>
          <w:tcPr>
            <w:tcW w:w="1152" w:type="dxa"/>
            <w:shd w:val="clear" w:color="auto" w:fill="auto"/>
            <w:noWrap/>
            <w:vAlign w:val="bottom"/>
            <w:hideMark/>
          </w:tcPr>
          <w:p w14:paraId="125A183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38 961</w:t>
            </w:r>
          </w:p>
        </w:tc>
        <w:tc>
          <w:tcPr>
            <w:tcW w:w="1153" w:type="dxa"/>
            <w:shd w:val="clear" w:color="auto" w:fill="auto"/>
            <w:noWrap/>
            <w:vAlign w:val="bottom"/>
            <w:hideMark/>
          </w:tcPr>
          <w:p w14:paraId="255F223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419 088</w:t>
            </w:r>
          </w:p>
        </w:tc>
        <w:tc>
          <w:tcPr>
            <w:tcW w:w="1153" w:type="dxa"/>
            <w:shd w:val="clear" w:color="auto" w:fill="auto"/>
            <w:noWrap/>
            <w:vAlign w:val="bottom"/>
            <w:hideMark/>
          </w:tcPr>
          <w:p w14:paraId="4DB0489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231" w:type="dxa"/>
            <w:shd w:val="clear" w:color="auto" w:fill="auto"/>
            <w:noWrap/>
            <w:vAlign w:val="bottom"/>
            <w:hideMark/>
          </w:tcPr>
          <w:p w14:paraId="7EDE5E1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074" w:type="dxa"/>
            <w:shd w:val="clear" w:color="auto" w:fill="auto"/>
            <w:noWrap/>
            <w:vAlign w:val="bottom"/>
            <w:hideMark/>
          </w:tcPr>
          <w:p w14:paraId="33CC74E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53" w:type="dxa"/>
            <w:shd w:val="clear" w:color="auto" w:fill="auto"/>
            <w:noWrap/>
            <w:vAlign w:val="bottom"/>
            <w:hideMark/>
          </w:tcPr>
          <w:p w14:paraId="45AD354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458 049</w:t>
            </w:r>
          </w:p>
        </w:tc>
      </w:tr>
      <w:tr w:rsidR="00744544" w:rsidRPr="00A66C9F" w14:paraId="65408885" w14:textId="77777777" w:rsidTr="00107D5D">
        <w:tc>
          <w:tcPr>
            <w:tcW w:w="2934" w:type="dxa"/>
            <w:shd w:val="clear" w:color="auto" w:fill="auto"/>
            <w:noWrap/>
            <w:vAlign w:val="bottom"/>
          </w:tcPr>
          <w:p w14:paraId="6E9A37C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Titres adossés à des créances hypothécaires</w:t>
            </w:r>
          </w:p>
        </w:tc>
        <w:tc>
          <w:tcPr>
            <w:tcW w:w="1152" w:type="dxa"/>
            <w:shd w:val="clear" w:color="auto" w:fill="auto"/>
            <w:noWrap/>
            <w:vAlign w:val="bottom"/>
          </w:tcPr>
          <w:p w14:paraId="2D5A410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9 040</w:t>
            </w:r>
          </w:p>
        </w:tc>
        <w:tc>
          <w:tcPr>
            <w:tcW w:w="1153" w:type="dxa"/>
            <w:shd w:val="clear" w:color="auto" w:fill="auto"/>
            <w:noWrap/>
            <w:vAlign w:val="bottom"/>
          </w:tcPr>
          <w:p w14:paraId="7A7CA54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53" w:type="dxa"/>
            <w:shd w:val="clear" w:color="auto" w:fill="auto"/>
            <w:noWrap/>
            <w:vAlign w:val="bottom"/>
          </w:tcPr>
          <w:p w14:paraId="1ADE179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231" w:type="dxa"/>
            <w:shd w:val="clear" w:color="auto" w:fill="auto"/>
            <w:noWrap/>
            <w:vAlign w:val="bottom"/>
          </w:tcPr>
          <w:p w14:paraId="553C0B0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074" w:type="dxa"/>
            <w:shd w:val="clear" w:color="auto" w:fill="auto"/>
            <w:noWrap/>
            <w:vAlign w:val="bottom"/>
          </w:tcPr>
          <w:p w14:paraId="7B80834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53" w:type="dxa"/>
            <w:shd w:val="clear" w:color="auto" w:fill="auto"/>
            <w:noWrap/>
            <w:vAlign w:val="bottom"/>
          </w:tcPr>
          <w:p w14:paraId="0C3841C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9 040</w:t>
            </w:r>
          </w:p>
        </w:tc>
      </w:tr>
      <w:tr w:rsidR="00744544" w:rsidRPr="00A66C9F" w14:paraId="1292C9D4" w14:textId="77777777" w:rsidTr="00107D5D">
        <w:tc>
          <w:tcPr>
            <w:tcW w:w="2934" w:type="dxa"/>
            <w:tcBorders>
              <w:bottom w:val="single" w:sz="4" w:space="0" w:color="auto"/>
            </w:tcBorders>
            <w:shd w:val="clear" w:color="auto" w:fill="auto"/>
            <w:noWrap/>
            <w:vAlign w:val="bottom"/>
            <w:hideMark/>
          </w:tcPr>
          <w:p w14:paraId="77C2419C" w14:textId="77777777" w:rsidR="00744544" w:rsidRPr="00A66C9F" w:rsidRDefault="00744544" w:rsidP="00107D5D">
            <w:pPr>
              <w:tabs>
                <w:tab w:val="left" w:pos="288"/>
                <w:tab w:val="left" w:pos="576"/>
                <w:tab w:val="left" w:pos="864"/>
                <w:tab w:val="left" w:pos="1152"/>
              </w:tabs>
              <w:suppressAutoHyphens/>
              <w:spacing w:before="40" w:after="81" w:line="210" w:lineRule="exact"/>
              <w:ind w:right="40"/>
              <w:rPr>
                <w:sz w:val="17"/>
                <w:lang w:val="fr-FR"/>
              </w:rPr>
            </w:pPr>
            <w:r w:rsidRPr="00A66C9F">
              <w:rPr>
                <w:sz w:val="17"/>
                <w:lang w:val="fr-FR"/>
              </w:rPr>
              <w:t>Fonds – obligations de sociétés</w:t>
            </w:r>
          </w:p>
        </w:tc>
        <w:tc>
          <w:tcPr>
            <w:tcW w:w="1152" w:type="dxa"/>
            <w:tcBorders>
              <w:bottom w:val="single" w:sz="4" w:space="0" w:color="auto"/>
            </w:tcBorders>
            <w:shd w:val="clear" w:color="auto" w:fill="auto"/>
            <w:noWrap/>
            <w:vAlign w:val="bottom"/>
            <w:hideMark/>
          </w:tcPr>
          <w:p w14:paraId="725C0211"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w:t>
            </w:r>
          </w:p>
        </w:tc>
        <w:tc>
          <w:tcPr>
            <w:tcW w:w="1153" w:type="dxa"/>
            <w:tcBorders>
              <w:bottom w:val="single" w:sz="4" w:space="0" w:color="auto"/>
            </w:tcBorders>
            <w:shd w:val="clear" w:color="auto" w:fill="auto"/>
            <w:noWrap/>
            <w:vAlign w:val="bottom"/>
            <w:hideMark/>
          </w:tcPr>
          <w:p w14:paraId="4EC844E1"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w:t>
            </w:r>
          </w:p>
        </w:tc>
        <w:tc>
          <w:tcPr>
            <w:tcW w:w="1153" w:type="dxa"/>
            <w:tcBorders>
              <w:bottom w:val="single" w:sz="4" w:space="0" w:color="auto"/>
            </w:tcBorders>
            <w:shd w:val="clear" w:color="auto" w:fill="auto"/>
            <w:noWrap/>
            <w:vAlign w:val="bottom"/>
            <w:hideMark/>
          </w:tcPr>
          <w:p w14:paraId="74074B92"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w:t>
            </w:r>
          </w:p>
        </w:tc>
        <w:tc>
          <w:tcPr>
            <w:tcW w:w="1231" w:type="dxa"/>
            <w:tcBorders>
              <w:bottom w:val="single" w:sz="4" w:space="0" w:color="auto"/>
            </w:tcBorders>
            <w:shd w:val="clear" w:color="auto" w:fill="auto"/>
            <w:noWrap/>
            <w:vAlign w:val="bottom"/>
            <w:hideMark/>
          </w:tcPr>
          <w:p w14:paraId="56EB0617"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w:t>
            </w:r>
          </w:p>
        </w:tc>
        <w:tc>
          <w:tcPr>
            <w:tcW w:w="1074" w:type="dxa"/>
            <w:tcBorders>
              <w:bottom w:val="single" w:sz="4" w:space="0" w:color="auto"/>
            </w:tcBorders>
            <w:shd w:val="clear" w:color="auto" w:fill="auto"/>
            <w:noWrap/>
            <w:vAlign w:val="bottom"/>
            <w:hideMark/>
          </w:tcPr>
          <w:p w14:paraId="1155897C"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48 646</w:t>
            </w:r>
          </w:p>
        </w:tc>
        <w:tc>
          <w:tcPr>
            <w:tcW w:w="1153" w:type="dxa"/>
            <w:tcBorders>
              <w:bottom w:val="single" w:sz="4" w:space="0" w:color="auto"/>
            </w:tcBorders>
            <w:shd w:val="clear" w:color="auto" w:fill="auto"/>
            <w:noWrap/>
            <w:vAlign w:val="bottom"/>
            <w:hideMark/>
          </w:tcPr>
          <w:p w14:paraId="19880775"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48 646</w:t>
            </w:r>
          </w:p>
        </w:tc>
      </w:tr>
      <w:tr w:rsidR="00744544" w:rsidRPr="00A66C9F" w14:paraId="18CEFAD9" w14:textId="77777777" w:rsidTr="00107D5D">
        <w:tc>
          <w:tcPr>
            <w:tcW w:w="2934" w:type="dxa"/>
            <w:tcBorders>
              <w:top w:val="single" w:sz="4" w:space="0" w:color="auto"/>
              <w:bottom w:val="single" w:sz="4" w:space="0" w:color="auto"/>
            </w:tcBorders>
            <w:shd w:val="clear" w:color="auto" w:fill="auto"/>
            <w:noWrap/>
            <w:vAlign w:val="bottom"/>
            <w:hideMark/>
          </w:tcPr>
          <w:p w14:paraId="245597F1" w14:textId="77777777" w:rsidR="00744544" w:rsidRPr="00A66C9F" w:rsidRDefault="00744544" w:rsidP="00107D5D">
            <w:pPr>
              <w:tabs>
                <w:tab w:val="left" w:pos="288"/>
                <w:tab w:val="left" w:pos="576"/>
                <w:tab w:val="left" w:pos="864"/>
                <w:tab w:val="left" w:pos="1152"/>
              </w:tabs>
              <w:suppressAutoHyphens/>
              <w:spacing w:before="81" w:after="81" w:line="210" w:lineRule="exact"/>
              <w:ind w:right="40"/>
              <w:rPr>
                <w:b/>
                <w:sz w:val="17"/>
                <w:lang w:val="fr-FR"/>
              </w:rPr>
            </w:pPr>
            <w:r w:rsidRPr="00A66C9F">
              <w:rPr>
                <w:b/>
                <w:sz w:val="17"/>
                <w:lang w:val="fr-FR"/>
              </w:rPr>
              <w:tab/>
              <w:t>Total</w:t>
            </w:r>
          </w:p>
        </w:tc>
        <w:tc>
          <w:tcPr>
            <w:tcW w:w="1152" w:type="dxa"/>
            <w:tcBorders>
              <w:top w:val="single" w:sz="4" w:space="0" w:color="auto"/>
              <w:bottom w:val="single" w:sz="4" w:space="0" w:color="auto"/>
            </w:tcBorders>
            <w:shd w:val="clear" w:color="auto" w:fill="auto"/>
            <w:vAlign w:val="bottom"/>
            <w:hideMark/>
          </w:tcPr>
          <w:p w14:paraId="02B2CECC"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11 797 720</w:t>
            </w:r>
          </w:p>
        </w:tc>
        <w:tc>
          <w:tcPr>
            <w:tcW w:w="1153" w:type="dxa"/>
            <w:tcBorders>
              <w:top w:val="single" w:sz="4" w:space="0" w:color="auto"/>
              <w:bottom w:val="single" w:sz="4" w:space="0" w:color="auto"/>
            </w:tcBorders>
            <w:shd w:val="clear" w:color="auto" w:fill="auto"/>
            <w:vAlign w:val="bottom"/>
            <w:hideMark/>
          </w:tcPr>
          <w:p w14:paraId="20B41E36"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5 510 671</w:t>
            </w:r>
          </w:p>
        </w:tc>
        <w:tc>
          <w:tcPr>
            <w:tcW w:w="1153" w:type="dxa"/>
            <w:tcBorders>
              <w:top w:val="single" w:sz="4" w:space="0" w:color="auto"/>
              <w:bottom w:val="single" w:sz="4" w:space="0" w:color="auto"/>
            </w:tcBorders>
            <w:shd w:val="clear" w:color="auto" w:fill="auto"/>
            <w:vAlign w:val="bottom"/>
            <w:hideMark/>
          </w:tcPr>
          <w:p w14:paraId="38F7B6A4"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1 434 023</w:t>
            </w:r>
          </w:p>
        </w:tc>
        <w:tc>
          <w:tcPr>
            <w:tcW w:w="1231" w:type="dxa"/>
            <w:tcBorders>
              <w:top w:val="single" w:sz="4" w:space="0" w:color="auto"/>
              <w:bottom w:val="single" w:sz="4" w:space="0" w:color="auto"/>
            </w:tcBorders>
            <w:shd w:val="clear" w:color="auto" w:fill="auto"/>
            <w:vAlign w:val="bottom"/>
            <w:hideMark/>
          </w:tcPr>
          <w:p w14:paraId="122684D4"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33 773</w:t>
            </w:r>
          </w:p>
        </w:tc>
        <w:tc>
          <w:tcPr>
            <w:tcW w:w="1074" w:type="dxa"/>
            <w:tcBorders>
              <w:top w:val="single" w:sz="4" w:space="0" w:color="auto"/>
              <w:bottom w:val="single" w:sz="4" w:space="0" w:color="auto"/>
            </w:tcBorders>
            <w:shd w:val="clear" w:color="auto" w:fill="auto"/>
            <w:vAlign w:val="bottom"/>
            <w:hideMark/>
          </w:tcPr>
          <w:p w14:paraId="6AC264EC"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48 646</w:t>
            </w:r>
          </w:p>
        </w:tc>
        <w:tc>
          <w:tcPr>
            <w:tcW w:w="1153" w:type="dxa"/>
            <w:tcBorders>
              <w:top w:val="single" w:sz="4" w:space="0" w:color="auto"/>
              <w:bottom w:val="single" w:sz="4" w:space="0" w:color="auto"/>
            </w:tcBorders>
            <w:shd w:val="clear" w:color="auto" w:fill="auto"/>
            <w:vAlign w:val="bottom"/>
            <w:hideMark/>
          </w:tcPr>
          <w:p w14:paraId="3EA69C82"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18 824 833</w:t>
            </w:r>
          </w:p>
        </w:tc>
      </w:tr>
      <w:tr w:rsidR="00744544" w:rsidRPr="00A66C9F" w14:paraId="38F106B7" w14:textId="77777777" w:rsidTr="00107D5D">
        <w:tc>
          <w:tcPr>
            <w:tcW w:w="2934" w:type="dxa"/>
            <w:tcBorders>
              <w:top w:val="single" w:sz="4" w:space="0" w:color="auto"/>
              <w:bottom w:val="single" w:sz="12" w:space="0" w:color="auto"/>
            </w:tcBorders>
            <w:shd w:val="clear" w:color="auto" w:fill="auto"/>
            <w:noWrap/>
            <w:vAlign w:val="bottom"/>
          </w:tcPr>
          <w:p w14:paraId="577A2595" w14:textId="77777777" w:rsidR="00744544" w:rsidRPr="00A66C9F" w:rsidRDefault="00744544" w:rsidP="00107D5D">
            <w:pPr>
              <w:tabs>
                <w:tab w:val="left" w:pos="288"/>
                <w:tab w:val="left" w:pos="576"/>
                <w:tab w:val="left" w:pos="864"/>
                <w:tab w:val="left" w:pos="1152"/>
              </w:tabs>
              <w:suppressAutoHyphens/>
              <w:spacing w:before="81" w:after="81" w:line="210" w:lineRule="exact"/>
              <w:ind w:right="40"/>
              <w:rPr>
                <w:b/>
                <w:sz w:val="17"/>
                <w:lang w:val="fr-FR"/>
              </w:rPr>
            </w:pPr>
            <w:r w:rsidRPr="00A66C9F">
              <w:rPr>
                <w:b/>
                <w:sz w:val="17"/>
                <w:lang w:val="fr-FR"/>
              </w:rPr>
              <w:tab/>
              <w:t>Pourcentage</w:t>
            </w:r>
          </w:p>
        </w:tc>
        <w:tc>
          <w:tcPr>
            <w:tcW w:w="1152" w:type="dxa"/>
            <w:tcBorders>
              <w:top w:val="single" w:sz="4" w:space="0" w:color="auto"/>
              <w:bottom w:val="single" w:sz="12" w:space="0" w:color="auto"/>
            </w:tcBorders>
            <w:shd w:val="clear" w:color="auto" w:fill="auto"/>
            <w:vAlign w:val="bottom"/>
          </w:tcPr>
          <w:p w14:paraId="04009B4D"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62,6</w:t>
            </w:r>
          </w:p>
        </w:tc>
        <w:tc>
          <w:tcPr>
            <w:tcW w:w="1153" w:type="dxa"/>
            <w:tcBorders>
              <w:top w:val="single" w:sz="4" w:space="0" w:color="auto"/>
              <w:bottom w:val="single" w:sz="12" w:space="0" w:color="auto"/>
            </w:tcBorders>
            <w:shd w:val="clear" w:color="auto" w:fill="auto"/>
            <w:vAlign w:val="bottom"/>
          </w:tcPr>
          <w:p w14:paraId="2652881B"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29,3</w:t>
            </w:r>
          </w:p>
        </w:tc>
        <w:tc>
          <w:tcPr>
            <w:tcW w:w="1153" w:type="dxa"/>
            <w:tcBorders>
              <w:top w:val="single" w:sz="4" w:space="0" w:color="auto"/>
              <w:bottom w:val="single" w:sz="12" w:space="0" w:color="auto"/>
            </w:tcBorders>
            <w:shd w:val="clear" w:color="auto" w:fill="auto"/>
            <w:vAlign w:val="bottom"/>
          </w:tcPr>
          <w:p w14:paraId="473C30F3"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7,6</w:t>
            </w:r>
          </w:p>
        </w:tc>
        <w:tc>
          <w:tcPr>
            <w:tcW w:w="1231" w:type="dxa"/>
            <w:tcBorders>
              <w:top w:val="single" w:sz="4" w:space="0" w:color="auto"/>
              <w:bottom w:val="single" w:sz="12" w:space="0" w:color="auto"/>
            </w:tcBorders>
            <w:shd w:val="clear" w:color="auto" w:fill="auto"/>
            <w:vAlign w:val="bottom"/>
          </w:tcPr>
          <w:p w14:paraId="6B2EBC82"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0,2</w:t>
            </w:r>
          </w:p>
        </w:tc>
        <w:tc>
          <w:tcPr>
            <w:tcW w:w="1074" w:type="dxa"/>
            <w:tcBorders>
              <w:top w:val="single" w:sz="4" w:space="0" w:color="auto"/>
              <w:bottom w:val="single" w:sz="12" w:space="0" w:color="auto"/>
            </w:tcBorders>
            <w:shd w:val="clear" w:color="auto" w:fill="auto"/>
            <w:vAlign w:val="bottom"/>
          </w:tcPr>
          <w:p w14:paraId="7B02A615"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0,3</w:t>
            </w:r>
          </w:p>
        </w:tc>
        <w:tc>
          <w:tcPr>
            <w:tcW w:w="1153" w:type="dxa"/>
            <w:tcBorders>
              <w:top w:val="single" w:sz="4" w:space="0" w:color="auto"/>
              <w:bottom w:val="single" w:sz="12" w:space="0" w:color="auto"/>
            </w:tcBorders>
            <w:shd w:val="clear" w:color="auto" w:fill="auto"/>
            <w:vAlign w:val="bottom"/>
          </w:tcPr>
          <w:p w14:paraId="2FAA7255"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100,0</w:t>
            </w:r>
          </w:p>
        </w:tc>
      </w:tr>
    </w:tbl>
    <w:p w14:paraId="119B5A2C" w14:textId="77777777" w:rsidR="00744544" w:rsidRPr="00A66C9F" w:rsidRDefault="00744544" w:rsidP="00744544">
      <w:pPr>
        <w:pStyle w:val="SingleTxt"/>
        <w:spacing w:after="0" w:line="120" w:lineRule="exact"/>
        <w:rPr>
          <w:sz w:val="10"/>
          <w:lang w:val="fr-FR"/>
        </w:rPr>
      </w:pPr>
    </w:p>
    <w:p w14:paraId="0FDF0C99" w14:textId="77777777" w:rsidR="00744544" w:rsidRPr="00A66C9F" w:rsidRDefault="00744544" w:rsidP="00744544">
      <w:pPr>
        <w:pStyle w:val="FootnoteText"/>
        <w:tabs>
          <w:tab w:val="right" w:pos="216"/>
          <w:tab w:val="left" w:pos="288"/>
          <w:tab w:val="right" w:pos="576"/>
          <w:tab w:val="left" w:pos="648"/>
        </w:tabs>
        <w:suppressAutoHyphens/>
        <w:ind w:left="288" w:hanging="288"/>
        <w:rPr>
          <w:lang w:val="fr-FR"/>
        </w:rPr>
      </w:pPr>
      <w:r w:rsidRPr="00A66C9F">
        <w:rPr>
          <w:i/>
          <w:iCs/>
          <w:vertAlign w:val="superscript"/>
          <w:lang w:val="fr-FR"/>
        </w:rPr>
        <w:tab/>
        <w:t>a</w:t>
      </w:r>
      <w:r w:rsidRPr="00A66C9F">
        <w:rPr>
          <w:lang w:val="fr-FR"/>
        </w:rPr>
        <w:tab/>
        <w:t>Un titre, d’un montant de 48,6 millions de dollars placés dans un fonds obligataire, qui n’a donc pas été évalué par les agences de notation.</w:t>
      </w:r>
    </w:p>
    <w:bookmarkEnd w:id="462"/>
    <w:p w14:paraId="7AF30F69" w14:textId="77777777" w:rsidR="00744544" w:rsidRPr="00A66C9F" w:rsidRDefault="00744544" w:rsidP="00744544">
      <w:pPr>
        <w:pStyle w:val="SingleTxt"/>
        <w:spacing w:after="0" w:line="120" w:lineRule="exact"/>
        <w:rPr>
          <w:sz w:val="10"/>
          <w:lang w:val="fr-FR"/>
        </w:rPr>
      </w:pPr>
    </w:p>
    <w:p w14:paraId="59A33A6F" w14:textId="77777777" w:rsidR="00744544" w:rsidRPr="00A66C9F" w:rsidRDefault="00744544" w:rsidP="00744544">
      <w:pPr>
        <w:pStyle w:val="SingleTxt"/>
        <w:spacing w:after="0" w:line="120" w:lineRule="exact"/>
        <w:rPr>
          <w:sz w:val="10"/>
          <w:lang w:val="fr-FR"/>
        </w:rPr>
      </w:pPr>
    </w:p>
    <w:p w14:paraId="6605A7F0" w14:textId="77777777" w:rsidR="00744544" w:rsidRPr="00A66C9F" w:rsidRDefault="00744544" w:rsidP="00753AB8">
      <w:pPr>
        <w:pStyle w:val="SingleTxt"/>
        <w:numPr>
          <w:ilvl w:val="0"/>
          <w:numId w:val="19"/>
        </w:numPr>
        <w:spacing w:line="240" w:lineRule="exact"/>
        <w:rPr>
          <w:lang w:val="fr-FR"/>
        </w:rPr>
      </w:pPr>
      <w:bookmarkStart w:id="464" w:name="_Hlk5875716"/>
      <w:r w:rsidRPr="00A66C9F">
        <w:rPr>
          <w:lang w:val="fr-FR"/>
        </w:rPr>
        <w:t>On trouvera dans le tableau ci-dessous une analyse des échéances des valeurs à revenu fixe au 31 décembre 2019 et au 31 décembre 2018.</w:t>
      </w:r>
    </w:p>
    <w:p w14:paraId="02088672" w14:textId="77777777" w:rsidR="00744544" w:rsidRPr="00A66C9F" w:rsidRDefault="00744544" w:rsidP="0074454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lang w:val="fr-FR"/>
        </w:rPr>
        <w:tab/>
      </w:r>
      <w:r w:rsidRPr="00A66C9F">
        <w:rPr>
          <w:lang w:val="fr-FR"/>
        </w:rPr>
        <w:tab/>
      </w:r>
      <w:r w:rsidRPr="00A66C9F">
        <w:rPr>
          <w:sz w:val="14"/>
          <w:szCs w:val="14"/>
          <w:lang w:val="fr-FR"/>
        </w:rPr>
        <w:t>(En milliers de dollars des États-Unis)</w:t>
      </w:r>
    </w:p>
    <w:p w14:paraId="1C1A783E" w14:textId="77777777" w:rsidR="00744544" w:rsidRPr="00A66C9F" w:rsidRDefault="00744544" w:rsidP="00744544">
      <w:pPr>
        <w:pStyle w:val="SingleTxt"/>
        <w:spacing w:after="0" w:line="120" w:lineRule="exact"/>
        <w:rPr>
          <w:sz w:val="10"/>
          <w:lang w:val="fr-FR"/>
        </w:rPr>
      </w:pPr>
    </w:p>
    <w:p w14:paraId="3E83982D" w14:textId="77777777" w:rsidR="00744544" w:rsidRPr="00A66C9F" w:rsidRDefault="00744544" w:rsidP="00744544">
      <w:pPr>
        <w:pStyle w:val="SingleTxt"/>
        <w:spacing w:after="0" w:line="120" w:lineRule="exact"/>
        <w:rPr>
          <w:sz w:val="10"/>
          <w:lang w:val="fr-FR"/>
        </w:rPr>
      </w:pPr>
    </w:p>
    <w:tbl>
      <w:tblPr>
        <w:tblW w:w="0" w:type="auto"/>
        <w:tblInd w:w="1260" w:type="dxa"/>
        <w:tblLayout w:type="fixed"/>
        <w:tblCellMar>
          <w:left w:w="0" w:type="dxa"/>
          <w:right w:w="0" w:type="dxa"/>
        </w:tblCellMar>
        <w:tblLook w:val="04A0" w:firstRow="1" w:lastRow="0" w:firstColumn="1" w:lastColumn="0" w:noHBand="0" w:noVBand="1"/>
      </w:tblPr>
      <w:tblGrid>
        <w:gridCol w:w="3150"/>
        <w:gridCol w:w="2070"/>
        <w:gridCol w:w="2100"/>
      </w:tblGrid>
      <w:tr w:rsidR="00744544" w:rsidRPr="00A66C9F" w14:paraId="0FD858A7" w14:textId="77777777" w:rsidTr="00107D5D">
        <w:trPr>
          <w:tblHeader/>
        </w:trPr>
        <w:tc>
          <w:tcPr>
            <w:tcW w:w="3150" w:type="dxa"/>
            <w:tcBorders>
              <w:top w:val="single" w:sz="4" w:space="0" w:color="auto"/>
              <w:bottom w:val="single" w:sz="12" w:space="0" w:color="auto"/>
            </w:tcBorders>
            <w:shd w:val="clear" w:color="auto" w:fill="auto"/>
            <w:noWrap/>
            <w:vAlign w:val="bottom"/>
            <w:hideMark/>
          </w:tcPr>
          <w:p w14:paraId="5971C2EC" w14:textId="77777777" w:rsidR="00744544" w:rsidRPr="00A66C9F" w:rsidRDefault="00744544" w:rsidP="00107D5D">
            <w:pPr>
              <w:suppressAutoHyphens/>
              <w:spacing w:before="81" w:after="81" w:line="160" w:lineRule="exact"/>
              <w:ind w:right="40"/>
              <w:rPr>
                <w:i/>
                <w:sz w:val="14"/>
                <w:lang w:val="fr-FR"/>
              </w:rPr>
            </w:pPr>
            <w:r w:rsidRPr="00A66C9F">
              <w:rPr>
                <w:i/>
                <w:sz w:val="14"/>
                <w:lang w:val="fr-FR"/>
              </w:rPr>
              <w:t>Échéance</w:t>
            </w:r>
          </w:p>
        </w:tc>
        <w:tc>
          <w:tcPr>
            <w:tcW w:w="2070" w:type="dxa"/>
            <w:tcBorders>
              <w:top w:val="single" w:sz="4" w:space="0" w:color="auto"/>
              <w:bottom w:val="single" w:sz="12" w:space="0" w:color="auto"/>
            </w:tcBorders>
            <w:shd w:val="clear" w:color="auto" w:fill="auto"/>
            <w:noWrap/>
            <w:vAlign w:val="bottom"/>
            <w:hideMark/>
          </w:tcPr>
          <w:p w14:paraId="7C4FC9FF"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Au 31 décembre 2019</w:t>
            </w:r>
          </w:p>
        </w:tc>
        <w:tc>
          <w:tcPr>
            <w:tcW w:w="2100" w:type="dxa"/>
            <w:tcBorders>
              <w:top w:val="single" w:sz="4" w:space="0" w:color="auto"/>
              <w:bottom w:val="single" w:sz="12" w:space="0" w:color="auto"/>
            </w:tcBorders>
            <w:shd w:val="clear" w:color="auto" w:fill="auto"/>
            <w:vAlign w:val="bottom"/>
          </w:tcPr>
          <w:p w14:paraId="1C053BEB"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Au 31 décembre 2018</w:t>
            </w:r>
          </w:p>
        </w:tc>
      </w:tr>
      <w:tr w:rsidR="00744544" w:rsidRPr="00A66C9F" w14:paraId="31B161D3" w14:textId="77777777" w:rsidTr="00107D5D">
        <w:trPr>
          <w:trHeight w:hRule="exact" w:val="115"/>
          <w:tblHeader/>
        </w:trPr>
        <w:tc>
          <w:tcPr>
            <w:tcW w:w="3150" w:type="dxa"/>
            <w:tcBorders>
              <w:top w:val="single" w:sz="12" w:space="0" w:color="auto"/>
            </w:tcBorders>
            <w:shd w:val="clear" w:color="auto" w:fill="auto"/>
            <w:noWrap/>
            <w:vAlign w:val="bottom"/>
          </w:tcPr>
          <w:p w14:paraId="79CDAD92" w14:textId="77777777" w:rsidR="00744544" w:rsidRPr="00A66C9F" w:rsidRDefault="00744544" w:rsidP="00107D5D">
            <w:pPr>
              <w:suppressAutoHyphens/>
              <w:spacing w:before="40" w:after="40" w:line="210" w:lineRule="exact"/>
              <w:ind w:right="40"/>
              <w:rPr>
                <w:sz w:val="17"/>
                <w:lang w:val="fr-FR"/>
              </w:rPr>
            </w:pPr>
          </w:p>
        </w:tc>
        <w:tc>
          <w:tcPr>
            <w:tcW w:w="2070" w:type="dxa"/>
            <w:tcBorders>
              <w:top w:val="single" w:sz="12" w:space="0" w:color="auto"/>
            </w:tcBorders>
            <w:shd w:val="clear" w:color="auto" w:fill="auto"/>
            <w:noWrap/>
            <w:vAlign w:val="bottom"/>
          </w:tcPr>
          <w:p w14:paraId="6288AF00" w14:textId="77777777" w:rsidR="00744544" w:rsidRPr="00A66C9F" w:rsidRDefault="00744544" w:rsidP="00107D5D">
            <w:pPr>
              <w:suppressAutoHyphens/>
              <w:spacing w:before="40" w:after="40" w:line="210" w:lineRule="exact"/>
              <w:ind w:right="43"/>
              <w:jc w:val="right"/>
              <w:rPr>
                <w:sz w:val="17"/>
                <w:lang w:val="fr-FR"/>
              </w:rPr>
            </w:pPr>
          </w:p>
        </w:tc>
        <w:tc>
          <w:tcPr>
            <w:tcW w:w="2100" w:type="dxa"/>
            <w:tcBorders>
              <w:top w:val="single" w:sz="12" w:space="0" w:color="auto"/>
            </w:tcBorders>
            <w:shd w:val="clear" w:color="auto" w:fill="auto"/>
            <w:vAlign w:val="bottom"/>
          </w:tcPr>
          <w:p w14:paraId="30AE81AC" w14:textId="77777777" w:rsidR="00744544" w:rsidRPr="00A66C9F" w:rsidRDefault="00744544" w:rsidP="00107D5D">
            <w:pPr>
              <w:suppressAutoHyphens/>
              <w:spacing w:before="40" w:after="40" w:line="210" w:lineRule="exact"/>
              <w:ind w:right="43"/>
              <w:jc w:val="right"/>
              <w:rPr>
                <w:sz w:val="17"/>
                <w:lang w:val="fr-FR"/>
              </w:rPr>
            </w:pPr>
          </w:p>
        </w:tc>
      </w:tr>
      <w:tr w:rsidR="00744544" w:rsidRPr="00A66C9F" w14:paraId="36F903DB" w14:textId="77777777" w:rsidTr="00107D5D">
        <w:tc>
          <w:tcPr>
            <w:tcW w:w="3150" w:type="dxa"/>
            <w:shd w:val="clear" w:color="auto" w:fill="auto"/>
            <w:noWrap/>
            <w:vAlign w:val="bottom"/>
            <w:hideMark/>
          </w:tcPr>
          <w:p w14:paraId="7D02BA4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Moins de 1 an</w:t>
            </w:r>
          </w:p>
        </w:tc>
        <w:tc>
          <w:tcPr>
            <w:tcW w:w="2070" w:type="dxa"/>
            <w:shd w:val="clear" w:color="auto" w:fill="auto"/>
            <w:noWrap/>
            <w:vAlign w:val="bottom"/>
            <w:hideMark/>
          </w:tcPr>
          <w:p w14:paraId="6CB16C2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959 882</w:t>
            </w:r>
          </w:p>
        </w:tc>
        <w:tc>
          <w:tcPr>
            <w:tcW w:w="2100" w:type="dxa"/>
            <w:shd w:val="clear" w:color="auto" w:fill="auto"/>
            <w:vAlign w:val="bottom"/>
          </w:tcPr>
          <w:p w14:paraId="6D8F8BF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4 367 259 </w:t>
            </w:r>
          </w:p>
        </w:tc>
      </w:tr>
      <w:tr w:rsidR="00744544" w:rsidRPr="00A66C9F" w14:paraId="3CCFDB48" w14:textId="77777777" w:rsidTr="00107D5D">
        <w:tc>
          <w:tcPr>
            <w:tcW w:w="3150" w:type="dxa"/>
            <w:shd w:val="clear" w:color="auto" w:fill="auto"/>
            <w:noWrap/>
            <w:vAlign w:val="bottom"/>
            <w:hideMark/>
          </w:tcPr>
          <w:p w14:paraId="0A15B7E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De 1 à 5 ans</w:t>
            </w:r>
          </w:p>
        </w:tc>
        <w:tc>
          <w:tcPr>
            <w:tcW w:w="2070" w:type="dxa"/>
            <w:shd w:val="clear" w:color="auto" w:fill="auto"/>
            <w:noWrap/>
            <w:vAlign w:val="bottom"/>
            <w:hideMark/>
          </w:tcPr>
          <w:p w14:paraId="7E3D26D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3 150 021</w:t>
            </w:r>
          </w:p>
        </w:tc>
        <w:tc>
          <w:tcPr>
            <w:tcW w:w="2100" w:type="dxa"/>
            <w:shd w:val="clear" w:color="auto" w:fill="auto"/>
            <w:vAlign w:val="bottom"/>
          </w:tcPr>
          <w:p w14:paraId="0B07944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6 252 073 </w:t>
            </w:r>
          </w:p>
        </w:tc>
      </w:tr>
      <w:tr w:rsidR="00744544" w:rsidRPr="00A66C9F" w14:paraId="67C4DFE8" w14:textId="77777777" w:rsidTr="00107D5D">
        <w:tc>
          <w:tcPr>
            <w:tcW w:w="3150" w:type="dxa"/>
            <w:shd w:val="clear" w:color="auto" w:fill="auto"/>
            <w:noWrap/>
            <w:vAlign w:val="bottom"/>
            <w:hideMark/>
          </w:tcPr>
          <w:p w14:paraId="0D1C263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De 5 à 15 ans</w:t>
            </w:r>
          </w:p>
        </w:tc>
        <w:tc>
          <w:tcPr>
            <w:tcW w:w="2070" w:type="dxa"/>
            <w:shd w:val="clear" w:color="auto" w:fill="auto"/>
            <w:noWrap/>
            <w:vAlign w:val="bottom"/>
            <w:hideMark/>
          </w:tcPr>
          <w:p w14:paraId="0BF1A86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6 119 642</w:t>
            </w:r>
          </w:p>
        </w:tc>
        <w:tc>
          <w:tcPr>
            <w:tcW w:w="2100" w:type="dxa"/>
            <w:shd w:val="clear" w:color="auto" w:fill="auto"/>
            <w:vAlign w:val="bottom"/>
          </w:tcPr>
          <w:p w14:paraId="50D71EC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4 662 539 </w:t>
            </w:r>
          </w:p>
        </w:tc>
      </w:tr>
      <w:tr w:rsidR="00744544" w:rsidRPr="00A66C9F" w14:paraId="54048B79" w14:textId="77777777" w:rsidTr="00107D5D">
        <w:tc>
          <w:tcPr>
            <w:tcW w:w="3150" w:type="dxa"/>
            <w:tcBorders>
              <w:bottom w:val="single" w:sz="4" w:space="0" w:color="auto"/>
            </w:tcBorders>
            <w:shd w:val="clear" w:color="auto" w:fill="auto"/>
            <w:noWrap/>
            <w:vAlign w:val="bottom"/>
            <w:hideMark/>
          </w:tcPr>
          <w:p w14:paraId="06CEADC9" w14:textId="77777777" w:rsidR="00744544" w:rsidRPr="00A66C9F" w:rsidRDefault="00744544" w:rsidP="00107D5D">
            <w:pPr>
              <w:tabs>
                <w:tab w:val="left" w:pos="288"/>
                <w:tab w:val="left" w:pos="576"/>
                <w:tab w:val="left" w:pos="864"/>
                <w:tab w:val="left" w:pos="1152"/>
              </w:tabs>
              <w:suppressAutoHyphens/>
              <w:spacing w:before="40" w:after="81" w:line="210" w:lineRule="exact"/>
              <w:ind w:right="40"/>
              <w:rPr>
                <w:sz w:val="17"/>
                <w:lang w:val="fr-FR"/>
              </w:rPr>
            </w:pPr>
            <w:r w:rsidRPr="00A66C9F">
              <w:rPr>
                <w:sz w:val="17"/>
                <w:lang w:val="fr-FR"/>
              </w:rPr>
              <w:lastRenderedPageBreak/>
              <w:t>Plus de 15 ans</w:t>
            </w:r>
          </w:p>
        </w:tc>
        <w:tc>
          <w:tcPr>
            <w:tcW w:w="2070" w:type="dxa"/>
            <w:tcBorders>
              <w:bottom w:val="single" w:sz="4" w:space="0" w:color="auto"/>
            </w:tcBorders>
            <w:shd w:val="clear" w:color="auto" w:fill="auto"/>
            <w:noWrap/>
            <w:vAlign w:val="bottom"/>
            <w:hideMark/>
          </w:tcPr>
          <w:p w14:paraId="41EDBE14"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10 182 986</w:t>
            </w:r>
          </w:p>
        </w:tc>
        <w:tc>
          <w:tcPr>
            <w:tcW w:w="2100" w:type="dxa"/>
            <w:tcBorders>
              <w:bottom w:val="single" w:sz="4" w:space="0" w:color="auto"/>
            </w:tcBorders>
            <w:shd w:val="clear" w:color="auto" w:fill="auto"/>
            <w:vAlign w:val="bottom"/>
          </w:tcPr>
          <w:p w14:paraId="58A1D8BC"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3 542 962 </w:t>
            </w:r>
          </w:p>
        </w:tc>
      </w:tr>
      <w:tr w:rsidR="00744544" w:rsidRPr="00A66C9F" w14:paraId="40751DF4" w14:textId="77777777" w:rsidTr="00107D5D">
        <w:tc>
          <w:tcPr>
            <w:tcW w:w="3150" w:type="dxa"/>
            <w:tcBorders>
              <w:top w:val="single" w:sz="4" w:space="0" w:color="auto"/>
              <w:bottom w:val="single" w:sz="12" w:space="0" w:color="auto"/>
            </w:tcBorders>
            <w:shd w:val="clear" w:color="auto" w:fill="auto"/>
            <w:noWrap/>
            <w:vAlign w:val="bottom"/>
            <w:hideMark/>
          </w:tcPr>
          <w:p w14:paraId="4D677F5E" w14:textId="77777777" w:rsidR="00744544" w:rsidRPr="00A66C9F" w:rsidRDefault="00744544" w:rsidP="00107D5D">
            <w:pPr>
              <w:tabs>
                <w:tab w:val="left" w:pos="288"/>
                <w:tab w:val="left" w:pos="576"/>
                <w:tab w:val="left" w:pos="864"/>
                <w:tab w:val="left" w:pos="1152"/>
              </w:tabs>
              <w:suppressAutoHyphens/>
              <w:spacing w:before="81" w:after="81" w:line="210" w:lineRule="exact"/>
              <w:ind w:right="40"/>
              <w:rPr>
                <w:b/>
                <w:sz w:val="17"/>
                <w:lang w:val="fr-FR"/>
              </w:rPr>
            </w:pPr>
            <w:r w:rsidRPr="00A66C9F">
              <w:rPr>
                <w:b/>
                <w:sz w:val="17"/>
                <w:lang w:val="fr-FR"/>
              </w:rPr>
              <w:tab/>
              <w:t>Total</w:t>
            </w:r>
          </w:p>
        </w:tc>
        <w:tc>
          <w:tcPr>
            <w:tcW w:w="2070" w:type="dxa"/>
            <w:tcBorders>
              <w:top w:val="single" w:sz="4" w:space="0" w:color="auto"/>
              <w:bottom w:val="single" w:sz="12" w:space="0" w:color="auto"/>
            </w:tcBorders>
            <w:shd w:val="clear" w:color="auto" w:fill="auto"/>
            <w:noWrap/>
            <w:vAlign w:val="bottom"/>
            <w:hideMark/>
          </w:tcPr>
          <w:p w14:paraId="168E0DE5"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20 412 531</w:t>
            </w:r>
          </w:p>
        </w:tc>
        <w:tc>
          <w:tcPr>
            <w:tcW w:w="2100" w:type="dxa"/>
            <w:tcBorders>
              <w:top w:val="single" w:sz="4" w:space="0" w:color="auto"/>
              <w:bottom w:val="single" w:sz="12" w:space="0" w:color="auto"/>
            </w:tcBorders>
            <w:shd w:val="clear" w:color="auto" w:fill="auto"/>
            <w:vAlign w:val="bottom"/>
          </w:tcPr>
          <w:p w14:paraId="62B7CE60"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18 824 833 </w:t>
            </w:r>
          </w:p>
        </w:tc>
      </w:tr>
      <w:bookmarkEnd w:id="464"/>
    </w:tbl>
    <w:p w14:paraId="680AF4C0" w14:textId="77777777" w:rsidR="00744544" w:rsidRPr="00A66C9F" w:rsidRDefault="00744544" w:rsidP="00744544">
      <w:pPr>
        <w:pStyle w:val="SingleTxt"/>
        <w:spacing w:after="0" w:line="120" w:lineRule="exact"/>
        <w:rPr>
          <w:sz w:val="10"/>
          <w:lang w:val="fr-FR"/>
        </w:rPr>
      </w:pPr>
    </w:p>
    <w:p w14:paraId="075C6529" w14:textId="77777777" w:rsidR="00744544" w:rsidRPr="00A66C9F" w:rsidRDefault="00744544" w:rsidP="00744544">
      <w:pPr>
        <w:pStyle w:val="SingleTxt"/>
        <w:spacing w:after="0" w:line="120" w:lineRule="exact"/>
        <w:rPr>
          <w:sz w:val="10"/>
          <w:lang w:val="fr-FR"/>
        </w:rPr>
      </w:pPr>
    </w:p>
    <w:p w14:paraId="7EA18F96" w14:textId="77777777" w:rsidR="00744544" w:rsidRPr="00A66C9F" w:rsidRDefault="00744544" w:rsidP="00744544">
      <w:pPr>
        <w:pStyle w:val="SingleTxt"/>
        <w:spacing w:after="0" w:line="120" w:lineRule="exact"/>
        <w:rPr>
          <w:sz w:val="10"/>
          <w:lang w:val="fr-FR"/>
        </w:rPr>
      </w:pPr>
    </w:p>
    <w:p w14:paraId="170E6874"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t>20.2</w:t>
      </w:r>
      <w:r w:rsidRPr="00A66C9F">
        <w:rPr>
          <w:lang w:val="fr-FR"/>
        </w:rPr>
        <w:tab/>
        <w:t>Risque de liquidité</w:t>
      </w:r>
    </w:p>
    <w:p w14:paraId="1EC9E077" w14:textId="77777777" w:rsidR="00744544" w:rsidRPr="00A66C9F" w:rsidRDefault="00744544" w:rsidP="00744544">
      <w:pPr>
        <w:pStyle w:val="SingleTxt"/>
        <w:spacing w:after="0" w:line="120" w:lineRule="exact"/>
        <w:rPr>
          <w:sz w:val="10"/>
          <w:lang w:val="fr-FR"/>
        </w:rPr>
      </w:pPr>
    </w:p>
    <w:p w14:paraId="41B50328" w14:textId="77777777" w:rsidR="00744544" w:rsidRPr="00A66C9F" w:rsidRDefault="00744544" w:rsidP="00753AB8">
      <w:pPr>
        <w:pStyle w:val="SingleTxt"/>
        <w:numPr>
          <w:ilvl w:val="0"/>
          <w:numId w:val="19"/>
        </w:numPr>
        <w:spacing w:line="240" w:lineRule="exact"/>
        <w:rPr>
          <w:lang w:val="fr-FR"/>
        </w:rPr>
      </w:pPr>
      <w:r w:rsidRPr="00A66C9F">
        <w:rPr>
          <w:lang w:val="fr-FR"/>
        </w:rPr>
        <w:t>Le risque de liquidité correspond à la probabilité que la Caisse ne puisse dégager les fonds nécessaires pour faire face aux besoins de trésorerie découlant de ses obligations financières. Ces besoins peuvent découler du règlement d’opérations diverses, d’appels au financement d’engagements jusqu’alors non appelés ou non financés, ou du versement de prestations en diverses monnaies. Pour gérer le risque de liquidité, la Caisse a choisi d’investir majoritairement dans des titres réalisables à court terme.</w:t>
      </w:r>
    </w:p>
    <w:p w14:paraId="5846EBC6" w14:textId="77777777" w:rsidR="00744544" w:rsidRPr="00A66C9F" w:rsidRDefault="00744544" w:rsidP="00744544">
      <w:pPr>
        <w:pStyle w:val="SingleTxt"/>
        <w:spacing w:after="0" w:line="120" w:lineRule="exact"/>
        <w:rPr>
          <w:sz w:val="10"/>
          <w:lang w:val="fr-FR"/>
        </w:rPr>
      </w:pPr>
    </w:p>
    <w:p w14:paraId="33CFE764"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t>20.3</w:t>
      </w:r>
      <w:r w:rsidRPr="00A66C9F">
        <w:rPr>
          <w:lang w:val="fr-FR"/>
        </w:rPr>
        <w:tab/>
        <w:t>Risque de marché</w:t>
      </w:r>
    </w:p>
    <w:p w14:paraId="49ECC6B6" w14:textId="77777777" w:rsidR="00744544" w:rsidRPr="00A66C9F" w:rsidRDefault="00744544" w:rsidP="00744544">
      <w:pPr>
        <w:pStyle w:val="SingleTxt"/>
        <w:spacing w:after="0" w:line="120" w:lineRule="exact"/>
        <w:rPr>
          <w:sz w:val="10"/>
          <w:lang w:val="fr-FR"/>
        </w:rPr>
      </w:pPr>
    </w:p>
    <w:p w14:paraId="1B9016BA" w14:textId="77777777" w:rsidR="00744544" w:rsidRPr="00A66C9F" w:rsidRDefault="00744544" w:rsidP="00753AB8">
      <w:pPr>
        <w:pStyle w:val="SingleTxt"/>
        <w:numPr>
          <w:ilvl w:val="0"/>
          <w:numId w:val="19"/>
        </w:numPr>
        <w:spacing w:line="240" w:lineRule="exact"/>
        <w:rPr>
          <w:lang w:val="fr-FR"/>
        </w:rPr>
      </w:pPr>
      <w:r w:rsidRPr="00A66C9F">
        <w:rPr>
          <w:lang w:val="fr-FR"/>
        </w:rPr>
        <w:t>Le risque de marché est le risque que la valeur des actifs de la Caisse fluctue du fait de divers facteurs ayant une incidence sur les titres négociés sur le marché : mouvement des taux d’intérêt, variation des principaux indices, fluctuation des taux de change, instabilité des marchés, etc. Pour le mesurer, la Caisse recourt, outre à la méthode de l’écart type et à celle de la déviation par rapport à un indice de référence, à la méthode VaR (valeur à risque). Les institutions financières et les sociétés de gestion d’actifs se servent communément de la méthode VaR pour mesurer le risque de marché. La Caisse s’est également fixé un niveau de tolérance aux risques d’investissement, qui est défini dans la politique d’investissement approuvée par le Représentant du Secrétaire général. Compte tenu de cette tolérance au risque, un budget risque a été attribué à chaque gestionnaire de portefeuille. Le budget risque évolue d’une année sur l’autre.</w:t>
      </w:r>
    </w:p>
    <w:p w14:paraId="01C4928C" w14:textId="77777777" w:rsidR="00744544" w:rsidRPr="00A66C9F" w:rsidRDefault="00744544" w:rsidP="00753AB8">
      <w:pPr>
        <w:pStyle w:val="SingleTxt"/>
        <w:numPr>
          <w:ilvl w:val="0"/>
          <w:numId w:val="19"/>
        </w:numPr>
        <w:spacing w:line="240" w:lineRule="exact"/>
        <w:rPr>
          <w:lang w:val="fr-FR"/>
        </w:rPr>
      </w:pPr>
      <w:r w:rsidRPr="00A66C9F">
        <w:rPr>
          <w:lang w:val="fr-FR"/>
        </w:rPr>
        <w:t>La méthode VaR permet de mesurer l’exposition d’un portefeuille au risque de marché et la probabilité d’une fluctuation défavorable, c’est-à-dire le niveau de risque. Le but principal est d’évaluer les risques de marché qui découlent des variations des cours. La VaR a trois caractéristiques : a) le montant (en pourcentage ou en dollars) ; b) l’horizon temporel (en l’occurrence, un an) ; c) le niveau de confiance (en l’occurrence, 95 %). Ainsi, une VaR 95 de telle ou telle valeur (en pourcentage ou en dollars) signifie qu’il y a 95 % de chances que les pertes subies par le portefeuille ne dépassent pas ladite valeur (en pourcentage ou en dollars) sur un an. De plus, la Caisse tient compte de la variation de cours se situant en queue de distribution, l’écart négatif attendu, qui mesure la perte moyenne à laquelle elle s’attend lorsque les pertes sont supérieures à la VaR 95, c’est-à-dire les 5 % restants. Elle rend également compte de la contribution au risque. Si l’on considère que le risque pour l’ensemble des actifs de la Caisse équivaut à 100 %, la contribution au risque correspond à la part de chaque catégorie d’actifs dans ce pourcentage. Les contributions au risque sont additives (l’ensemble des contributions équivaut à 100 %), mais les VaR 95 ne le sont pas en raison de l’effet de diversification.</w:t>
      </w:r>
    </w:p>
    <w:p w14:paraId="6D36C871" w14:textId="77777777" w:rsidR="00744544" w:rsidRPr="00A66C9F" w:rsidRDefault="00744544" w:rsidP="00753AB8">
      <w:pPr>
        <w:pStyle w:val="SingleTxt"/>
        <w:numPr>
          <w:ilvl w:val="0"/>
          <w:numId w:val="19"/>
        </w:numPr>
        <w:spacing w:line="240" w:lineRule="exact"/>
        <w:rPr>
          <w:lang w:val="fr-FR"/>
        </w:rPr>
      </w:pPr>
      <w:r w:rsidRPr="00A66C9F">
        <w:rPr>
          <w:lang w:val="fr-FR"/>
        </w:rPr>
        <w:t>Les tableaux ci-après font apparaître quatre aspects importants relatifs aux risques, à savoir : la volatilité (ou écart type) des actifs, exprimée en pourcentage ; la VaR 95 des actifs, également exprimée en pourcentage ; la contribution au risque, autrement dit la part en pourcentage de chaque catégorie d’actifs dans le risque total (égal à 100 %) ; l’écart négatif attendu à 5 % de la valeur des actifs (les VaR de la Caisse étant calculées avec un niveau de confiance de 95 %), qui mesure la perte moyenne à laquelle la Caisse s’attend lorsque les pertes sont supérieures à la VaR 95.</w:t>
      </w:r>
    </w:p>
    <w:p w14:paraId="69B4911C" w14:textId="77777777" w:rsidR="00744544" w:rsidRPr="00A66C9F" w:rsidRDefault="00744544" w:rsidP="00753AB8">
      <w:pPr>
        <w:pStyle w:val="SingleTxt"/>
        <w:numPr>
          <w:ilvl w:val="0"/>
          <w:numId w:val="19"/>
        </w:numPr>
        <w:spacing w:line="240" w:lineRule="exact"/>
        <w:rPr>
          <w:lang w:val="fr-FR"/>
        </w:rPr>
      </w:pPr>
      <w:r w:rsidRPr="00A66C9F">
        <w:rPr>
          <w:lang w:val="fr-FR"/>
        </w:rPr>
        <w:lastRenderedPageBreak/>
        <w:t xml:space="preserve">Les valeurs indiquées dans les tableaux ci-après ont un horizon temporel de un </w:t>
      </w:r>
      <w:r w:rsidRPr="00A66C9F">
        <w:rPr>
          <w:spacing w:val="2"/>
          <w:lang w:val="fr-FR"/>
        </w:rPr>
        <w:t>an. Pour 2019, le taux de volatilité – en valeur absolue (indice de référence non inclus) −</w:t>
      </w:r>
      <w:r w:rsidRPr="00A66C9F">
        <w:rPr>
          <w:lang w:val="fr-FR"/>
        </w:rPr>
        <w:t xml:space="preserve"> applicable à l’ensemble du portefeuille a été estimé à 6,86 %, la VaR 95 a été estimée à 11,32 % et l’écart négatif attendu a été estimé à 17,45 %. Une VaR 95 de 11,32 % indique qu’il y a 95 % de chances que les pertes subies par le portefeuille ne dépassent pas 11,32 % sur un an. La classe d’actifs à laquelle est associée la VaR la plus faible (et qui présente donc le risque le plus limité) est la trésorerie, suivie par les valeurs à revenu fixe, les infrastructures et les forêts exploitables ; la classe d’actifs à laquelle est associée la VaR la plus élevée (et qui présente donc le risque le plus important) est l’immobilier, suivi des produits de base, des actions et du capital-investissement. Les statistiques relatives à la contribution au risque sont établies compte tenu du niveau de risque de la catégorie d’actifs considérée, du poids de celle-ci dans le portefeuille et de sa corrélation avec les autres actifs du portefeuille. Pour 2019, le portefeuille d’actions a contribué à hauteur de 86,17 % au risque total, contre -0,24 % pour les valeurs à revenu fixe, 7,09 % pour l’immobilier, 6,65 % pour le capital-investissement, 0,04 % pour les produits de base, 0,26 % pour les infrastructures et 0,03 % pour les forêts exploitables. Au 31 décembre 2019, les actions représentaient 58,73 % de l’actif net disponible pour le versement des prestations.</w:t>
      </w:r>
    </w:p>
    <w:p w14:paraId="4F2FCBE4" w14:textId="77777777" w:rsidR="00744544" w:rsidRPr="00A66C9F" w:rsidRDefault="00744544" w:rsidP="00753AB8">
      <w:pPr>
        <w:pStyle w:val="SingleTxt"/>
        <w:numPr>
          <w:ilvl w:val="0"/>
          <w:numId w:val="19"/>
        </w:numPr>
        <w:spacing w:line="240" w:lineRule="exact"/>
        <w:rPr>
          <w:lang w:val="fr-FR"/>
        </w:rPr>
      </w:pPr>
      <w:r w:rsidRPr="00A66C9F">
        <w:rPr>
          <w:lang w:val="fr-FR"/>
        </w:rPr>
        <w:t>Les valeurs indiquées dans les tableaux ont été annualisées au moyen d’une simulation rétrospective.</w:t>
      </w:r>
    </w:p>
    <w:p w14:paraId="77ADD92B" w14:textId="77777777" w:rsidR="00744544" w:rsidRPr="00A66C9F" w:rsidRDefault="00744544" w:rsidP="00744544">
      <w:pPr>
        <w:pStyle w:val="SingleTxt"/>
        <w:spacing w:after="0" w:line="120" w:lineRule="exact"/>
        <w:rPr>
          <w:sz w:val="10"/>
          <w:lang w:val="fr-FR"/>
        </w:rPr>
      </w:pPr>
    </w:p>
    <w:p w14:paraId="637143AD" w14:textId="77777777" w:rsidR="00744544" w:rsidRPr="00A66C9F" w:rsidRDefault="00744544" w:rsidP="0074454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lang w:val="fr-FR"/>
        </w:rPr>
        <w:tab/>
      </w:r>
      <w:r w:rsidRPr="00A66C9F">
        <w:rPr>
          <w:lang w:val="fr-FR"/>
        </w:rPr>
        <w:tab/>
      </w:r>
      <w:r w:rsidRPr="00A66C9F">
        <w:rPr>
          <w:sz w:val="14"/>
          <w:szCs w:val="14"/>
          <w:lang w:val="fr-FR"/>
        </w:rPr>
        <w:t>(En pourcentage)</w:t>
      </w:r>
    </w:p>
    <w:p w14:paraId="0B3E23D6" w14:textId="77777777" w:rsidR="00744544" w:rsidRPr="00A66C9F" w:rsidRDefault="00744544" w:rsidP="00744544">
      <w:pPr>
        <w:pStyle w:val="SingleTxt"/>
        <w:keepNext/>
        <w:spacing w:after="0" w:line="120" w:lineRule="exact"/>
        <w:rPr>
          <w:sz w:val="10"/>
          <w:lang w:val="fr-FR"/>
        </w:rPr>
      </w:pPr>
    </w:p>
    <w:p w14:paraId="69F17001" w14:textId="77777777" w:rsidR="00744544" w:rsidRPr="00A66C9F" w:rsidRDefault="00744544" w:rsidP="00744544">
      <w:pPr>
        <w:pStyle w:val="SingleTxt"/>
        <w:keepNext/>
        <w:spacing w:after="0" w:line="120" w:lineRule="exact"/>
        <w:rPr>
          <w:sz w:val="10"/>
          <w:lang w:val="fr-FR"/>
        </w:rPr>
      </w:pPr>
    </w:p>
    <w:tbl>
      <w:tblPr>
        <w:tblW w:w="3720" w:type="pct"/>
        <w:tblInd w:w="1260" w:type="dxa"/>
        <w:tblLayout w:type="fixed"/>
        <w:tblCellMar>
          <w:left w:w="0" w:type="dxa"/>
          <w:right w:w="0" w:type="dxa"/>
        </w:tblCellMar>
        <w:tblLook w:val="04A0" w:firstRow="1" w:lastRow="0" w:firstColumn="1" w:lastColumn="0" w:noHBand="0" w:noVBand="1"/>
      </w:tblPr>
      <w:tblGrid>
        <w:gridCol w:w="2550"/>
        <w:gridCol w:w="1193"/>
        <w:gridCol w:w="1193"/>
        <w:gridCol w:w="1193"/>
        <w:gridCol w:w="1192"/>
      </w:tblGrid>
      <w:tr w:rsidR="00744544" w:rsidRPr="00A66C9F" w14:paraId="798157CA" w14:textId="77777777" w:rsidTr="00107D5D">
        <w:trPr>
          <w:tblHeader/>
        </w:trPr>
        <w:tc>
          <w:tcPr>
            <w:tcW w:w="1741" w:type="pct"/>
            <w:tcBorders>
              <w:top w:val="single" w:sz="4" w:space="0" w:color="auto"/>
            </w:tcBorders>
            <w:shd w:val="clear" w:color="auto" w:fill="auto"/>
            <w:vAlign w:val="bottom"/>
          </w:tcPr>
          <w:p w14:paraId="6E62B718" w14:textId="77777777" w:rsidR="00744544" w:rsidRPr="00A66C9F" w:rsidRDefault="00744544" w:rsidP="00107D5D">
            <w:pPr>
              <w:suppressAutoHyphens/>
              <w:spacing w:before="81" w:after="81" w:line="160" w:lineRule="exact"/>
              <w:ind w:right="40"/>
              <w:rPr>
                <w:i/>
                <w:sz w:val="14"/>
                <w:lang w:val="fr-FR"/>
              </w:rPr>
            </w:pPr>
          </w:p>
        </w:tc>
        <w:tc>
          <w:tcPr>
            <w:tcW w:w="3259" w:type="pct"/>
            <w:gridSpan w:val="4"/>
            <w:tcBorders>
              <w:top w:val="single" w:sz="4" w:space="0" w:color="auto"/>
              <w:bottom w:val="single" w:sz="4" w:space="0" w:color="auto"/>
            </w:tcBorders>
            <w:shd w:val="clear" w:color="auto" w:fill="auto"/>
            <w:vAlign w:val="bottom"/>
          </w:tcPr>
          <w:p w14:paraId="5C1700AA" w14:textId="77777777" w:rsidR="00744544" w:rsidRPr="00A66C9F" w:rsidRDefault="00744544" w:rsidP="00107D5D">
            <w:pPr>
              <w:suppressAutoHyphens/>
              <w:spacing w:before="81" w:after="81" w:line="160" w:lineRule="exact"/>
              <w:ind w:right="43"/>
              <w:jc w:val="center"/>
              <w:rPr>
                <w:i/>
                <w:sz w:val="14"/>
                <w:lang w:val="fr-FR"/>
              </w:rPr>
            </w:pPr>
            <w:r w:rsidRPr="00A66C9F">
              <w:rPr>
                <w:i/>
                <w:sz w:val="14"/>
                <w:lang w:val="fr-FR"/>
              </w:rPr>
              <w:t>2019</w:t>
            </w:r>
          </w:p>
        </w:tc>
      </w:tr>
      <w:tr w:rsidR="00744544" w:rsidRPr="00A66C9F" w14:paraId="74F589C6" w14:textId="77777777" w:rsidTr="00107D5D">
        <w:trPr>
          <w:tblHeader/>
        </w:trPr>
        <w:tc>
          <w:tcPr>
            <w:tcW w:w="1741" w:type="pct"/>
            <w:tcBorders>
              <w:bottom w:val="single" w:sz="12" w:space="0" w:color="auto"/>
            </w:tcBorders>
            <w:shd w:val="clear" w:color="auto" w:fill="auto"/>
            <w:vAlign w:val="bottom"/>
            <w:hideMark/>
          </w:tcPr>
          <w:p w14:paraId="7211DF02" w14:textId="77777777" w:rsidR="00744544" w:rsidRPr="00A66C9F" w:rsidRDefault="00744544" w:rsidP="00107D5D">
            <w:pPr>
              <w:suppressAutoHyphens/>
              <w:spacing w:before="81" w:after="81" w:line="160" w:lineRule="exact"/>
              <w:ind w:right="40"/>
              <w:rPr>
                <w:i/>
                <w:sz w:val="14"/>
                <w:lang w:val="fr-FR"/>
              </w:rPr>
            </w:pPr>
            <w:r w:rsidRPr="00A66C9F">
              <w:rPr>
                <w:i/>
                <w:sz w:val="14"/>
                <w:lang w:val="fr-FR"/>
              </w:rPr>
              <w:t>Catégorie d’actifs</w:t>
            </w:r>
          </w:p>
        </w:tc>
        <w:tc>
          <w:tcPr>
            <w:tcW w:w="815" w:type="pct"/>
            <w:tcBorders>
              <w:top w:val="single" w:sz="4" w:space="0" w:color="auto"/>
              <w:bottom w:val="single" w:sz="12" w:space="0" w:color="auto"/>
            </w:tcBorders>
            <w:shd w:val="clear" w:color="auto" w:fill="auto"/>
            <w:vAlign w:val="bottom"/>
            <w:hideMark/>
          </w:tcPr>
          <w:p w14:paraId="32A54F08"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Volatilité</w:t>
            </w:r>
            <w:r w:rsidRPr="00A66C9F">
              <w:rPr>
                <w:i/>
                <w:sz w:val="14"/>
                <w:lang w:val="fr-FR"/>
              </w:rPr>
              <w:br/>
              <w:t>(écart type)</w:t>
            </w:r>
          </w:p>
        </w:tc>
        <w:tc>
          <w:tcPr>
            <w:tcW w:w="815" w:type="pct"/>
            <w:tcBorders>
              <w:top w:val="single" w:sz="4" w:space="0" w:color="auto"/>
              <w:bottom w:val="single" w:sz="12" w:space="0" w:color="auto"/>
            </w:tcBorders>
            <w:shd w:val="clear" w:color="auto" w:fill="auto"/>
            <w:vAlign w:val="bottom"/>
            <w:hideMark/>
          </w:tcPr>
          <w:p w14:paraId="0AD5B0C3"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VaR (95 %)</w:t>
            </w:r>
          </w:p>
        </w:tc>
        <w:tc>
          <w:tcPr>
            <w:tcW w:w="815" w:type="pct"/>
            <w:tcBorders>
              <w:top w:val="single" w:sz="4" w:space="0" w:color="auto"/>
              <w:bottom w:val="single" w:sz="12" w:space="0" w:color="auto"/>
            </w:tcBorders>
            <w:shd w:val="clear" w:color="auto" w:fill="auto"/>
            <w:vAlign w:val="bottom"/>
            <w:hideMark/>
          </w:tcPr>
          <w:p w14:paraId="42EAEDED"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Contribution</w:t>
            </w:r>
            <w:r w:rsidRPr="00A66C9F">
              <w:rPr>
                <w:i/>
                <w:sz w:val="14"/>
                <w:lang w:val="fr-FR"/>
              </w:rPr>
              <w:br/>
              <w:t>au risque</w:t>
            </w:r>
          </w:p>
        </w:tc>
        <w:tc>
          <w:tcPr>
            <w:tcW w:w="815" w:type="pct"/>
            <w:tcBorders>
              <w:top w:val="single" w:sz="4" w:space="0" w:color="auto"/>
              <w:bottom w:val="single" w:sz="12" w:space="0" w:color="auto"/>
            </w:tcBorders>
            <w:shd w:val="clear" w:color="auto" w:fill="auto"/>
            <w:vAlign w:val="bottom"/>
            <w:hideMark/>
          </w:tcPr>
          <w:p w14:paraId="49B662B5"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Écart négatif</w:t>
            </w:r>
            <w:r w:rsidRPr="00A66C9F">
              <w:rPr>
                <w:i/>
                <w:sz w:val="14"/>
                <w:lang w:val="fr-FR"/>
              </w:rPr>
              <w:br/>
              <w:t>attendu (5 %)</w:t>
            </w:r>
          </w:p>
        </w:tc>
      </w:tr>
      <w:tr w:rsidR="00744544" w:rsidRPr="00A66C9F" w14:paraId="78B47539" w14:textId="77777777" w:rsidTr="00107D5D">
        <w:trPr>
          <w:trHeight w:hRule="exact" w:val="115"/>
          <w:tblHeader/>
        </w:trPr>
        <w:tc>
          <w:tcPr>
            <w:tcW w:w="1741" w:type="pct"/>
            <w:tcBorders>
              <w:top w:val="single" w:sz="12" w:space="0" w:color="auto"/>
            </w:tcBorders>
            <w:shd w:val="clear" w:color="auto" w:fill="auto"/>
            <w:vAlign w:val="bottom"/>
          </w:tcPr>
          <w:p w14:paraId="0AB370D6" w14:textId="77777777" w:rsidR="00744544" w:rsidRPr="00A66C9F" w:rsidRDefault="00744544" w:rsidP="00107D5D">
            <w:pPr>
              <w:suppressAutoHyphens/>
              <w:spacing w:before="40" w:after="40" w:line="210" w:lineRule="exact"/>
              <w:ind w:right="40"/>
              <w:rPr>
                <w:sz w:val="17"/>
                <w:lang w:val="fr-FR"/>
              </w:rPr>
            </w:pPr>
          </w:p>
        </w:tc>
        <w:tc>
          <w:tcPr>
            <w:tcW w:w="815" w:type="pct"/>
            <w:tcBorders>
              <w:top w:val="single" w:sz="12" w:space="0" w:color="auto"/>
            </w:tcBorders>
            <w:shd w:val="clear" w:color="auto" w:fill="auto"/>
            <w:vAlign w:val="bottom"/>
          </w:tcPr>
          <w:p w14:paraId="20FC779E" w14:textId="77777777" w:rsidR="00744544" w:rsidRPr="00A66C9F" w:rsidRDefault="00744544" w:rsidP="00107D5D">
            <w:pPr>
              <w:suppressAutoHyphens/>
              <w:spacing w:before="40" w:after="40" w:line="210" w:lineRule="exact"/>
              <w:ind w:right="43"/>
              <w:jc w:val="right"/>
              <w:rPr>
                <w:sz w:val="17"/>
                <w:lang w:val="fr-FR"/>
              </w:rPr>
            </w:pPr>
          </w:p>
        </w:tc>
        <w:tc>
          <w:tcPr>
            <w:tcW w:w="815" w:type="pct"/>
            <w:tcBorders>
              <w:top w:val="single" w:sz="12" w:space="0" w:color="auto"/>
            </w:tcBorders>
            <w:shd w:val="clear" w:color="auto" w:fill="auto"/>
            <w:vAlign w:val="bottom"/>
          </w:tcPr>
          <w:p w14:paraId="1085B2E1" w14:textId="77777777" w:rsidR="00744544" w:rsidRPr="00A66C9F" w:rsidRDefault="00744544" w:rsidP="00107D5D">
            <w:pPr>
              <w:suppressAutoHyphens/>
              <w:spacing w:before="40" w:after="40" w:line="210" w:lineRule="exact"/>
              <w:ind w:right="43"/>
              <w:jc w:val="right"/>
              <w:rPr>
                <w:sz w:val="17"/>
                <w:lang w:val="fr-FR"/>
              </w:rPr>
            </w:pPr>
          </w:p>
        </w:tc>
        <w:tc>
          <w:tcPr>
            <w:tcW w:w="815" w:type="pct"/>
            <w:tcBorders>
              <w:top w:val="single" w:sz="12" w:space="0" w:color="auto"/>
            </w:tcBorders>
            <w:shd w:val="clear" w:color="auto" w:fill="auto"/>
            <w:vAlign w:val="bottom"/>
          </w:tcPr>
          <w:p w14:paraId="742C2A57" w14:textId="77777777" w:rsidR="00744544" w:rsidRPr="00A66C9F" w:rsidRDefault="00744544" w:rsidP="00107D5D">
            <w:pPr>
              <w:suppressAutoHyphens/>
              <w:spacing w:before="40" w:after="40" w:line="210" w:lineRule="exact"/>
              <w:ind w:right="43"/>
              <w:jc w:val="right"/>
              <w:rPr>
                <w:sz w:val="17"/>
                <w:lang w:val="fr-FR"/>
              </w:rPr>
            </w:pPr>
          </w:p>
        </w:tc>
        <w:tc>
          <w:tcPr>
            <w:tcW w:w="815" w:type="pct"/>
            <w:tcBorders>
              <w:top w:val="single" w:sz="12" w:space="0" w:color="auto"/>
            </w:tcBorders>
            <w:shd w:val="clear" w:color="auto" w:fill="auto"/>
            <w:vAlign w:val="bottom"/>
          </w:tcPr>
          <w:p w14:paraId="5D614C2E" w14:textId="77777777" w:rsidR="00744544" w:rsidRPr="00A66C9F" w:rsidRDefault="00744544" w:rsidP="00107D5D">
            <w:pPr>
              <w:suppressAutoHyphens/>
              <w:spacing w:before="40" w:after="40" w:line="210" w:lineRule="exact"/>
              <w:ind w:right="43"/>
              <w:jc w:val="right"/>
              <w:rPr>
                <w:sz w:val="17"/>
                <w:lang w:val="fr-FR"/>
              </w:rPr>
            </w:pPr>
          </w:p>
        </w:tc>
      </w:tr>
      <w:tr w:rsidR="00744544" w:rsidRPr="00A66C9F" w14:paraId="78F00963" w14:textId="77777777" w:rsidTr="00107D5D">
        <w:tc>
          <w:tcPr>
            <w:tcW w:w="1741" w:type="pct"/>
            <w:shd w:val="clear" w:color="auto" w:fill="auto"/>
            <w:vAlign w:val="bottom"/>
          </w:tcPr>
          <w:p w14:paraId="3E01F6D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Total des actifs de la Caisse</w:t>
            </w:r>
          </w:p>
        </w:tc>
        <w:tc>
          <w:tcPr>
            <w:tcW w:w="815" w:type="pct"/>
            <w:shd w:val="clear" w:color="auto" w:fill="auto"/>
            <w:vAlign w:val="bottom"/>
          </w:tcPr>
          <w:p w14:paraId="6C67FFC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6,86</w:t>
            </w:r>
          </w:p>
        </w:tc>
        <w:tc>
          <w:tcPr>
            <w:tcW w:w="815" w:type="pct"/>
            <w:shd w:val="clear" w:color="auto" w:fill="auto"/>
            <w:vAlign w:val="bottom"/>
          </w:tcPr>
          <w:p w14:paraId="6CCD704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11,32</w:t>
            </w:r>
          </w:p>
        </w:tc>
        <w:tc>
          <w:tcPr>
            <w:tcW w:w="815" w:type="pct"/>
            <w:shd w:val="clear" w:color="auto" w:fill="auto"/>
            <w:vAlign w:val="bottom"/>
          </w:tcPr>
          <w:p w14:paraId="20594A1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100,00</w:t>
            </w:r>
          </w:p>
        </w:tc>
        <w:tc>
          <w:tcPr>
            <w:tcW w:w="815" w:type="pct"/>
            <w:shd w:val="clear" w:color="auto" w:fill="auto"/>
            <w:vAlign w:val="bottom"/>
          </w:tcPr>
          <w:p w14:paraId="1C7CC07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17,45</w:t>
            </w:r>
          </w:p>
        </w:tc>
      </w:tr>
      <w:tr w:rsidR="00744544" w:rsidRPr="00A66C9F" w14:paraId="7B8BA6A5" w14:textId="77777777" w:rsidTr="00107D5D">
        <w:tc>
          <w:tcPr>
            <w:tcW w:w="1741" w:type="pct"/>
            <w:shd w:val="clear" w:color="auto" w:fill="auto"/>
            <w:vAlign w:val="bottom"/>
          </w:tcPr>
          <w:p w14:paraId="2BA526B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Total des actions</w:t>
            </w:r>
          </w:p>
        </w:tc>
        <w:tc>
          <w:tcPr>
            <w:tcW w:w="815" w:type="pct"/>
            <w:shd w:val="clear" w:color="auto" w:fill="auto"/>
            <w:vAlign w:val="bottom"/>
          </w:tcPr>
          <w:p w14:paraId="79CABE7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10,17</w:t>
            </w:r>
          </w:p>
        </w:tc>
        <w:tc>
          <w:tcPr>
            <w:tcW w:w="815" w:type="pct"/>
            <w:shd w:val="clear" w:color="auto" w:fill="auto"/>
            <w:vAlign w:val="bottom"/>
          </w:tcPr>
          <w:p w14:paraId="71F933A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18,16</w:t>
            </w:r>
          </w:p>
        </w:tc>
        <w:tc>
          <w:tcPr>
            <w:tcW w:w="815" w:type="pct"/>
            <w:shd w:val="clear" w:color="auto" w:fill="auto"/>
            <w:vAlign w:val="bottom"/>
          </w:tcPr>
          <w:p w14:paraId="0040049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86,17</w:t>
            </w:r>
          </w:p>
        </w:tc>
        <w:tc>
          <w:tcPr>
            <w:tcW w:w="815" w:type="pct"/>
            <w:shd w:val="clear" w:color="auto" w:fill="auto"/>
            <w:vAlign w:val="bottom"/>
          </w:tcPr>
          <w:p w14:paraId="32FBA8E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26,08</w:t>
            </w:r>
          </w:p>
        </w:tc>
      </w:tr>
      <w:tr w:rsidR="00744544" w:rsidRPr="00A66C9F" w14:paraId="69E0D41E" w14:textId="77777777" w:rsidTr="00107D5D">
        <w:tc>
          <w:tcPr>
            <w:tcW w:w="1741" w:type="pct"/>
            <w:shd w:val="clear" w:color="auto" w:fill="auto"/>
            <w:vAlign w:val="bottom"/>
          </w:tcPr>
          <w:p w14:paraId="3784F26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Valeurs à revenu fixe</w:t>
            </w:r>
          </w:p>
        </w:tc>
        <w:tc>
          <w:tcPr>
            <w:tcW w:w="815" w:type="pct"/>
            <w:shd w:val="clear" w:color="auto" w:fill="auto"/>
            <w:vAlign w:val="bottom"/>
          </w:tcPr>
          <w:p w14:paraId="0254AAB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2,58</w:t>
            </w:r>
          </w:p>
        </w:tc>
        <w:tc>
          <w:tcPr>
            <w:tcW w:w="815" w:type="pct"/>
            <w:shd w:val="clear" w:color="auto" w:fill="auto"/>
            <w:vAlign w:val="bottom"/>
          </w:tcPr>
          <w:p w14:paraId="05252E8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4,36</w:t>
            </w:r>
          </w:p>
        </w:tc>
        <w:tc>
          <w:tcPr>
            <w:tcW w:w="815" w:type="pct"/>
            <w:shd w:val="clear" w:color="auto" w:fill="auto"/>
            <w:vAlign w:val="bottom"/>
          </w:tcPr>
          <w:p w14:paraId="7E75DB6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(0,24)</w:t>
            </w:r>
          </w:p>
        </w:tc>
        <w:tc>
          <w:tcPr>
            <w:tcW w:w="815" w:type="pct"/>
            <w:shd w:val="clear" w:color="auto" w:fill="auto"/>
            <w:vAlign w:val="bottom"/>
          </w:tcPr>
          <w:p w14:paraId="0A6F461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5,65</w:t>
            </w:r>
          </w:p>
        </w:tc>
      </w:tr>
      <w:tr w:rsidR="00744544" w:rsidRPr="00A66C9F" w14:paraId="0B5FDCC7" w14:textId="77777777" w:rsidTr="00107D5D">
        <w:tc>
          <w:tcPr>
            <w:tcW w:w="1741" w:type="pct"/>
            <w:shd w:val="clear" w:color="auto" w:fill="auto"/>
            <w:vAlign w:val="bottom"/>
          </w:tcPr>
          <w:p w14:paraId="7136751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Trésorerie et dépôts à court terme</w:t>
            </w:r>
          </w:p>
        </w:tc>
        <w:tc>
          <w:tcPr>
            <w:tcW w:w="815" w:type="pct"/>
            <w:shd w:val="clear" w:color="auto" w:fill="auto"/>
            <w:vAlign w:val="bottom"/>
          </w:tcPr>
          <w:p w14:paraId="5136C64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0,16</w:t>
            </w:r>
          </w:p>
        </w:tc>
        <w:tc>
          <w:tcPr>
            <w:tcW w:w="815" w:type="pct"/>
            <w:shd w:val="clear" w:color="auto" w:fill="auto"/>
            <w:vAlign w:val="bottom"/>
          </w:tcPr>
          <w:p w14:paraId="3D6254C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0,25</w:t>
            </w:r>
          </w:p>
        </w:tc>
        <w:tc>
          <w:tcPr>
            <w:tcW w:w="815" w:type="pct"/>
            <w:shd w:val="clear" w:color="auto" w:fill="auto"/>
            <w:vAlign w:val="bottom"/>
          </w:tcPr>
          <w:p w14:paraId="005C651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0,00</w:t>
            </w:r>
          </w:p>
        </w:tc>
        <w:tc>
          <w:tcPr>
            <w:tcW w:w="815" w:type="pct"/>
            <w:shd w:val="clear" w:color="auto" w:fill="auto"/>
            <w:vAlign w:val="bottom"/>
          </w:tcPr>
          <w:p w14:paraId="739DE4C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0,34</w:t>
            </w:r>
          </w:p>
        </w:tc>
      </w:tr>
      <w:tr w:rsidR="00744544" w:rsidRPr="00A66C9F" w14:paraId="254688B3" w14:textId="77777777" w:rsidTr="00107D5D">
        <w:tc>
          <w:tcPr>
            <w:tcW w:w="1741" w:type="pct"/>
            <w:shd w:val="clear" w:color="auto" w:fill="auto"/>
            <w:vAlign w:val="bottom"/>
          </w:tcPr>
          <w:p w14:paraId="77A57EA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Immobilier</w:t>
            </w:r>
          </w:p>
        </w:tc>
        <w:tc>
          <w:tcPr>
            <w:tcW w:w="815" w:type="pct"/>
            <w:shd w:val="clear" w:color="auto" w:fill="auto"/>
            <w:vAlign w:val="bottom"/>
          </w:tcPr>
          <w:p w14:paraId="22F8CDF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12,83</w:t>
            </w:r>
          </w:p>
        </w:tc>
        <w:tc>
          <w:tcPr>
            <w:tcW w:w="815" w:type="pct"/>
            <w:shd w:val="clear" w:color="auto" w:fill="auto"/>
            <w:vAlign w:val="bottom"/>
          </w:tcPr>
          <w:p w14:paraId="3E0376E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21,59</w:t>
            </w:r>
          </w:p>
        </w:tc>
        <w:tc>
          <w:tcPr>
            <w:tcW w:w="815" w:type="pct"/>
            <w:shd w:val="clear" w:color="auto" w:fill="auto"/>
            <w:vAlign w:val="bottom"/>
          </w:tcPr>
          <w:p w14:paraId="25F4FF1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7,09</w:t>
            </w:r>
          </w:p>
        </w:tc>
        <w:tc>
          <w:tcPr>
            <w:tcW w:w="815" w:type="pct"/>
            <w:shd w:val="clear" w:color="auto" w:fill="auto"/>
            <w:vAlign w:val="bottom"/>
          </w:tcPr>
          <w:p w14:paraId="42E9FAC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30,42</w:t>
            </w:r>
          </w:p>
        </w:tc>
      </w:tr>
      <w:tr w:rsidR="00744544" w:rsidRPr="00A66C9F" w14:paraId="0048E65A" w14:textId="77777777" w:rsidTr="00107D5D">
        <w:tc>
          <w:tcPr>
            <w:tcW w:w="1741" w:type="pct"/>
            <w:shd w:val="clear" w:color="auto" w:fill="auto"/>
            <w:vAlign w:val="bottom"/>
          </w:tcPr>
          <w:p w14:paraId="1DF6FDC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Capital-investissement</w:t>
            </w:r>
          </w:p>
        </w:tc>
        <w:tc>
          <w:tcPr>
            <w:tcW w:w="815" w:type="pct"/>
            <w:shd w:val="clear" w:color="auto" w:fill="auto"/>
            <w:vAlign w:val="bottom"/>
          </w:tcPr>
          <w:p w14:paraId="2773022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9,88</w:t>
            </w:r>
          </w:p>
        </w:tc>
        <w:tc>
          <w:tcPr>
            <w:tcW w:w="815" w:type="pct"/>
            <w:shd w:val="clear" w:color="auto" w:fill="auto"/>
            <w:vAlign w:val="bottom"/>
          </w:tcPr>
          <w:p w14:paraId="02266ED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17,62</w:t>
            </w:r>
          </w:p>
        </w:tc>
        <w:tc>
          <w:tcPr>
            <w:tcW w:w="815" w:type="pct"/>
            <w:shd w:val="clear" w:color="auto" w:fill="auto"/>
            <w:vAlign w:val="bottom"/>
          </w:tcPr>
          <w:p w14:paraId="1777957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6,65</w:t>
            </w:r>
          </w:p>
        </w:tc>
        <w:tc>
          <w:tcPr>
            <w:tcW w:w="815" w:type="pct"/>
            <w:shd w:val="clear" w:color="auto" w:fill="auto"/>
            <w:vAlign w:val="bottom"/>
          </w:tcPr>
          <w:p w14:paraId="61AE8C4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25,48</w:t>
            </w:r>
          </w:p>
        </w:tc>
      </w:tr>
      <w:tr w:rsidR="00744544" w:rsidRPr="00A66C9F" w14:paraId="6B20141D" w14:textId="77777777" w:rsidTr="00107D5D">
        <w:tc>
          <w:tcPr>
            <w:tcW w:w="1741" w:type="pct"/>
            <w:shd w:val="clear" w:color="auto" w:fill="auto"/>
            <w:vAlign w:val="bottom"/>
          </w:tcPr>
          <w:p w14:paraId="07B9BAA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Produits de base</w:t>
            </w:r>
          </w:p>
        </w:tc>
        <w:tc>
          <w:tcPr>
            <w:tcW w:w="815" w:type="pct"/>
            <w:shd w:val="clear" w:color="auto" w:fill="auto"/>
            <w:vAlign w:val="bottom"/>
          </w:tcPr>
          <w:p w14:paraId="7B3A55B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10,41</w:t>
            </w:r>
          </w:p>
        </w:tc>
        <w:tc>
          <w:tcPr>
            <w:tcW w:w="815" w:type="pct"/>
            <w:shd w:val="clear" w:color="auto" w:fill="auto"/>
            <w:vAlign w:val="bottom"/>
          </w:tcPr>
          <w:p w14:paraId="07F7F6F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17,38</w:t>
            </w:r>
          </w:p>
        </w:tc>
        <w:tc>
          <w:tcPr>
            <w:tcW w:w="815" w:type="pct"/>
            <w:shd w:val="clear" w:color="auto" w:fill="auto"/>
            <w:vAlign w:val="bottom"/>
          </w:tcPr>
          <w:p w14:paraId="4EC9243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0,04</w:t>
            </w:r>
          </w:p>
        </w:tc>
        <w:tc>
          <w:tcPr>
            <w:tcW w:w="815" w:type="pct"/>
            <w:shd w:val="clear" w:color="auto" w:fill="auto"/>
            <w:vAlign w:val="bottom"/>
          </w:tcPr>
          <w:p w14:paraId="158003D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24,76</w:t>
            </w:r>
          </w:p>
        </w:tc>
      </w:tr>
      <w:tr w:rsidR="00744544" w:rsidRPr="00A66C9F" w14:paraId="386CFCF1" w14:textId="77777777" w:rsidTr="00107D5D">
        <w:tc>
          <w:tcPr>
            <w:tcW w:w="1741" w:type="pct"/>
            <w:shd w:val="clear" w:color="auto" w:fill="auto"/>
            <w:vAlign w:val="bottom"/>
          </w:tcPr>
          <w:p w14:paraId="48B0818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Infrastructures</w:t>
            </w:r>
          </w:p>
        </w:tc>
        <w:tc>
          <w:tcPr>
            <w:tcW w:w="815" w:type="pct"/>
            <w:shd w:val="clear" w:color="auto" w:fill="auto"/>
            <w:vAlign w:val="bottom"/>
          </w:tcPr>
          <w:p w14:paraId="36665F4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9,67</w:t>
            </w:r>
          </w:p>
        </w:tc>
        <w:tc>
          <w:tcPr>
            <w:tcW w:w="815" w:type="pct"/>
            <w:shd w:val="clear" w:color="auto" w:fill="auto"/>
            <w:vAlign w:val="bottom"/>
          </w:tcPr>
          <w:p w14:paraId="1061FFF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17,52</w:t>
            </w:r>
          </w:p>
        </w:tc>
        <w:tc>
          <w:tcPr>
            <w:tcW w:w="815" w:type="pct"/>
            <w:shd w:val="clear" w:color="auto" w:fill="auto"/>
            <w:vAlign w:val="bottom"/>
          </w:tcPr>
          <w:p w14:paraId="1AA539B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0,26</w:t>
            </w:r>
          </w:p>
        </w:tc>
        <w:tc>
          <w:tcPr>
            <w:tcW w:w="815" w:type="pct"/>
            <w:shd w:val="clear" w:color="auto" w:fill="auto"/>
            <w:vAlign w:val="bottom"/>
          </w:tcPr>
          <w:p w14:paraId="4FA2ED0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25,32</w:t>
            </w:r>
          </w:p>
        </w:tc>
      </w:tr>
      <w:tr w:rsidR="00744544" w:rsidRPr="00A66C9F" w14:paraId="2E17835F" w14:textId="77777777" w:rsidTr="00107D5D">
        <w:tc>
          <w:tcPr>
            <w:tcW w:w="1741" w:type="pct"/>
            <w:tcBorders>
              <w:bottom w:val="single" w:sz="12" w:space="0" w:color="auto"/>
            </w:tcBorders>
            <w:shd w:val="clear" w:color="auto" w:fill="auto"/>
            <w:vAlign w:val="bottom"/>
          </w:tcPr>
          <w:p w14:paraId="48306EA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Forêts exploitables</w:t>
            </w:r>
          </w:p>
        </w:tc>
        <w:tc>
          <w:tcPr>
            <w:tcW w:w="815" w:type="pct"/>
            <w:tcBorders>
              <w:bottom w:val="single" w:sz="12" w:space="0" w:color="auto"/>
            </w:tcBorders>
            <w:shd w:val="clear" w:color="auto" w:fill="auto"/>
            <w:vAlign w:val="bottom"/>
          </w:tcPr>
          <w:p w14:paraId="051128D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9,67</w:t>
            </w:r>
          </w:p>
        </w:tc>
        <w:tc>
          <w:tcPr>
            <w:tcW w:w="815" w:type="pct"/>
            <w:tcBorders>
              <w:bottom w:val="single" w:sz="12" w:space="0" w:color="auto"/>
            </w:tcBorders>
            <w:shd w:val="clear" w:color="auto" w:fill="auto"/>
            <w:vAlign w:val="bottom"/>
          </w:tcPr>
          <w:p w14:paraId="7E57F6A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17,52</w:t>
            </w:r>
          </w:p>
        </w:tc>
        <w:tc>
          <w:tcPr>
            <w:tcW w:w="815" w:type="pct"/>
            <w:tcBorders>
              <w:bottom w:val="single" w:sz="12" w:space="0" w:color="auto"/>
            </w:tcBorders>
            <w:shd w:val="clear" w:color="auto" w:fill="auto"/>
            <w:vAlign w:val="bottom"/>
          </w:tcPr>
          <w:p w14:paraId="0F9F246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0,03</w:t>
            </w:r>
          </w:p>
        </w:tc>
        <w:tc>
          <w:tcPr>
            <w:tcW w:w="815" w:type="pct"/>
            <w:tcBorders>
              <w:bottom w:val="single" w:sz="12" w:space="0" w:color="auto"/>
            </w:tcBorders>
            <w:shd w:val="clear" w:color="auto" w:fill="auto"/>
            <w:vAlign w:val="bottom"/>
          </w:tcPr>
          <w:p w14:paraId="6743C63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25,32</w:t>
            </w:r>
          </w:p>
        </w:tc>
      </w:tr>
    </w:tbl>
    <w:p w14:paraId="57179C1E" w14:textId="77777777" w:rsidR="00744544" w:rsidRPr="00A66C9F" w:rsidRDefault="00744544" w:rsidP="00744544">
      <w:pPr>
        <w:pStyle w:val="SingleTxt"/>
        <w:spacing w:after="0" w:line="120" w:lineRule="exact"/>
        <w:rPr>
          <w:sz w:val="10"/>
          <w:lang w:val="fr-FR"/>
        </w:rPr>
      </w:pPr>
    </w:p>
    <w:p w14:paraId="3FCD051D" w14:textId="77777777" w:rsidR="00744544" w:rsidRPr="00A66C9F" w:rsidRDefault="00744544" w:rsidP="00744544">
      <w:pPr>
        <w:pStyle w:val="FootnoteText"/>
        <w:tabs>
          <w:tab w:val="right" w:pos="1476"/>
          <w:tab w:val="left" w:pos="1548"/>
          <w:tab w:val="right" w:pos="1836"/>
          <w:tab w:val="left" w:pos="1908"/>
        </w:tabs>
        <w:suppressAutoHyphens/>
        <w:ind w:left="1548" w:right="1267" w:hanging="288"/>
        <w:rPr>
          <w:lang w:val="fr-FR"/>
        </w:rPr>
      </w:pPr>
      <w:r w:rsidRPr="00A66C9F">
        <w:rPr>
          <w:i/>
          <w:iCs/>
          <w:lang w:val="fr-FR"/>
        </w:rPr>
        <w:t>Note</w:t>
      </w:r>
      <w:r w:rsidRPr="00A66C9F">
        <w:rPr>
          <w:lang w:val="fr-FR"/>
        </w:rPr>
        <w:t> : Les chiffres sont extraits du système MSCI RiskMetrics au 31 décembre 2019. Les pourcentages sont arrondis deux chiffres après la virgule ; 0,00 % indique une valeur inférieure à 0,01 % mais différente de zéro.</w:t>
      </w:r>
    </w:p>
    <w:p w14:paraId="3749F7B0" w14:textId="77777777" w:rsidR="00744544" w:rsidRPr="00A66C9F" w:rsidRDefault="00744544" w:rsidP="00744544">
      <w:pPr>
        <w:pStyle w:val="SingleTxt"/>
        <w:spacing w:after="0" w:line="120" w:lineRule="exact"/>
        <w:rPr>
          <w:b/>
          <w:sz w:val="10"/>
          <w:lang w:val="fr-FR"/>
        </w:rPr>
      </w:pPr>
    </w:p>
    <w:p w14:paraId="2BAFDFB9" w14:textId="77777777" w:rsidR="00744544" w:rsidRPr="00A66C9F" w:rsidRDefault="00744544" w:rsidP="00744544">
      <w:pPr>
        <w:pStyle w:val="SingleTxt"/>
        <w:spacing w:after="0" w:line="120" w:lineRule="exact"/>
        <w:rPr>
          <w:b/>
          <w:sz w:val="10"/>
          <w:lang w:val="fr-FR"/>
        </w:rPr>
      </w:pPr>
    </w:p>
    <w:p w14:paraId="15268C4F" w14:textId="77777777" w:rsidR="00744544" w:rsidRPr="00A66C9F" w:rsidRDefault="00744544" w:rsidP="00744544">
      <w:pPr>
        <w:pStyle w:val="SingleTxt"/>
        <w:spacing w:after="0" w:line="120" w:lineRule="exact"/>
        <w:rPr>
          <w:b/>
          <w:sz w:val="10"/>
          <w:lang w:val="fr-FR"/>
        </w:rPr>
      </w:pPr>
    </w:p>
    <w:p w14:paraId="02E16CD9" w14:textId="77777777" w:rsidR="00744544" w:rsidRPr="00A66C9F" w:rsidRDefault="00744544" w:rsidP="0074454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b/>
          <w:lang w:val="fr-FR"/>
        </w:rPr>
        <w:tab/>
      </w:r>
      <w:r w:rsidRPr="00A66C9F">
        <w:rPr>
          <w:b/>
          <w:lang w:val="fr-FR"/>
        </w:rPr>
        <w:tab/>
      </w:r>
      <w:r w:rsidRPr="00A66C9F">
        <w:rPr>
          <w:sz w:val="14"/>
          <w:szCs w:val="14"/>
          <w:lang w:val="fr-FR"/>
        </w:rPr>
        <w:t>(En pourcentage)</w:t>
      </w:r>
    </w:p>
    <w:p w14:paraId="1D197283" w14:textId="77777777" w:rsidR="00744544" w:rsidRPr="00A66C9F" w:rsidRDefault="00744544" w:rsidP="00744544">
      <w:pPr>
        <w:pStyle w:val="SingleTxt"/>
        <w:keepNext/>
        <w:spacing w:after="0" w:line="120" w:lineRule="exact"/>
        <w:rPr>
          <w:sz w:val="10"/>
          <w:lang w:val="fr-FR"/>
        </w:rPr>
      </w:pPr>
    </w:p>
    <w:p w14:paraId="744ACF79" w14:textId="77777777" w:rsidR="00744544" w:rsidRPr="00A66C9F" w:rsidRDefault="00744544" w:rsidP="00744544">
      <w:pPr>
        <w:pStyle w:val="SingleTxt"/>
        <w:keepNext/>
        <w:spacing w:after="0" w:line="120" w:lineRule="exact"/>
        <w:rPr>
          <w:sz w:val="10"/>
          <w:lang w:val="fr-FR"/>
        </w:rPr>
      </w:pPr>
    </w:p>
    <w:tbl>
      <w:tblPr>
        <w:tblW w:w="3721" w:type="pct"/>
        <w:tblInd w:w="1260" w:type="dxa"/>
        <w:tblLayout w:type="fixed"/>
        <w:tblCellMar>
          <w:left w:w="0" w:type="dxa"/>
          <w:right w:w="0" w:type="dxa"/>
        </w:tblCellMar>
        <w:tblLook w:val="04A0" w:firstRow="1" w:lastRow="0" w:firstColumn="1" w:lastColumn="0" w:noHBand="0" w:noVBand="1"/>
      </w:tblPr>
      <w:tblGrid>
        <w:gridCol w:w="2536"/>
        <w:gridCol w:w="1196"/>
        <w:gridCol w:w="1197"/>
        <w:gridCol w:w="1197"/>
        <w:gridCol w:w="1197"/>
      </w:tblGrid>
      <w:tr w:rsidR="00744544" w:rsidRPr="00A66C9F" w14:paraId="58A4D7D8" w14:textId="77777777" w:rsidTr="00107D5D">
        <w:trPr>
          <w:tblHeader/>
        </w:trPr>
        <w:tc>
          <w:tcPr>
            <w:tcW w:w="1732" w:type="pct"/>
            <w:tcBorders>
              <w:top w:val="single" w:sz="4" w:space="0" w:color="auto"/>
            </w:tcBorders>
            <w:shd w:val="clear" w:color="auto" w:fill="auto"/>
            <w:vAlign w:val="bottom"/>
          </w:tcPr>
          <w:p w14:paraId="75065B86" w14:textId="77777777" w:rsidR="00744544" w:rsidRPr="00A66C9F" w:rsidRDefault="00744544" w:rsidP="00107D5D">
            <w:pPr>
              <w:suppressAutoHyphens/>
              <w:spacing w:before="81" w:after="81" w:line="160" w:lineRule="exact"/>
              <w:ind w:right="40"/>
              <w:rPr>
                <w:i/>
                <w:sz w:val="14"/>
                <w:lang w:val="fr-FR"/>
              </w:rPr>
            </w:pPr>
          </w:p>
        </w:tc>
        <w:tc>
          <w:tcPr>
            <w:tcW w:w="3268" w:type="pct"/>
            <w:gridSpan w:val="4"/>
            <w:tcBorders>
              <w:top w:val="single" w:sz="4" w:space="0" w:color="auto"/>
              <w:bottom w:val="single" w:sz="4" w:space="0" w:color="auto"/>
            </w:tcBorders>
            <w:shd w:val="clear" w:color="auto" w:fill="auto"/>
            <w:vAlign w:val="bottom"/>
          </w:tcPr>
          <w:p w14:paraId="0FF22C94" w14:textId="77777777" w:rsidR="00744544" w:rsidRPr="00A66C9F" w:rsidRDefault="00744544" w:rsidP="00107D5D">
            <w:pPr>
              <w:suppressAutoHyphens/>
              <w:spacing w:before="81" w:after="81" w:line="160" w:lineRule="exact"/>
              <w:ind w:right="43"/>
              <w:jc w:val="center"/>
              <w:rPr>
                <w:i/>
                <w:sz w:val="14"/>
                <w:lang w:val="fr-FR"/>
              </w:rPr>
            </w:pPr>
            <w:r w:rsidRPr="00A66C9F">
              <w:rPr>
                <w:i/>
                <w:sz w:val="14"/>
                <w:lang w:val="fr-FR"/>
              </w:rPr>
              <w:t>2018</w:t>
            </w:r>
          </w:p>
        </w:tc>
      </w:tr>
      <w:tr w:rsidR="00744544" w:rsidRPr="00A66C9F" w14:paraId="030EF82F" w14:textId="77777777" w:rsidTr="00107D5D">
        <w:trPr>
          <w:tblHeader/>
        </w:trPr>
        <w:tc>
          <w:tcPr>
            <w:tcW w:w="1732" w:type="pct"/>
            <w:tcBorders>
              <w:bottom w:val="single" w:sz="12" w:space="0" w:color="auto"/>
            </w:tcBorders>
            <w:shd w:val="clear" w:color="auto" w:fill="auto"/>
            <w:vAlign w:val="bottom"/>
            <w:hideMark/>
          </w:tcPr>
          <w:p w14:paraId="46F96E82" w14:textId="77777777" w:rsidR="00744544" w:rsidRPr="00A66C9F" w:rsidRDefault="00744544" w:rsidP="00107D5D">
            <w:pPr>
              <w:suppressAutoHyphens/>
              <w:spacing w:before="81" w:after="81" w:line="160" w:lineRule="exact"/>
              <w:ind w:right="40"/>
              <w:rPr>
                <w:i/>
                <w:sz w:val="14"/>
                <w:lang w:val="fr-FR"/>
              </w:rPr>
            </w:pPr>
            <w:r w:rsidRPr="00A66C9F">
              <w:rPr>
                <w:i/>
                <w:sz w:val="14"/>
                <w:lang w:val="fr-FR"/>
              </w:rPr>
              <w:t>Catégorie d’actifs</w:t>
            </w:r>
          </w:p>
        </w:tc>
        <w:tc>
          <w:tcPr>
            <w:tcW w:w="817" w:type="pct"/>
            <w:tcBorders>
              <w:top w:val="single" w:sz="4" w:space="0" w:color="auto"/>
              <w:bottom w:val="single" w:sz="12" w:space="0" w:color="auto"/>
            </w:tcBorders>
            <w:shd w:val="clear" w:color="auto" w:fill="auto"/>
            <w:vAlign w:val="bottom"/>
            <w:hideMark/>
          </w:tcPr>
          <w:p w14:paraId="6A11406C"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Volatilité</w:t>
            </w:r>
            <w:r w:rsidRPr="00A66C9F">
              <w:rPr>
                <w:i/>
                <w:sz w:val="14"/>
                <w:lang w:val="fr-FR"/>
              </w:rPr>
              <w:br/>
              <w:t>(écart type)</w:t>
            </w:r>
          </w:p>
        </w:tc>
        <w:tc>
          <w:tcPr>
            <w:tcW w:w="817" w:type="pct"/>
            <w:tcBorders>
              <w:top w:val="single" w:sz="4" w:space="0" w:color="auto"/>
              <w:bottom w:val="single" w:sz="12" w:space="0" w:color="auto"/>
            </w:tcBorders>
            <w:shd w:val="clear" w:color="auto" w:fill="auto"/>
            <w:vAlign w:val="bottom"/>
            <w:hideMark/>
          </w:tcPr>
          <w:p w14:paraId="32E16F37"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VaR (95 %)</w:t>
            </w:r>
          </w:p>
        </w:tc>
        <w:tc>
          <w:tcPr>
            <w:tcW w:w="817" w:type="pct"/>
            <w:tcBorders>
              <w:top w:val="single" w:sz="4" w:space="0" w:color="auto"/>
              <w:bottom w:val="single" w:sz="12" w:space="0" w:color="auto"/>
            </w:tcBorders>
            <w:shd w:val="clear" w:color="auto" w:fill="auto"/>
            <w:vAlign w:val="bottom"/>
            <w:hideMark/>
          </w:tcPr>
          <w:p w14:paraId="0D744DC0"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Contribution</w:t>
            </w:r>
            <w:r w:rsidRPr="00A66C9F">
              <w:rPr>
                <w:i/>
                <w:sz w:val="14"/>
                <w:lang w:val="fr-FR"/>
              </w:rPr>
              <w:br/>
              <w:t>au risque</w:t>
            </w:r>
          </w:p>
        </w:tc>
        <w:tc>
          <w:tcPr>
            <w:tcW w:w="816" w:type="pct"/>
            <w:tcBorders>
              <w:top w:val="single" w:sz="4" w:space="0" w:color="auto"/>
              <w:bottom w:val="single" w:sz="12" w:space="0" w:color="auto"/>
            </w:tcBorders>
            <w:shd w:val="clear" w:color="auto" w:fill="auto"/>
            <w:vAlign w:val="bottom"/>
            <w:hideMark/>
          </w:tcPr>
          <w:p w14:paraId="41D77E24"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Écart négatif attendu (5 %)</w:t>
            </w:r>
          </w:p>
        </w:tc>
      </w:tr>
      <w:tr w:rsidR="00744544" w:rsidRPr="00A66C9F" w14:paraId="371D1E31" w14:textId="77777777" w:rsidTr="00107D5D">
        <w:trPr>
          <w:trHeight w:hRule="exact" w:val="115"/>
          <w:tblHeader/>
        </w:trPr>
        <w:tc>
          <w:tcPr>
            <w:tcW w:w="1732" w:type="pct"/>
            <w:tcBorders>
              <w:top w:val="single" w:sz="12" w:space="0" w:color="auto"/>
            </w:tcBorders>
            <w:shd w:val="clear" w:color="auto" w:fill="auto"/>
            <w:vAlign w:val="bottom"/>
          </w:tcPr>
          <w:p w14:paraId="7053D307" w14:textId="77777777" w:rsidR="00744544" w:rsidRPr="00A66C9F" w:rsidRDefault="00744544" w:rsidP="00107D5D">
            <w:pPr>
              <w:suppressAutoHyphens/>
              <w:spacing w:before="40" w:after="40" w:line="210" w:lineRule="exact"/>
              <w:ind w:right="40"/>
              <w:rPr>
                <w:sz w:val="17"/>
                <w:lang w:val="fr-FR"/>
              </w:rPr>
            </w:pPr>
          </w:p>
        </w:tc>
        <w:tc>
          <w:tcPr>
            <w:tcW w:w="817" w:type="pct"/>
            <w:tcBorders>
              <w:top w:val="single" w:sz="12" w:space="0" w:color="auto"/>
            </w:tcBorders>
            <w:shd w:val="clear" w:color="auto" w:fill="auto"/>
            <w:vAlign w:val="bottom"/>
          </w:tcPr>
          <w:p w14:paraId="5AD396F9" w14:textId="77777777" w:rsidR="00744544" w:rsidRPr="00A66C9F" w:rsidRDefault="00744544" w:rsidP="00107D5D">
            <w:pPr>
              <w:suppressAutoHyphens/>
              <w:spacing w:before="40" w:after="40" w:line="210" w:lineRule="exact"/>
              <w:ind w:right="43"/>
              <w:jc w:val="right"/>
              <w:rPr>
                <w:sz w:val="17"/>
                <w:lang w:val="fr-FR"/>
              </w:rPr>
            </w:pPr>
          </w:p>
        </w:tc>
        <w:tc>
          <w:tcPr>
            <w:tcW w:w="817" w:type="pct"/>
            <w:tcBorders>
              <w:top w:val="single" w:sz="12" w:space="0" w:color="auto"/>
            </w:tcBorders>
            <w:shd w:val="clear" w:color="auto" w:fill="auto"/>
            <w:vAlign w:val="bottom"/>
          </w:tcPr>
          <w:p w14:paraId="0253C0BA" w14:textId="77777777" w:rsidR="00744544" w:rsidRPr="00A66C9F" w:rsidRDefault="00744544" w:rsidP="00107D5D">
            <w:pPr>
              <w:suppressAutoHyphens/>
              <w:spacing w:before="40" w:after="40" w:line="210" w:lineRule="exact"/>
              <w:ind w:right="43"/>
              <w:jc w:val="right"/>
              <w:rPr>
                <w:sz w:val="17"/>
                <w:lang w:val="fr-FR"/>
              </w:rPr>
            </w:pPr>
          </w:p>
        </w:tc>
        <w:tc>
          <w:tcPr>
            <w:tcW w:w="817" w:type="pct"/>
            <w:tcBorders>
              <w:top w:val="single" w:sz="12" w:space="0" w:color="auto"/>
            </w:tcBorders>
            <w:shd w:val="clear" w:color="auto" w:fill="auto"/>
            <w:vAlign w:val="bottom"/>
          </w:tcPr>
          <w:p w14:paraId="6215531F" w14:textId="77777777" w:rsidR="00744544" w:rsidRPr="00A66C9F" w:rsidRDefault="00744544" w:rsidP="00107D5D">
            <w:pPr>
              <w:suppressAutoHyphens/>
              <w:spacing w:before="40" w:after="40" w:line="210" w:lineRule="exact"/>
              <w:ind w:right="43"/>
              <w:jc w:val="right"/>
              <w:rPr>
                <w:sz w:val="17"/>
                <w:lang w:val="fr-FR"/>
              </w:rPr>
            </w:pPr>
          </w:p>
        </w:tc>
        <w:tc>
          <w:tcPr>
            <w:tcW w:w="816" w:type="pct"/>
            <w:tcBorders>
              <w:top w:val="single" w:sz="12" w:space="0" w:color="auto"/>
            </w:tcBorders>
            <w:shd w:val="clear" w:color="auto" w:fill="auto"/>
            <w:vAlign w:val="bottom"/>
          </w:tcPr>
          <w:p w14:paraId="6722A4E7" w14:textId="77777777" w:rsidR="00744544" w:rsidRPr="00A66C9F" w:rsidRDefault="00744544" w:rsidP="00107D5D">
            <w:pPr>
              <w:suppressAutoHyphens/>
              <w:spacing w:before="40" w:after="40" w:line="210" w:lineRule="exact"/>
              <w:ind w:right="43"/>
              <w:jc w:val="right"/>
              <w:rPr>
                <w:sz w:val="17"/>
                <w:lang w:val="fr-FR"/>
              </w:rPr>
            </w:pPr>
          </w:p>
        </w:tc>
      </w:tr>
      <w:tr w:rsidR="00744544" w:rsidRPr="00A66C9F" w14:paraId="243DC464" w14:textId="77777777" w:rsidTr="00107D5D">
        <w:tc>
          <w:tcPr>
            <w:tcW w:w="1732" w:type="pct"/>
            <w:shd w:val="clear" w:color="auto" w:fill="auto"/>
            <w:vAlign w:val="bottom"/>
          </w:tcPr>
          <w:p w14:paraId="731C035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Total des actifs de la Caisse</w:t>
            </w:r>
          </w:p>
        </w:tc>
        <w:tc>
          <w:tcPr>
            <w:tcW w:w="817" w:type="pct"/>
            <w:shd w:val="clear" w:color="auto" w:fill="auto"/>
            <w:vAlign w:val="bottom"/>
          </w:tcPr>
          <w:p w14:paraId="14B8C34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7,39</w:t>
            </w:r>
          </w:p>
        </w:tc>
        <w:tc>
          <w:tcPr>
            <w:tcW w:w="817" w:type="pct"/>
            <w:shd w:val="clear" w:color="auto" w:fill="auto"/>
            <w:vAlign w:val="bottom"/>
          </w:tcPr>
          <w:p w14:paraId="0F29185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12,38</w:t>
            </w:r>
          </w:p>
        </w:tc>
        <w:tc>
          <w:tcPr>
            <w:tcW w:w="817" w:type="pct"/>
            <w:shd w:val="clear" w:color="auto" w:fill="auto"/>
            <w:vAlign w:val="bottom"/>
          </w:tcPr>
          <w:p w14:paraId="3697CAB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100,00</w:t>
            </w:r>
          </w:p>
        </w:tc>
        <w:tc>
          <w:tcPr>
            <w:tcW w:w="816" w:type="pct"/>
            <w:shd w:val="clear" w:color="auto" w:fill="auto"/>
            <w:vAlign w:val="bottom"/>
          </w:tcPr>
          <w:p w14:paraId="7849047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18,94</w:t>
            </w:r>
          </w:p>
        </w:tc>
      </w:tr>
      <w:tr w:rsidR="00744544" w:rsidRPr="00A66C9F" w14:paraId="1AC0C1F5" w14:textId="77777777" w:rsidTr="00107D5D">
        <w:tc>
          <w:tcPr>
            <w:tcW w:w="1732" w:type="pct"/>
            <w:shd w:val="clear" w:color="auto" w:fill="auto"/>
            <w:vAlign w:val="bottom"/>
          </w:tcPr>
          <w:p w14:paraId="70A404C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Total des actions</w:t>
            </w:r>
          </w:p>
        </w:tc>
        <w:tc>
          <w:tcPr>
            <w:tcW w:w="817" w:type="pct"/>
            <w:shd w:val="clear" w:color="auto" w:fill="auto"/>
            <w:vAlign w:val="bottom"/>
          </w:tcPr>
          <w:p w14:paraId="5F57EE9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10,96</w:t>
            </w:r>
          </w:p>
        </w:tc>
        <w:tc>
          <w:tcPr>
            <w:tcW w:w="817" w:type="pct"/>
            <w:shd w:val="clear" w:color="auto" w:fill="auto"/>
            <w:vAlign w:val="bottom"/>
          </w:tcPr>
          <w:p w14:paraId="4B697FA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18,74</w:t>
            </w:r>
          </w:p>
        </w:tc>
        <w:tc>
          <w:tcPr>
            <w:tcW w:w="817" w:type="pct"/>
            <w:shd w:val="clear" w:color="auto" w:fill="auto"/>
            <w:vAlign w:val="bottom"/>
          </w:tcPr>
          <w:p w14:paraId="2953379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82,05</w:t>
            </w:r>
          </w:p>
        </w:tc>
        <w:tc>
          <w:tcPr>
            <w:tcW w:w="816" w:type="pct"/>
            <w:shd w:val="clear" w:color="auto" w:fill="auto"/>
            <w:vAlign w:val="bottom"/>
          </w:tcPr>
          <w:p w14:paraId="78882A0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28,64</w:t>
            </w:r>
          </w:p>
        </w:tc>
      </w:tr>
      <w:tr w:rsidR="00744544" w:rsidRPr="00A66C9F" w14:paraId="17342715" w14:textId="77777777" w:rsidTr="00107D5D">
        <w:tc>
          <w:tcPr>
            <w:tcW w:w="1732" w:type="pct"/>
            <w:shd w:val="clear" w:color="auto" w:fill="auto"/>
            <w:vAlign w:val="bottom"/>
          </w:tcPr>
          <w:p w14:paraId="6FDD9A0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Valeurs à revenu fixe</w:t>
            </w:r>
          </w:p>
        </w:tc>
        <w:tc>
          <w:tcPr>
            <w:tcW w:w="817" w:type="pct"/>
            <w:shd w:val="clear" w:color="auto" w:fill="auto"/>
            <w:vAlign w:val="bottom"/>
          </w:tcPr>
          <w:p w14:paraId="236C2B4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4,48</w:t>
            </w:r>
          </w:p>
        </w:tc>
        <w:tc>
          <w:tcPr>
            <w:tcW w:w="817" w:type="pct"/>
            <w:shd w:val="clear" w:color="auto" w:fill="auto"/>
            <w:vAlign w:val="bottom"/>
          </w:tcPr>
          <w:p w14:paraId="07C5507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7,16</w:t>
            </w:r>
          </w:p>
        </w:tc>
        <w:tc>
          <w:tcPr>
            <w:tcW w:w="817" w:type="pct"/>
            <w:shd w:val="clear" w:color="auto" w:fill="auto"/>
            <w:vAlign w:val="bottom"/>
          </w:tcPr>
          <w:p w14:paraId="37AD6B0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2,76</w:t>
            </w:r>
          </w:p>
        </w:tc>
        <w:tc>
          <w:tcPr>
            <w:tcW w:w="816" w:type="pct"/>
            <w:shd w:val="clear" w:color="auto" w:fill="auto"/>
            <w:vAlign w:val="bottom"/>
          </w:tcPr>
          <w:p w14:paraId="12EFDE6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10,27</w:t>
            </w:r>
          </w:p>
        </w:tc>
      </w:tr>
      <w:tr w:rsidR="00744544" w:rsidRPr="00A66C9F" w14:paraId="36F838D6" w14:textId="77777777" w:rsidTr="00107D5D">
        <w:tc>
          <w:tcPr>
            <w:tcW w:w="1732" w:type="pct"/>
            <w:shd w:val="clear" w:color="auto" w:fill="auto"/>
            <w:vAlign w:val="bottom"/>
          </w:tcPr>
          <w:p w14:paraId="46CC084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 xml:space="preserve">Trésorerie et dépôts à court terme </w:t>
            </w:r>
          </w:p>
        </w:tc>
        <w:tc>
          <w:tcPr>
            <w:tcW w:w="817" w:type="pct"/>
            <w:shd w:val="clear" w:color="auto" w:fill="auto"/>
            <w:vAlign w:val="bottom"/>
          </w:tcPr>
          <w:p w14:paraId="1C674A3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0,09</w:t>
            </w:r>
          </w:p>
        </w:tc>
        <w:tc>
          <w:tcPr>
            <w:tcW w:w="817" w:type="pct"/>
            <w:shd w:val="clear" w:color="auto" w:fill="auto"/>
            <w:vAlign w:val="bottom"/>
          </w:tcPr>
          <w:p w14:paraId="4197DEF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0,15</w:t>
            </w:r>
          </w:p>
        </w:tc>
        <w:tc>
          <w:tcPr>
            <w:tcW w:w="817" w:type="pct"/>
            <w:shd w:val="clear" w:color="auto" w:fill="auto"/>
            <w:vAlign w:val="bottom"/>
          </w:tcPr>
          <w:p w14:paraId="7A50F37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0,03</w:t>
            </w:r>
          </w:p>
        </w:tc>
        <w:tc>
          <w:tcPr>
            <w:tcW w:w="816" w:type="pct"/>
            <w:shd w:val="clear" w:color="auto" w:fill="auto"/>
            <w:vAlign w:val="bottom"/>
          </w:tcPr>
          <w:p w14:paraId="0E99A26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0,21</w:t>
            </w:r>
          </w:p>
        </w:tc>
      </w:tr>
      <w:tr w:rsidR="00744544" w:rsidRPr="00A66C9F" w14:paraId="0AA29662" w14:textId="77777777" w:rsidTr="00107D5D">
        <w:tc>
          <w:tcPr>
            <w:tcW w:w="1732" w:type="pct"/>
            <w:shd w:val="clear" w:color="auto" w:fill="auto"/>
            <w:vAlign w:val="bottom"/>
          </w:tcPr>
          <w:p w14:paraId="6BA9476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Immobilier</w:t>
            </w:r>
          </w:p>
        </w:tc>
        <w:tc>
          <w:tcPr>
            <w:tcW w:w="817" w:type="pct"/>
            <w:shd w:val="clear" w:color="auto" w:fill="auto"/>
            <w:vAlign w:val="bottom"/>
          </w:tcPr>
          <w:p w14:paraId="5825163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14,35</w:t>
            </w:r>
          </w:p>
        </w:tc>
        <w:tc>
          <w:tcPr>
            <w:tcW w:w="817" w:type="pct"/>
            <w:shd w:val="clear" w:color="auto" w:fill="auto"/>
            <w:vAlign w:val="bottom"/>
          </w:tcPr>
          <w:p w14:paraId="21D1B65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23,90</w:t>
            </w:r>
          </w:p>
        </w:tc>
        <w:tc>
          <w:tcPr>
            <w:tcW w:w="817" w:type="pct"/>
            <w:shd w:val="clear" w:color="auto" w:fill="auto"/>
            <w:vAlign w:val="bottom"/>
          </w:tcPr>
          <w:p w14:paraId="054DCFB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8,45</w:t>
            </w:r>
          </w:p>
        </w:tc>
        <w:tc>
          <w:tcPr>
            <w:tcW w:w="816" w:type="pct"/>
            <w:shd w:val="clear" w:color="auto" w:fill="auto"/>
            <w:vAlign w:val="bottom"/>
          </w:tcPr>
          <w:p w14:paraId="1526C00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35,56</w:t>
            </w:r>
          </w:p>
        </w:tc>
      </w:tr>
      <w:tr w:rsidR="00744544" w:rsidRPr="00A66C9F" w14:paraId="0A56169F" w14:textId="77777777" w:rsidTr="00107D5D">
        <w:tc>
          <w:tcPr>
            <w:tcW w:w="1732" w:type="pct"/>
            <w:shd w:val="clear" w:color="auto" w:fill="auto"/>
            <w:vAlign w:val="bottom"/>
          </w:tcPr>
          <w:p w14:paraId="1A6FD10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lastRenderedPageBreak/>
              <w:t>Capital-investissement</w:t>
            </w:r>
          </w:p>
        </w:tc>
        <w:tc>
          <w:tcPr>
            <w:tcW w:w="817" w:type="pct"/>
            <w:shd w:val="clear" w:color="auto" w:fill="auto"/>
            <w:vAlign w:val="bottom"/>
          </w:tcPr>
          <w:p w14:paraId="4EB3699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10,98</w:t>
            </w:r>
          </w:p>
        </w:tc>
        <w:tc>
          <w:tcPr>
            <w:tcW w:w="817" w:type="pct"/>
            <w:shd w:val="clear" w:color="auto" w:fill="auto"/>
            <w:vAlign w:val="bottom"/>
          </w:tcPr>
          <w:p w14:paraId="53E784F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18,75</w:t>
            </w:r>
          </w:p>
        </w:tc>
        <w:tc>
          <w:tcPr>
            <w:tcW w:w="817" w:type="pct"/>
            <w:shd w:val="clear" w:color="auto" w:fill="auto"/>
            <w:vAlign w:val="bottom"/>
          </w:tcPr>
          <w:p w14:paraId="73E5359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6,30</w:t>
            </w:r>
          </w:p>
        </w:tc>
        <w:tc>
          <w:tcPr>
            <w:tcW w:w="816" w:type="pct"/>
            <w:shd w:val="clear" w:color="auto" w:fill="auto"/>
            <w:vAlign w:val="bottom"/>
          </w:tcPr>
          <w:p w14:paraId="3B46131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28,75</w:t>
            </w:r>
          </w:p>
        </w:tc>
      </w:tr>
      <w:tr w:rsidR="00744544" w:rsidRPr="00A66C9F" w14:paraId="4F9BB148" w14:textId="77777777" w:rsidTr="00107D5D">
        <w:tc>
          <w:tcPr>
            <w:tcW w:w="1732" w:type="pct"/>
            <w:shd w:val="clear" w:color="auto" w:fill="auto"/>
            <w:vAlign w:val="bottom"/>
          </w:tcPr>
          <w:p w14:paraId="23AE820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Produits de base</w:t>
            </w:r>
          </w:p>
        </w:tc>
        <w:tc>
          <w:tcPr>
            <w:tcW w:w="817" w:type="pct"/>
            <w:shd w:val="clear" w:color="auto" w:fill="auto"/>
            <w:vAlign w:val="bottom"/>
          </w:tcPr>
          <w:p w14:paraId="78BEAC6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12,00</w:t>
            </w:r>
          </w:p>
        </w:tc>
        <w:tc>
          <w:tcPr>
            <w:tcW w:w="817" w:type="pct"/>
            <w:shd w:val="clear" w:color="auto" w:fill="auto"/>
            <w:vAlign w:val="bottom"/>
          </w:tcPr>
          <w:p w14:paraId="45E8697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19,10</w:t>
            </w:r>
          </w:p>
        </w:tc>
        <w:tc>
          <w:tcPr>
            <w:tcW w:w="817" w:type="pct"/>
            <w:shd w:val="clear" w:color="auto" w:fill="auto"/>
            <w:vAlign w:val="bottom"/>
          </w:tcPr>
          <w:p w14:paraId="0023053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0,12</w:t>
            </w:r>
          </w:p>
        </w:tc>
        <w:tc>
          <w:tcPr>
            <w:tcW w:w="816" w:type="pct"/>
            <w:shd w:val="clear" w:color="auto" w:fill="auto"/>
            <w:vAlign w:val="bottom"/>
          </w:tcPr>
          <w:p w14:paraId="5A8C335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27,28</w:t>
            </w:r>
          </w:p>
        </w:tc>
      </w:tr>
      <w:tr w:rsidR="00744544" w:rsidRPr="00A66C9F" w14:paraId="666F47F0" w14:textId="77777777" w:rsidTr="00107D5D">
        <w:tc>
          <w:tcPr>
            <w:tcW w:w="1732" w:type="pct"/>
            <w:shd w:val="clear" w:color="auto" w:fill="auto"/>
            <w:vAlign w:val="bottom"/>
          </w:tcPr>
          <w:p w14:paraId="22ED035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Infrastructures</w:t>
            </w:r>
          </w:p>
        </w:tc>
        <w:tc>
          <w:tcPr>
            <w:tcW w:w="817" w:type="pct"/>
            <w:shd w:val="clear" w:color="auto" w:fill="auto"/>
            <w:vAlign w:val="bottom"/>
          </w:tcPr>
          <w:p w14:paraId="79A6789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14,11</w:t>
            </w:r>
          </w:p>
        </w:tc>
        <w:tc>
          <w:tcPr>
            <w:tcW w:w="817" w:type="pct"/>
            <w:shd w:val="clear" w:color="auto" w:fill="auto"/>
            <w:vAlign w:val="bottom"/>
          </w:tcPr>
          <w:p w14:paraId="026E5F4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24,35</w:t>
            </w:r>
          </w:p>
        </w:tc>
        <w:tc>
          <w:tcPr>
            <w:tcW w:w="817" w:type="pct"/>
            <w:shd w:val="clear" w:color="auto" w:fill="auto"/>
            <w:vAlign w:val="bottom"/>
          </w:tcPr>
          <w:p w14:paraId="5F4AEA6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0,25 </w:t>
            </w:r>
          </w:p>
        </w:tc>
        <w:tc>
          <w:tcPr>
            <w:tcW w:w="816" w:type="pct"/>
            <w:shd w:val="clear" w:color="auto" w:fill="auto"/>
            <w:vAlign w:val="bottom"/>
          </w:tcPr>
          <w:p w14:paraId="580F850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35,21</w:t>
            </w:r>
          </w:p>
        </w:tc>
      </w:tr>
      <w:tr w:rsidR="00744544" w:rsidRPr="00A66C9F" w14:paraId="2882F2F4" w14:textId="77777777" w:rsidTr="00107D5D">
        <w:tc>
          <w:tcPr>
            <w:tcW w:w="1732" w:type="pct"/>
            <w:tcBorders>
              <w:bottom w:val="single" w:sz="12" w:space="0" w:color="auto"/>
            </w:tcBorders>
            <w:shd w:val="clear" w:color="auto" w:fill="auto"/>
            <w:vAlign w:val="bottom"/>
          </w:tcPr>
          <w:p w14:paraId="5627BFB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Forêts exploitables</w:t>
            </w:r>
          </w:p>
        </w:tc>
        <w:tc>
          <w:tcPr>
            <w:tcW w:w="817" w:type="pct"/>
            <w:tcBorders>
              <w:bottom w:val="single" w:sz="12" w:space="0" w:color="auto"/>
            </w:tcBorders>
            <w:shd w:val="clear" w:color="auto" w:fill="auto"/>
            <w:vAlign w:val="bottom"/>
          </w:tcPr>
          <w:p w14:paraId="4DF1CCA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14,11</w:t>
            </w:r>
          </w:p>
        </w:tc>
        <w:tc>
          <w:tcPr>
            <w:tcW w:w="817" w:type="pct"/>
            <w:tcBorders>
              <w:bottom w:val="single" w:sz="12" w:space="0" w:color="auto"/>
            </w:tcBorders>
            <w:shd w:val="clear" w:color="auto" w:fill="auto"/>
            <w:vAlign w:val="bottom"/>
          </w:tcPr>
          <w:p w14:paraId="50451D5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24,35</w:t>
            </w:r>
          </w:p>
        </w:tc>
        <w:tc>
          <w:tcPr>
            <w:tcW w:w="817" w:type="pct"/>
            <w:tcBorders>
              <w:bottom w:val="single" w:sz="12" w:space="0" w:color="auto"/>
            </w:tcBorders>
            <w:shd w:val="clear" w:color="auto" w:fill="auto"/>
            <w:vAlign w:val="bottom"/>
          </w:tcPr>
          <w:p w14:paraId="0682E04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0,04</w:t>
            </w:r>
          </w:p>
        </w:tc>
        <w:tc>
          <w:tcPr>
            <w:tcW w:w="816" w:type="pct"/>
            <w:tcBorders>
              <w:bottom w:val="single" w:sz="12" w:space="0" w:color="auto"/>
            </w:tcBorders>
            <w:shd w:val="clear" w:color="auto" w:fill="auto"/>
            <w:vAlign w:val="bottom"/>
          </w:tcPr>
          <w:p w14:paraId="65E1F50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35,21</w:t>
            </w:r>
          </w:p>
        </w:tc>
      </w:tr>
    </w:tbl>
    <w:p w14:paraId="42AF3E73" w14:textId="77777777" w:rsidR="00744544" w:rsidRPr="00A66C9F" w:rsidRDefault="00744544" w:rsidP="00744544">
      <w:pPr>
        <w:pStyle w:val="SingleTxt"/>
        <w:spacing w:after="0" w:line="120" w:lineRule="exact"/>
        <w:rPr>
          <w:sz w:val="10"/>
          <w:lang w:val="fr-FR"/>
        </w:rPr>
      </w:pPr>
    </w:p>
    <w:p w14:paraId="57FBAA60" w14:textId="77777777" w:rsidR="00744544" w:rsidRPr="00A66C9F" w:rsidRDefault="00744544" w:rsidP="00744544">
      <w:pPr>
        <w:pStyle w:val="FootnoteText"/>
        <w:tabs>
          <w:tab w:val="right" w:pos="1476"/>
          <w:tab w:val="left" w:pos="1548"/>
          <w:tab w:val="right" w:pos="1836"/>
          <w:tab w:val="left" w:pos="1908"/>
        </w:tabs>
        <w:suppressAutoHyphens/>
        <w:ind w:left="1548" w:right="1267" w:hanging="288"/>
        <w:rPr>
          <w:lang w:val="fr-FR"/>
        </w:rPr>
      </w:pPr>
      <w:r w:rsidRPr="00A66C9F">
        <w:rPr>
          <w:i/>
          <w:iCs/>
          <w:lang w:val="fr-FR"/>
        </w:rPr>
        <w:t>Note</w:t>
      </w:r>
      <w:r w:rsidRPr="00A66C9F">
        <w:rPr>
          <w:lang w:val="fr-FR"/>
        </w:rPr>
        <w:t> : Les chiffres sont extraits du système MSCI RiskMetrics au 31 décembre 2018. Les pourcentages sont arrondis deux chiffres après la virgule ; 0,00 % indique une valeur inférieure à 0,01 % mais différente de zéro.</w:t>
      </w:r>
    </w:p>
    <w:p w14:paraId="6CC41497" w14:textId="77777777" w:rsidR="00744544" w:rsidRPr="00A66C9F" w:rsidRDefault="00744544" w:rsidP="00744544">
      <w:pPr>
        <w:pStyle w:val="SingleTxt"/>
        <w:spacing w:after="0" w:line="120" w:lineRule="exact"/>
        <w:rPr>
          <w:sz w:val="10"/>
          <w:lang w:val="fr-FR"/>
        </w:rPr>
      </w:pPr>
    </w:p>
    <w:p w14:paraId="3956DE64" w14:textId="77777777" w:rsidR="00744544" w:rsidRPr="00A66C9F" w:rsidRDefault="00744544" w:rsidP="00744544">
      <w:pPr>
        <w:pStyle w:val="SingleTxt"/>
        <w:spacing w:after="0" w:line="120" w:lineRule="exact"/>
        <w:rPr>
          <w:sz w:val="10"/>
          <w:lang w:val="fr-FR"/>
        </w:rPr>
      </w:pPr>
    </w:p>
    <w:p w14:paraId="549E6DC8" w14:textId="77777777" w:rsidR="00744544" w:rsidRPr="00A66C9F" w:rsidRDefault="00744544" w:rsidP="00753AB8">
      <w:pPr>
        <w:pStyle w:val="SingleTxt"/>
        <w:numPr>
          <w:ilvl w:val="0"/>
          <w:numId w:val="19"/>
        </w:numPr>
        <w:spacing w:line="240" w:lineRule="exact"/>
        <w:rPr>
          <w:lang w:val="fr-FR"/>
        </w:rPr>
      </w:pPr>
      <w:r w:rsidRPr="00A66C9F">
        <w:rPr>
          <w:lang w:val="fr-FR"/>
        </w:rPr>
        <w:t>Bien que la VaR soit très utile pour mesurer le risque de marché, les hypothèses sur lesquelles se fonde le modèle entraînent certaines limitations. Les principales hypothèses sont les suivantes : période de détention d’une journée aux fins de la couverture ou de la liquidation des positions, qui peut ne pas s’appliquer à des actifs non liquides ou s’expliquer par les conditions défavorables du marché ; niveau de confiance de 95 %, ce qui signifie que la probabilité que les pertes soient supérieures à la VaR à 95 % est de 5 % ; VaR calculée en fin de journée, ce qui ne rend pas compte des fluctuations qui ont lieu pendant la séance boursière ; utilisation de données historiques et recours à la simulation dite de Monte Carlo, ce qui ne permet pas nécessairement de prévoir tous les scénarios possibles, en particulier ceux qui présentent un caractère exceptionnel.</w:t>
      </w:r>
    </w:p>
    <w:p w14:paraId="5CE6681F" w14:textId="77777777" w:rsidR="00744544" w:rsidRPr="00A66C9F" w:rsidRDefault="00744544" w:rsidP="00744544">
      <w:pPr>
        <w:pStyle w:val="SingleTxt"/>
        <w:spacing w:after="0" w:line="120" w:lineRule="exact"/>
        <w:rPr>
          <w:sz w:val="10"/>
          <w:lang w:val="fr-FR"/>
        </w:rPr>
      </w:pPr>
    </w:p>
    <w:p w14:paraId="0E355EA2" w14:textId="77777777" w:rsidR="00744544" w:rsidRPr="00A66C9F" w:rsidRDefault="00744544" w:rsidP="0074454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Risque de prix</w:t>
      </w:r>
    </w:p>
    <w:p w14:paraId="307C1983" w14:textId="77777777" w:rsidR="00744544" w:rsidRPr="00A66C9F" w:rsidRDefault="00744544" w:rsidP="00744544">
      <w:pPr>
        <w:pStyle w:val="SingleTxt"/>
        <w:spacing w:after="0" w:line="120" w:lineRule="exact"/>
        <w:rPr>
          <w:sz w:val="10"/>
          <w:lang w:val="fr-FR"/>
        </w:rPr>
      </w:pPr>
    </w:p>
    <w:p w14:paraId="23EB73F5" w14:textId="77777777" w:rsidR="00744544" w:rsidRPr="00A66C9F" w:rsidRDefault="00744544" w:rsidP="00753AB8">
      <w:pPr>
        <w:pStyle w:val="SingleTxt"/>
        <w:numPr>
          <w:ilvl w:val="0"/>
          <w:numId w:val="19"/>
        </w:numPr>
        <w:spacing w:line="240" w:lineRule="exact"/>
        <w:rPr>
          <w:lang w:val="fr-FR"/>
        </w:rPr>
      </w:pPr>
      <w:r w:rsidRPr="00A66C9F">
        <w:rPr>
          <w:lang w:val="fr-FR"/>
        </w:rPr>
        <w:t>La Caisse est exposée au risque de prix en ce qui concerne les titres de capital. Ce risque est lié aux investissements dont le cours futur est incertain. Dans le cas d’instruments financiers non monétaires – titres de capital, par exemple – libellés en monnaies autres que le dollar des États-Unis, le cours est exprimé initialement dans la monnaie d’origine puis converti en dollars des États-Unis, et sera donc aussi soumis aux fluctuations des taux de change.</w:t>
      </w:r>
    </w:p>
    <w:p w14:paraId="1ACC4EC7" w14:textId="77777777" w:rsidR="00744544" w:rsidRPr="00A66C9F" w:rsidRDefault="00744544" w:rsidP="00753AB8">
      <w:pPr>
        <w:pStyle w:val="SingleTxt"/>
        <w:numPr>
          <w:ilvl w:val="0"/>
          <w:numId w:val="19"/>
        </w:numPr>
        <w:spacing w:line="240" w:lineRule="exact"/>
        <w:rPr>
          <w:lang w:val="fr-FR"/>
        </w:rPr>
      </w:pPr>
      <w:r w:rsidRPr="00A66C9F">
        <w:rPr>
          <w:lang w:val="fr-FR"/>
        </w:rPr>
        <w:t>Au 31 décembre 2019 et au 31 décembre 2018, la juste valeur des titres de capital exposés au risque de prix était la suivante :</w:t>
      </w:r>
    </w:p>
    <w:p w14:paraId="2AF6FACA" w14:textId="77777777" w:rsidR="00744544" w:rsidRPr="00A66C9F" w:rsidRDefault="00744544" w:rsidP="00744544">
      <w:pPr>
        <w:pStyle w:val="SingleTxt"/>
        <w:spacing w:after="0" w:line="120" w:lineRule="exact"/>
        <w:rPr>
          <w:sz w:val="10"/>
          <w:lang w:val="fr-FR"/>
        </w:rPr>
      </w:pPr>
    </w:p>
    <w:p w14:paraId="5FFFF0B2" w14:textId="77777777" w:rsidR="00744544" w:rsidRPr="00A66C9F" w:rsidRDefault="00744544" w:rsidP="0074454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lang w:val="fr-FR"/>
        </w:rPr>
        <w:tab/>
      </w:r>
      <w:r w:rsidRPr="00A66C9F">
        <w:rPr>
          <w:lang w:val="fr-FR"/>
        </w:rPr>
        <w:tab/>
      </w:r>
      <w:r w:rsidRPr="00A66C9F">
        <w:rPr>
          <w:sz w:val="14"/>
          <w:szCs w:val="14"/>
          <w:lang w:val="fr-FR"/>
        </w:rPr>
        <w:t>(En milliers de dollars des États-Unis)</w:t>
      </w:r>
    </w:p>
    <w:p w14:paraId="78C1CA48" w14:textId="77777777" w:rsidR="00744544" w:rsidRPr="00A66C9F" w:rsidRDefault="00744544" w:rsidP="00744544">
      <w:pPr>
        <w:pStyle w:val="SingleTxt"/>
        <w:spacing w:after="0" w:line="120" w:lineRule="exact"/>
        <w:rPr>
          <w:sz w:val="10"/>
          <w:lang w:val="fr-FR"/>
        </w:rPr>
      </w:pPr>
    </w:p>
    <w:p w14:paraId="3D7A2265" w14:textId="77777777" w:rsidR="00744544" w:rsidRPr="00A66C9F" w:rsidRDefault="00744544" w:rsidP="00744544">
      <w:pPr>
        <w:pStyle w:val="SingleTxt"/>
        <w:spacing w:after="0" w:line="120" w:lineRule="exact"/>
        <w:rPr>
          <w:sz w:val="10"/>
          <w:lang w:val="fr-FR"/>
        </w:rPr>
      </w:pPr>
    </w:p>
    <w:tbl>
      <w:tblPr>
        <w:tblW w:w="3720" w:type="pct"/>
        <w:tblInd w:w="1260" w:type="dxa"/>
        <w:tblLayout w:type="fixed"/>
        <w:tblCellMar>
          <w:left w:w="0" w:type="dxa"/>
          <w:right w:w="0" w:type="dxa"/>
        </w:tblCellMar>
        <w:tblLook w:val="04A0" w:firstRow="1" w:lastRow="0" w:firstColumn="1" w:lastColumn="0" w:noHBand="0" w:noVBand="1"/>
      </w:tblPr>
      <w:tblGrid>
        <w:gridCol w:w="3142"/>
        <w:gridCol w:w="2090"/>
        <w:gridCol w:w="2089"/>
      </w:tblGrid>
      <w:tr w:rsidR="00744544" w:rsidRPr="00A66C9F" w14:paraId="67744622" w14:textId="77777777" w:rsidTr="00107D5D">
        <w:trPr>
          <w:tblHeader/>
        </w:trPr>
        <w:tc>
          <w:tcPr>
            <w:tcW w:w="2145" w:type="pct"/>
            <w:tcBorders>
              <w:top w:val="single" w:sz="4" w:space="0" w:color="auto"/>
              <w:bottom w:val="single" w:sz="12" w:space="0" w:color="auto"/>
            </w:tcBorders>
            <w:shd w:val="clear" w:color="auto" w:fill="auto"/>
            <w:noWrap/>
            <w:vAlign w:val="bottom"/>
          </w:tcPr>
          <w:p w14:paraId="11864872" w14:textId="77777777" w:rsidR="00744544" w:rsidRPr="00A66C9F" w:rsidRDefault="00744544" w:rsidP="00107D5D">
            <w:pPr>
              <w:suppressAutoHyphens/>
              <w:spacing w:before="81" w:after="81" w:line="160" w:lineRule="exact"/>
              <w:ind w:right="40"/>
              <w:rPr>
                <w:i/>
                <w:sz w:val="14"/>
                <w:lang w:val="fr-FR"/>
              </w:rPr>
            </w:pPr>
          </w:p>
        </w:tc>
        <w:tc>
          <w:tcPr>
            <w:tcW w:w="1427" w:type="pct"/>
            <w:tcBorders>
              <w:top w:val="single" w:sz="4" w:space="0" w:color="auto"/>
              <w:bottom w:val="single" w:sz="12" w:space="0" w:color="auto"/>
            </w:tcBorders>
            <w:shd w:val="clear" w:color="auto" w:fill="auto"/>
            <w:vAlign w:val="bottom"/>
          </w:tcPr>
          <w:p w14:paraId="67960964" w14:textId="77777777" w:rsidR="00744544" w:rsidRPr="00A66C9F" w:rsidDel="005F43B7" w:rsidRDefault="00744544" w:rsidP="00107D5D">
            <w:pPr>
              <w:suppressAutoHyphens/>
              <w:spacing w:before="81" w:after="81" w:line="160" w:lineRule="exact"/>
              <w:ind w:right="43"/>
              <w:jc w:val="right"/>
              <w:rPr>
                <w:i/>
                <w:sz w:val="14"/>
                <w:lang w:val="fr-FR"/>
              </w:rPr>
            </w:pPr>
            <w:r w:rsidRPr="00A66C9F">
              <w:rPr>
                <w:i/>
                <w:sz w:val="14"/>
                <w:lang w:val="fr-FR"/>
              </w:rPr>
              <w:t>Au 31 décembre 2019</w:t>
            </w:r>
          </w:p>
        </w:tc>
        <w:tc>
          <w:tcPr>
            <w:tcW w:w="1427" w:type="pct"/>
            <w:tcBorders>
              <w:top w:val="single" w:sz="4" w:space="0" w:color="auto"/>
              <w:bottom w:val="single" w:sz="12" w:space="0" w:color="auto"/>
            </w:tcBorders>
            <w:shd w:val="clear" w:color="auto" w:fill="auto"/>
            <w:vAlign w:val="bottom"/>
            <w:hideMark/>
          </w:tcPr>
          <w:p w14:paraId="01F32237"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Au 31 décembre 2018</w:t>
            </w:r>
          </w:p>
        </w:tc>
      </w:tr>
      <w:tr w:rsidR="00744544" w:rsidRPr="00A66C9F" w14:paraId="699A1D65" w14:textId="77777777" w:rsidTr="00107D5D">
        <w:trPr>
          <w:trHeight w:hRule="exact" w:val="115"/>
          <w:tblHeader/>
        </w:trPr>
        <w:tc>
          <w:tcPr>
            <w:tcW w:w="2145" w:type="pct"/>
            <w:tcBorders>
              <w:top w:val="single" w:sz="12" w:space="0" w:color="auto"/>
            </w:tcBorders>
            <w:shd w:val="clear" w:color="auto" w:fill="auto"/>
            <w:noWrap/>
            <w:vAlign w:val="bottom"/>
          </w:tcPr>
          <w:p w14:paraId="72B3825C" w14:textId="77777777" w:rsidR="00744544" w:rsidRPr="00A66C9F" w:rsidRDefault="00744544" w:rsidP="00107D5D">
            <w:pPr>
              <w:suppressAutoHyphens/>
              <w:spacing w:before="40" w:after="40" w:line="210" w:lineRule="exact"/>
              <w:ind w:right="40"/>
              <w:rPr>
                <w:sz w:val="17"/>
                <w:lang w:val="fr-FR"/>
              </w:rPr>
            </w:pPr>
          </w:p>
        </w:tc>
        <w:tc>
          <w:tcPr>
            <w:tcW w:w="1427" w:type="pct"/>
            <w:tcBorders>
              <w:top w:val="single" w:sz="12" w:space="0" w:color="auto"/>
            </w:tcBorders>
            <w:shd w:val="clear" w:color="auto" w:fill="auto"/>
            <w:vAlign w:val="bottom"/>
          </w:tcPr>
          <w:p w14:paraId="6B9CE580" w14:textId="77777777" w:rsidR="00744544" w:rsidRPr="00A66C9F" w:rsidRDefault="00744544" w:rsidP="00107D5D">
            <w:pPr>
              <w:suppressAutoHyphens/>
              <w:spacing w:before="40" w:after="40" w:line="210" w:lineRule="exact"/>
              <w:ind w:right="43"/>
              <w:jc w:val="right"/>
              <w:rPr>
                <w:sz w:val="17"/>
                <w:lang w:val="fr-FR"/>
              </w:rPr>
            </w:pPr>
          </w:p>
        </w:tc>
        <w:tc>
          <w:tcPr>
            <w:tcW w:w="1427" w:type="pct"/>
            <w:tcBorders>
              <w:top w:val="single" w:sz="12" w:space="0" w:color="auto"/>
            </w:tcBorders>
            <w:shd w:val="clear" w:color="auto" w:fill="auto"/>
            <w:vAlign w:val="bottom"/>
          </w:tcPr>
          <w:p w14:paraId="7D1D56DB" w14:textId="77777777" w:rsidR="00744544" w:rsidRPr="00A66C9F" w:rsidRDefault="00744544" w:rsidP="00107D5D">
            <w:pPr>
              <w:suppressAutoHyphens/>
              <w:spacing w:before="40" w:after="40" w:line="210" w:lineRule="exact"/>
              <w:ind w:right="43"/>
              <w:jc w:val="right"/>
              <w:rPr>
                <w:sz w:val="17"/>
                <w:lang w:val="fr-FR"/>
              </w:rPr>
            </w:pPr>
          </w:p>
        </w:tc>
      </w:tr>
      <w:tr w:rsidR="00744544" w:rsidRPr="00A66C9F" w14:paraId="2EF80F55" w14:textId="77777777" w:rsidTr="00107D5D">
        <w:tc>
          <w:tcPr>
            <w:tcW w:w="2145" w:type="pct"/>
            <w:shd w:val="clear" w:color="auto" w:fill="auto"/>
            <w:noWrap/>
            <w:vAlign w:val="bottom"/>
            <w:hideMark/>
          </w:tcPr>
          <w:p w14:paraId="5866A60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Actions ordinaires et privilégiées</w:t>
            </w:r>
          </w:p>
        </w:tc>
        <w:tc>
          <w:tcPr>
            <w:tcW w:w="1427" w:type="pct"/>
            <w:shd w:val="clear" w:color="auto" w:fill="auto"/>
            <w:vAlign w:val="bottom"/>
          </w:tcPr>
          <w:p w14:paraId="74FD0BF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40 686 191 </w:t>
            </w:r>
          </w:p>
        </w:tc>
        <w:tc>
          <w:tcPr>
            <w:tcW w:w="1427" w:type="pct"/>
            <w:shd w:val="clear" w:color="auto" w:fill="auto"/>
            <w:vAlign w:val="bottom"/>
          </w:tcPr>
          <w:p w14:paraId="2AC0513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32 402 313</w:t>
            </w:r>
          </w:p>
        </w:tc>
      </w:tr>
      <w:tr w:rsidR="00744544" w:rsidRPr="00A66C9F" w14:paraId="10C4F982" w14:textId="77777777" w:rsidTr="00107D5D">
        <w:tc>
          <w:tcPr>
            <w:tcW w:w="2145" w:type="pct"/>
            <w:shd w:val="clear" w:color="auto" w:fill="auto"/>
            <w:noWrap/>
            <w:vAlign w:val="bottom"/>
            <w:hideMark/>
          </w:tcPr>
          <w:p w14:paraId="7D7108B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Fonds – fonds indiciels cotés</w:t>
            </w:r>
          </w:p>
        </w:tc>
        <w:tc>
          <w:tcPr>
            <w:tcW w:w="1427" w:type="pct"/>
            <w:shd w:val="clear" w:color="auto" w:fill="auto"/>
            <w:vAlign w:val="bottom"/>
          </w:tcPr>
          <w:p w14:paraId="74694B3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1 388 880 </w:t>
            </w:r>
          </w:p>
        </w:tc>
        <w:tc>
          <w:tcPr>
            <w:tcW w:w="1427" w:type="pct"/>
            <w:shd w:val="clear" w:color="auto" w:fill="auto"/>
            <w:vAlign w:val="bottom"/>
          </w:tcPr>
          <w:p w14:paraId="0676A5D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1 774 285</w:t>
            </w:r>
          </w:p>
        </w:tc>
      </w:tr>
      <w:tr w:rsidR="00744544" w:rsidRPr="00A66C9F" w14:paraId="5973F3A5" w14:textId="77777777" w:rsidTr="00107D5D">
        <w:tc>
          <w:tcPr>
            <w:tcW w:w="2145" w:type="pct"/>
            <w:shd w:val="clear" w:color="auto" w:fill="auto"/>
            <w:noWrap/>
            <w:vAlign w:val="bottom"/>
            <w:hideMark/>
          </w:tcPr>
          <w:p w14:paraId="6FA49FE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Fonds – actions ordinaires</w:t>
            </w:r>
          </w:p>
        </w:tc>
        <w:tc>
          <w:tcPr>
            <w:tcW w:w="1427" w:type="pct"/>
            <w:shd w:val="clear" w:color="auto" w:fill="auto"/>
            <w:vAlign w:val="bottom"/>
          </w:tcPr>
          <w:p w14:paraId="199668A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138 935 </w:t>
            </w:r>
          </w:p>
        </w:tc>
        <w:tc>
          <w:tcPr>
            <w:tcW w:w="1427" w:type="pct"/>
            <w:shd w:val="clear" w:color="auto" w:fill="auto"/>
            <w:vAlign w:val="bottom"/>
          </w:tcPr>
          <w:p w14:paraId="3A39E0D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127 585</w:t>
            </w:r>
          </w:p>
        </w:tc>
      </w:tr>
      <w:tr w:rsidR="00744544" w:rsidRPr="00A66C9F" w14:paraId="533CF700" w14:textId="77777777" w:rsidTr="00107D5D">
        <w:tc>
          <w:tcPr>
            <w:tcW w:w="2145" w:type="pct"/>
            <w:tcBorders>
              <w:bottom w:val="single" w:sz="4" w:space="0" w:color="auto"/>
            </w:tcBorders>
            <w:shd w:val="clear" w:color="auto" w:fill="auto"/>
            <w:noWrap/>
            <w:vAlign w:val="bottom"/>
            <w:hideMark/>
          </w:tcPr>
          <w:p w14:paraId="5056E2B9" w14:textId="77777777" w:rsidR="00744544" w:rsidRPr="00A66C9F" w:rsidRDefault="00744544" w:rsidP="00107D5D">
            <w:pPr>
              <w:tabs>
                <w:tab w:val="left" w:pos="288"/>
                <w:tab w:val="left" w:pos="576"/>
                <w:tab w:val="left" w:pos="864"/>
                <w:tab w:val="left" w:pos="1152"/>
              </w:tabs>
              <w:suppressAutoHyphens/>
              <w:spacing w:before="40" w:after="81" w:line="210" w:lineRule="exact"/>
              <w:ind w:right="40"/>
              <w:rPr>
                <w:sz w:val="17"/>
                <w:lang w:val="fr-FR"/>
              </w:rPr>
            </w:pPr>
            <w:r w:rsidRPr="00A66C9F">
              <w:rPr>
                <w:sz w:val="17"/>
                <w:lang w:val="fr-FR"/>
              </w:rPr>
              <w:t>Titres composés</w:t>
            </w:r>
          </w:p>
        </w:tc>
        <w:tc>
          <w:tcPr>
            <w:tcW w:w="1427" w:type="pct"/>
            <w:tcBorders>
              <w:bottom w:val="single" w:sz="4" w:space="0" w:color="auto"/>
            </w:tcBorders>
            <w:shd w:val="clear" w:color="auto" w:fill="auto"/>
            <w:vAlign w:val="bottom"/>
          </w:tcPr>
          <w:p w14:paraId="3044AE9F"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95 135 </w:t>
            </w:r>
          </w:p>
        </w:tc>
        <w:tc>
          <w:tcPr>
            <w:tcW w:w="1427" w:type="pct"/>
            <w:tcBorders>
              <w:bottom w:val="single" w:sz="4" w:space="0" w:color="auto"/>
            </w:tcBorders>
            <w:shd w:val="clear" w:color="auto" w:fill="auto"/>
            <w:vAlign w:val="bottom"/>
          </w:tcPr>
          <w:p w14:paraId="55EBD450"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96 976</w:t>
            </w:r>
          </w:p>
        </w:tc>
      </w:tr>
      <w:tr w:rsidR="00744544" w:rsidRPr="00A66C9F" w14:paraId="3F1171BD" w14:textId="77777777" w:rsidTr="00107D5D">
        <w:tc>
          <w:tcPr>
            <w:tcW w:w="2145" w:type="pct"/>
            <w:tcBorders>
              <w:top w:val="single" w:sz="4" w:space="0" w:color="auto"/>
              <w:bottom w:val="single" w:sz="12" w:space="0" w:color="auto"/>
            </w:tcBorders>
            <w:shd w:val="clear" w:color="auto" w:fill="auto"/>
            <w:noWrap/>
            <w:vAlign w:val="bottom"/>
            <w:hideMark/>
          </w:tcPr>
          <w:p w14:paraId="64DC9117" w14:textId="77777777" w:rsidR="00744544" w:rsidRPr="00A66C9F" w:rsidRDefault="00744544" w:rsidP="00107D5D">
            <w:pPr>
              <w:tabs>
                <w:tab w:val="left" w:pos="288"/>
                <w:tab w:val="left" w:pos="576"/>
                <w:tab w:val="left" w:pos="864"/>
                <w:tab w:val="left" w:pos="1152"/>
              </w:tabs>
              <w:suppressAutoHyphens/>
              <w:spacing w:before="81" w:after="81" w:line="210" w:lineRule="exact"/>
              <w:ind w:right="40"/>
              <w:rPr>
                <w:b/>
                <w:sz w:val="17"/>
                <w:lang w:val="fr-FR"/>
              </w:rPr>
            </w:pPr>
            <w:r w:rsidRPr="00A66C9F">
              <w:rPr>
                <w:b/>
                <w:sz w:val="17"/>
                <w:lang w:val="fr-FR"/>
              </w:rPr>
              <w:tab/>
              <w:t>Total</w:t>
            </w:r>
          </w:p>
        </w:tc>
        <w:tc>
          <w:tcPr>
            <w:tcW w:w="1427" w:type="pct"/>
            <w:tcBorders>
              <w:top w:val="single" w:sz="4" w:space="0" w:color="auto"/>
              <w:bottom w:val="single" w:sz="12" w:space="0" w:color="auto"/>
            </w:tcBorders>
            <w:shd w:val="clear" w:color="auto" w:fill="auto"/>
            <w:vAlign w:val="bottom"/>
          </w:tcPr>
          <w:p w14:paraId="7CB7143D"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42 309 141 </w:t>
            </w:r>
          </w:p>
        </w:tc>
        <w:tc>
          <w:tcPr>
            <w:tcW w:w="1427" w:type="pct"/>
            <w:tcBorders>
              <w:top w:val="single" w:sz="4" w:space="0" w:color="auto"/>
              <w:bottom w:val="single" w:sz="12" w:space="0" w:color="auto"/>
            </w:tcBorders>
            <w:shd w:val="clear" w:color="auto" w:fill="auto"/>
            <w:vAlign w:val="bottom"/>
          </w:tcPr>
          <w:p w14:paraId="16907627"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34 401 159</w:t>
            </w:r>
          </w:p>
        </w:tc>
      </w:tr>
    </w:tbl>
    <w:p w14:paraId="1B4522A6" w14:textId="77777777" w:rsidR="00744544" w:rsidRPr="00A66C9F" w:rsidRDefault="00744544" w:rsidP="00753AB8">
      <w:pPr>
        <w:pStyle w:val="SingleTxt"/>
        <w:numPr>
          <w:ilvl w:val="0"/>
          <w:numId w:val="19"/>
        </w:numPr>
        <w:spacing w:line="240" w:lineRule="exact"/>
        <w:rPr>
          <w:lang w:val="fr-FR"/>
        </w:rPr>
      </w:pPr>
      <w:r w:rsidRPr="00A66C9F">
        <w:rPr>
          <w:lang w:val="fr-FR"/>
        </w:rPr>
        <w:t>La contribution des actions au risque total de la Caisse (100 %) est de 86,17 % (contre 82,05 % en 2018), l’ensemble des autres catégories d’actifs constituant le reliquat de la contribution au risque.</w:t>
      </w:r>
    </w:p>
    <w:p w14:paraId="464EFC9E" w14:textId="77777777" w:rsidR="00744544" w:rsidRPr="00A66C9F" w:rsidRDefault="00744544" w:rsidP="00753AB8">
      <w:pPr>
        <w:pStyle w:val="SingleTxt"/>
        <w:numPr>
          <w:ilvl w:val="0"/>
          <w:numId w:val="19"/>
        </w:numPr>
        <w:spacing w:line="240" w:lineRule="exact"/>
        <w:rPr>
          <w:lang w:val="fr-FR"/>
        </w:rPr>
      </w:pPr>
      <w:r w:rsidRPr="00A66C9F">
        <w:rPr>
          <w:lang w:val="fr-FR"/>
        </w:rPr>
        <w:t>La Caisse gère aussi son exposition au risque de prix en analysant son portefeuille par secteur d’activité et en comparant les répartitions sectorielles à des indices de référence.</w:t>
      </w:r>
    </w:p>
    <w:p w14:paraId="5F3E09B8" w14:textId="77777777" w:rsidR="00744544" w:rsidRPr="00A66C9F" w:rsidRDefault="00744544" w:rsidP="00753AB8">
      <w:pPr>
        <w:pStyle w:val="SingleTxt"/>
        <w:numPr>
          <w:ilvl w:val="0"/>
          <w:numId w:val="19"/>
        </w:numPr>
        <w:spacing w:line="240" w:lineRule="exact"/>
        <w:rPr>
          <w:lang w:val="fr-FR"/>
        </w:rPr>
      </w:pPr>
      <w:r w:rsidRPr="00A66C9F">
        <w:rPr>
          <w:lang w:val="fr-FR"/>
        </w:rPr>
        <w:lastRenderedPageBreak/>
        <w:t>La répartition du portefeuille de la Caisse par secteur d’activité au 31 décembre 2019 et au 31 décembre 2018 était la suivante :</w:t>
      </w:r>
    </w:p>
    <w:p w14:paraId="6A07CD41" w14:textId="77777777" w:rsidR="00744544" w:rsidRPr="00A66C9F" w:rsidRDefault="00744544" w:rsidP="00744544">
      <w:pPr>
        <w:pStyle w:val="SingleTxt"/>
        <w:spacing w:after="0" w:line="120" w:lineRule="exact"/>
        <w:rPr>
          <w:sz w:val="10"/>
          <w:lang w:val="fr-FR"/>
        </w:rPr>
      </w:pPr>
    </w:p>
    <w:p w14:paraId="485A28A7" w14:textId="77777777" w:rsidR="00744544" w:rsidRPr="00A66C9F" w:rsidRDefault="00744544" w:rsidP="0074454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lang w:val="fr-FR"/>
        </w:rPr>
        <w:tab/>
      </w:r>
      <w:r w:rsidRPr="00A66C9F">
        <w:rPr>
          <w:lang w:val="fr-FR"/>
        </w:rPr>
        <w:tab/>
      </w:r>
      <w:r w:rsidRPr="00A66C9F">
        <w:rPr>
          <w:sz w:val="14"/>
          <w:szCs w:val="14"/>
          <w:lang w:val="fr-FR"/>
        </w:rPr>
        <w:t>(En pourcentage)</w:t>
      </w:r>
    </w:p>
    <w:p w14:paraId="45D67A0A" w14:textId="77777777" w:rsidR="00744544" w:rsidRPr="00A66C9F" w:rsidRDefault="00744544" w:rsidP="00744544">
      <w:pPr>
        <w:pStyle w:val="SingleTxt"/>
        <w:spacing w:after="0" w:line="120" w:lineRule="exact"/>
        <w:rPr>
          <w:sz w:val="10"/>
          <w:lang w:val="fr-FR"/>
        </w:rPr>
      </w:pPr>
    </w:p>
    <w:p w14:paraId="5014B6A3" w14:textId="77777777" w:rsidR="00744544" w:rsidRPr="00A66C9F" w:rsidRDefault="00744544" w:rsidP="00744544">
      <w:pPr>
        <w:pStyle w:val="SingleTxt"/>
        <w:spacing w:after="0" w:line="120" w:lineRule="exact"/>
        <w:rPr>
          <w:sz w:val="10"/>
          <w:lang w:val="fr-FR"/>
        </w:rPr>
      </w:pPr>
    </w:p>
    <w:tbl>
      <w:tblPr>
        <w:tblW w:w="8550" w:type="dxa"/>
        <w:tblInd w:w="1260" w:type="dxa"/>
        <w:tblLayout w:type="fixed"/>
        <w:tblCellMar>
          <w:left w:w="0" w:type="dxa"/>
          <w:right w:w="0" w:type="dxa"/>
        </w:tblCellMar>
        <w:tblLook w:val="0000" w:firstRow="0" w:lastRow="0" w:firstColumn="0" w:lastColumn="0" w:noHBand="0" w:noVBand="0"/>
      </w:tblPr>
      <w:tblGrid>
        <w:gridCol w:w="2709"/>
        <w:gridCol w:w="1481"/>
        <w:gridCol w:w="1390"/>
        <w:gridCol w:w="180"/>
        <w:gridCol w:w="1394"/>
        <w:gridCol w:w="1396"/>
      </w:tblGrid>
      <w:tr w:rsidR="00744544" w:rsidRPr="00A66C9F" w14:paraId="17316108" w14:textId="77777777" w:rsidTr="00160674">
        <w:trPr>
          <w:tblHeader/>
        </w:trPr>
        <w:tc>
          <w:tcPr>
            <w:tcW w:w="2709" w:type="dxa"/>
            <w:tcBorders>
              <w:top w:val="single" w:sz="4" w:space="0" w:color="auto"/>
            </w:tcBorders>
            <w:shd w:val="clear" w:color="auto" w:fill="auto"/>
            <w:vAlign w:val="bottom"/>
          </w:tcPr>
          <w:p w14:paraId="45AF5F5C" w14:textId="77777777" w:rsidR="00744544" w:rsidRPr="00A66C9F" w:rsidRDefault="00744544" w:rsidP="00107D5D">
            <w:pPr>
              <w:suppressAutoHyphens/>
              <w:spacing w:before="81" w:after="81" w:line="160" w:lineRule="exact"/>
              <w:ind w:right="40"/>
              <w:rPr>
                <w:i/>
                <w:sz w:val="14"/>
                <w:lang w:val="fr-FR"/>
              </w:rPr>
            </w:pPr>
          </w:p>
        </w:tc>
        <w:tc>
          <w:tcPr>
            <w:tcW w:w="2871" w:type="dxa"/>
            <w:gridSpan w:val="2"/>
            <w:tcBorders>
              <w:top w:val="single" w:sz="4" w:space="0" w:color="auto"/>
              <w:bottom w:val="single" w:sz="4" w:space="0" w:color="auto"/>
            </w:tcBorders>
            <w:shd w:val="clear" w:color="auto" w:fill="auto"/>
            <w:vAlign w:val="bottom"/>
          </w:tcPr>
          <w:p w14:paraId="73EA2595" w14:textId="77777777" w:rsidR="00744544" w:rsidRPr="00A66C9F" w:rsidRDefault="00744544" w:rsidP="00107D5D">
            <w:pPr>
              <w:suppressAutoHyphens/>
              <w:spacing w:before="81" w:after="81" w:line="160" w:lineRule="exact"/>
              <w:ind w:right="43"/>
              <w:jc w:val="center"/>
              <w:rPr>
                <w:i/>
                <w:sz w:val="14"/>
                <w:lang w:val="fr-FR"/>
              </w:rPr>
            </w:pPr>
            <w:r w:rsidRPr="00A66C9F">
              <w:rPr>
                <w:i/>
                <w:sz w:val="14"/>
                <w:lang w:val="fr-FR"/>
              </w:rPr>
              <w:t>Au 31 décembre 2019</w:t>
            </w:r>
          </w:p>
        </w:tc>
        <w:tc>
          <w:tcPr>
            <w:tcW w:w="180" w:type="dxa"/>
            <w:tcBorders>
              <w:top w:val="single" w:sz="4" w:space="0" w:color="auto"/>
            </w:tcBorders>
            <w:shd w:val="clear" w:color="auto" w:fill="auto"/>
            <w:vAlign w:val="bottom"/>
          </w:tcPr>
          <w:p w14:paraId="78B0CB2C" w14:textId="77777777" w:rsidR="00744544" w:rsidRPr="00A66C9F" w:rsidRDefault="00744544" w:rsidP="00107D5D">
            <w:pPr>
              <w:suppressAutoHyphens/>
              <w:spacing w:before="81" w:after="81" w:line="160" w:lineRule="exact"/>
              <w:ind w:right="43"/>
              <w:jc w:val="right"/>
              <w:rPr>
                <w:i/>
                <w:sz w:val="14"/>
                <w:lang w:val="fr-FR"/>
              </w:rPr>
            </w:pPr>
          </w:p>
        </w:tc>
        <w:tc>
          <w:tcPr>
            <w:tcW w:w="2790" w:type="dxa"/>
            <w:gridSpan w:val="2"/>
            <w:tcBorders>
              <w:top w:val="single" w:sz="4" w:space="0" w:color="auto"/>
              <w:bottom w:val="single" w:sz="4" w:space="0" w:color="auto"/>
            </w:tcBorders>
            <w:shd w:val="clear" w:color="auto" w:fill="auto"/>
            <w:vAlign w:val="bottom"/>
          </w:tcPr>
          <w:p w14:paraId="316F558A" w14:textId="77777777" w:rsidR="00744544" w:rsidRPr="00A66C9F" w:rsidRDefault="00744544" w:rsidP="00107D5D">
            <w:pPr>
              <w:suppressAutoHyphens/>
              <w:spacing w:before="81" w:after="81" w:line="160" w:lineRule="exact"/>
              <w:ind w:right="43"/>
              <w:jc w:val="center"/>
              <w:rPr>
                <w:i/>
                <w:sz w:val="14"/>
                <w:lang w:val="fr-FR"/>
              </w:rPr>
            </w:pPr>
            <w:r w:rsidRPr="00A66C9F">
              <w:rPr>
                <w:i/>
                <w:sz w:val="14"/>
                <w:lang w:val="fr-FR"/>
              </w:rPr>
              <w:t>Au 31 décembre 2018</w:t>
            </w:r>
          </w:p>
        </w:tc>
      </w:tr>
      <w:tr w:rsidR="00744544" w:rsidRPr="00A66C9F" w14:paraId="13B60831" w14:textId="77777777" w:rsidTr="00160674">
        <w:trPr>
          <w:tblHeader/>
        </w:trPr>
        <w:tc>
          <w:tcPr>
            <w:tcW w:w="2709" w:type="dxa"/>
            <w:tcBorders>
              <w:bottom w:val="single" w:sz="12" w:space="0" w:color="auto"/>
            </w:tcBorders>
            <w:shd w:val="clear" w:color="auto" w:fill="auto"/>
            <w:vAlign w:val="bottom"/>
          </w:tcPr>
          <w:p w14:paraId="5C6437D6" w14:textId="77777777" w:rsidR="00744544" w:rsidRPr="00A66C9F" w:rsidRDefault="00744544" w:rsidP="00107D5D">
            <w:pPr>
              <w:suppressAutoHyphens/>
              <w:spacing w:before="81" w:after="81" w:line="160" w:lineRule="exact"/>
              <w:ind w:right="40"/>
              <w:rPr>
                <w:i/>
                <w:sz w:val="14"/>
                <w:lang w:val="fr-FR"/>
              </w:rPr>
            </w:pPr>
            <w:r w:rsidRPr="00A66C9F">
              <w:rPr>
                <w:i/>
                <w:sz w:val="14"/>
                <w:lang w:val="fr-FR"/>
              </w:rPr>
              <w:t>Classification générale type par secteur d’activité</w:t>
            </w:r>
          </w:p>
        </w:tc>
        <w:tc>
          <w:tcPr>
            <w:tcW w:w="1481" w:type="dxa"/>
            <w:tcBorders>
              <w:top w:val="single" w:sz="4" w:space="0" w:color="auto"/>
              <w:bottom w:val="single" w:sz="12" w:space="0" w:color="auto"/>
            </w:tcBorders>
            <w:shd w:val="clear" w:color="auto" w:fill="auto"/>
            <w:vAlign w:val="bottom"/>
          </w:tcPr>
          <w:p w14:paraId="0BBEF4F9"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Portefeuille d’actions</w:t>
            </w:r>
            <w:r w:rsidRPr="00A66C9F">
              <w:rPr>
                <w:i/>
                <w:sz w:val="14"/>
                <w:lang w:val="fr-FR"/>
              </w:rPr>
              <w:br/>
              <w:t>de la Caisse</w:t>
            </w:r>
          </w:p>
        </w:tc>
        <w:tc>
          <w:tcPr>
            <w:tcW w:w="1390" w:type="dxa"/>
            <w:tcBorders>
              <w:top w:val="single" w:sz="4" w:space="0" w:color="auto"/>
              <w:bottom w:val="single" w:sz="12" w:space="0" w:color="auto"/>
            </w:tcBorders>
            <w:shd w:val="clear" w:color="auto" w:fill="auto"/>
            <w:vAlign w:val="bottom"/>
          </w:tcPr>
          <w:p w14:paraId="37C89AF9" w14:textId="12D9FC95"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Indice de</w:t>
            </w:r>
            <w:r w:rsidR="00160674" w:rsidRPr="00A66C9F">
              <w:rPr>
                <w:i/>
                <w:sz w:val="14"/>
                <w:lang w:val="fr-FR"/>
              </w:rPr>
              <w:t xml:space="preserve"> </w:t>
            </w:r>
            <w:r w:rsidRPr="00A66C9F">
              <w:rPr>
                <w:i/>
                <w:sz w:val="14"/>
                <w:lang w:val="fr-FR"/>
              </w:rPr>
              <w:t>référence</w:t>
            </w:r>
            <w:r w:rsidRPr="00A66C9F">
              <w:rPr>
                <w:i/>
                <w:sz w:val="14"/>
                <w:vertAlign w:val="superscript"/>
                <w:lang w:val="fr-FR"/>
              </w:rPr>
              <w:t>a</w:t>
            </w:r>
          </w:p>
        </w:tc>
        <w:tc>
          <w:tcPr>
            <w:tcW w:w="1574" w:type="dxa"/>
            <w:gridSpan w:val="2"/>
            <w:tcBorders>
              <w:bottom w:val="single" w:sz="12" w:space="0" w:color="auto"/>
            </w:tcBorders>
            <w:shd w:val="clear" w:color="auto" w:fill="auto"/>
            <w:vAlign w:val="bottom"/>
          </w:tcPr>
          <w:p w14:paraId="25EE03DF"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Portefeuille d’actions</w:t>
            </w:r>
            <w:r w:rsidRPr="00A66C9F">
              <w:rPr>
                <w:i/>
                <w:sz w:val="14"/>
                <w:lang w:val="fr-FR"/>
              </w:rPr>
              <w:br/>
              <w:t>de la Caisse</w:t>
            </w:r>
          </w:p>
        </w:tc>
        <w:tc>
          <w:tcPr>
            <w:tcW w:w="1396" w:type="dxa"/>
            <w:tcBorders>
              <w:bottom w:val="single" w:sz="12" w:space="0" w:color="auto"/>
            </w:tcBorders>
            <w:shd w:val="clear" w:color="auto" w:fill="auto"/>
            <w:vAlign w:val="bottom"/>
          </w:tcPr>
          <w:p w14:paraId="37174B71" w14:textId="0FD3BBE6"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Indice de</w:t>
            </w:r>
            <w:r w:rsidR="00160674" w:rsidRPr="00A66C9F">
              <w:rPr>
                <w:i/>
                <w:sz w:val="14"/>
                <w:lang w:val="fr-FR"/>
              </w:rPr>
              <w:t xml:space="preserve"> </w:t>
            </w:r>
            <w:r w:rsidRPr="00A66C9F">
              <w:rPr>
                <w:i/>
                <w:sz w:val="14"/>
                <w:lang w:val="fr-FR"/>
              </w:rPr>
              <w:t>référence</w:t>
            </w:r>
            <w:r w:rsidRPr="00A66C9F">
              <w:rPr>
                <w:i/>
                <w:sz w:val="14"/>
                <w:vertAlign w:val="superscript"/>
                <w:lang w:val="fr-FR"/>
              </w:rPr>
              <w:t>b</w:t>
            </w:r>
          </w:p>
        </w:tc>
      </w:tr>
      <w:tr w:rsidR="00744544" w:rsidRPr="00A66C9F" w14:paraId="34CA0E21" w14:textId="77777777" w:rsidTr="00160674">
        <w:trPr>
          <w:trHeight w:hRule="exact" w:val="115"/>
          <w:tblHeader/>
        </w:trPr>
        <w:tc>
          <w:tcPr>
            <w:tcW w:w="2709" w:type="dxa"/>
            <w:tcBorders>
              <w:top w:val="single" w:sz="12" w:space="0" w:color="auto"/>
            </w:tcBorders>
            <w:shd w:val="clear" w:color="auto" w:fill="auto"/>
            <w:vAlign w:val="bottom"/>
          </w:tcPr>
          <w:p w14:paraId="496506FB" w14:textId="77777777" w:rsidR="00744544" w:rsidRPr="00A66C9F" w:rsidRDefault="00744544" w:rsidP="00107D5D">
            <w:pPr>
              <w:suppressAutoHyphens/>
              <w:spacing w:before="40" w:after="40" w:line="210" w:lineRule="exact"/>
              <w:ind w:right="40"/>
              <w:rPr>
                <w:sz w:val="17"/>
                <w:lang w:val="fr-FR"/>
              </w:rPr>
            </w:pPr>
          </w:p>
        </w:tc>
        <w:tc>
          <w:tcPr>
            <w:tcW w:w="1481" w:type="dxa"/>
            <w:tcBorders>
              <w:top w:val="single" w:sz="12" w:space="0" w:color="auto"/>
            </w:tcBorders>
            <w:shd w:val="clear" w:color="auto" w:fill="auto"/>
            <w:vAlign w:val="bottom"/>
          </w:tcPr>
          <w:p w14:paraId="43C9BA74" w14:textId="77777777" w:rsidR="00744544" w:rsidRPr="00A66C9F" w:rsidRDefault="00744544" w:rsidP="00107D5D">
            <w:pPr>
              <w:suppressAutoHyphens/>
              <w:spacing w:before="40" w:after="40" w:line="210" w:lineRule="exact"/>
              <w:ind w:right="40"/>
              <w:rPr>
                <w:sz w:val="17"/>
                <w:lang w:val="fr-FR"/>
              </w:rPr>
            </w:pPr>
          </w:p>
        </w:tc>
        <w:tc>
          <w:tcPr>
            <w:tcW w:w="1390" w:type="dxa"/>
            <w:tcBorders>
              <w:top w:val="single" w:sz="12" w:space="0" w:color="auto"/>
            </w:tcBorders>
            <w:shd w:val="clear" w:color="auto" w:fill="auto"/>
            <w:vAlign w:val="bottom"/>
          </w:tcPr>
          <w:p w14:paraId="2D02C3DE" w14:textId="77777777" w:rsidR="00744544" w:rsidRPr="00A66C9F" w:rsidRDefault="00744544" w:rsidP="00107D5D">
            <w:pPr>
              <w:suppressAutoHyphens/>
              <w:spacing w:before="40" w:after="40" w:line="210" w:lineRule="exact"/>
              <w:ind w:right="40"/>
              <w:rPr>
                <w:sz w:val="17"/>
                <w:lang w:val="fr-FR"/>
              </w:rPr>
            </w:pPr>
          </w:p>
        </w:tc>
        <w:tc>
          <w:tcPr>
            <w:tcW w:w="1574" w:type="dxa"/>
            <w:gridSpan w:val="2"/>
            <w:tcBorders>
              <w:top w:val="single" w:sz="12" w:space="0" w:color="auto"/>
            </w:tcBorders>
            <w:shd w:val="clear" w:color="auto" w:fill="auto"/>
            <w:vAlign w:val="bottom"/>
          </w:tcPr>
          <w:p w14:paraId="5E20D950" w14:textId="77777777" w:rsidR="00744544" w:rsidRPr="00A66C9F" w:rsidRDefault="00744544" w:rsidP="00107D5D">
            <w:pPr>
              <w:suppressAutoHyphens/>
              <w:spacing w:before="40" w:after="40" w:line="210" w:lineRule="exact"/>
              <w:ind w:right="40"/>
              <w:rPr>
                <w:sz w:val="17"/>
                <w:lang w:val="fr-FR"/>
              </w:rPr>
            </w:pPr>
          </w:p>
        </w:tc>
        <w:tc>
          <w:tcPr>
            <w:tcW w:w="1396" w:type="dxa"/>
            <w:tcBorders>
              <w:top w:val="single" w:sz="12" w:space="0" w:color="auto"/>
            </w:tcBorders>
            <w:shd w:val="clear" w:color="auto" w:fill="auto"/>
            <w:vAlign w:val="bottom"/>
          </w:tcPr>
          <w:p w14:paraId="2D3DBEB6" w14:textId="77777777" w:rsidR="00744544" w:rsidRPr="00A66C9F" w:rsidRDefault="00744544" w:rsidP="00107D5D">
            <w:pPr>
              <w:suppressAutoHyphens/>
              <w:spacing w:before="40" w:after="40" w:line="210" w:lineRule="exact"/>
              <w:ind w:right="40"/>
              <w:rPr>
                <w:sz w:val="17"/>
                <w:lang w:val="fr-FR"/>
              </w:rPr>
            </w:pPr>
          </w:p>
        </w:tc>
      </w:tr>
      <w:tr w:rsidR="00744544" w:rsidRPr="00A66C9F" w14:paraId="22ECFBED" w14:textId="77777777" w:rsidTr="00160674">
        <w:tc>
          <w:tcPr>
            <w:tcW w:w="2709" w:type="dxa"/>
            <w:shd w:val="clear" w:color="auto" w:fill="auto"/>
            <w:vAlign w:val="bottom"/>
          </w:tcPr>
          <w:p w14:paraId="468CE2C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Finances</w:t>
            </w:r>
          </w:p>
        </w:tc>
        <w:tc>
          <w:tcPr>
            <w:tcW w:w="1481" w:type="dxa"/>
            <w:shd w:val="clear" w:color="auto" w:fill="auto"/>
            <w:vAlign w:val="bottom"/>
          </w:tcPr>
          <w:p w14:paraId="25E5B20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lang w:val="fr-FR"/>
              </w:rPr>
            </w:pPr>
            <w:r w:rsidRPr="00A66C9F">
              <w:rPr>
                <w:sz w:val="17"/>
                <w:lang w:val="fr-FR"/>
              </w:rPr>
              <w:t>16,25</w:t>
            </w:r>
          </w:p>
        </w:tc>
        <w:tc>
          <w:tcPr>
            <w:tcW w:w="1390" w:type="dxa"/>
            <w:shd w:val="clear" w:color="auto" w:fill="auto"/>
            <w:vAlign w:val="bottom"/>
          </w:tcPr>
          <w:p w14:paraId="77EAC0E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lang w:val="fr-FR"/>
              </w:rPr>
            </w:pPr>
            <w:r w:rsidRPr="00A66C9F">
              <w:rPr>
                <w:sz w:val="17"/>
                <w:lang w:val="fr-FR"/>
              </w:rPr>
              <w:t>17,29</w:t>
            </w:r>
          </w:p>
        </w:tc>
        <w:tc>
          <w:tcPr>
            <w:tcW w:w="1574" w:type="dxa"/>
            <w:gridSpan w:val="2"/>
            <w:shd w:val="clear" w:color="auto" w:fill="auto"/>
            <w:vAlign w:val="bottom"/>
          </w:tcPr>
          <w:p w14:paraId="03F7576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lang w:val="fr-FR"/>
              </w:rPr>
            </w:pPr>
            <w:r w:rsidRPr="00A66C9F">
              <w:rPr>
                <w:sz w:val="17"/>
                <w:lang w:val="fr-FR"/>
              </w:rPr>
              <w:t>16,12</w:t>
            </w:r>
          </w:p>
        </w:tc>
        <w:tc>
          <w:tcPr>
            <w:tcW w:w="1396" w:type="dxa"/>
            <w:shd w:val="clear" w:color="auto" w:fill="auto"/>
            <w:vAlign w:val="bottom"/>
          </w:tcPr>
          <w:p w14:paraId="42DFE8A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lang w:val="fr-FR"/>
              </w:rPr>
            </w:pPr>
            <w:r w:rsidRPr="00A66C9F">
              <w:rPr>
                <w:sz w:val="17"/>
                <w:lang w:val="fr-FR"/>
              </w:rPr>
              <w:t>17,77</w:t>
            </w:r>
          </w:p>
        </w:tc>
      </w:tr>
      <w:tr w:rsidR="00744544" w:rsidRPr="00A66C9F" w14:paraId="5ECDA171" w14:textId="77777777" w:rsidTr="00160674">
        <w:tc>
          <w:tcPr>
            <w:tcW w:w="2709" w:type="dxa"/>
            <w:shd w:val="clear" w:color="auto" w:fill="auto"/>
            <w:vAlign w:val="bottom"/>
          </w:tcPr>
          <w:p w14:paraId="788981D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Informatique</w:t>
            </w:r>
          </w:p>
        </w:tc>
        <w:tc>
          <w:tcPr>
            <w:tcW w:w="1481" w:type="dxa"/>
            <w:shd w:val="clear" w:color="auto" w:fill="auto"/>
            <w:vAlign w:val="bottom"/>
          </w:tcPr>
          <w:p w14:paraId="4E47380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lang w:val="fr-FR"/>
              </w:rPr>
            </w:pPr>
            <w:r w:rsidRPr="00A66C9F">
              <w:rPr>
                <w:sz w:val="17"/>
                <w:lang w:val="fr-FR"/>
              </w:rPr>
              <w:t>17,80</w:t>
            </w:r>
          </w:p>
        </w:tc>
        <w:tc>
          <w:tcPr>
            <w:tcW w:w="1390" w:type="dxa"/>
            <w:shd w:val="clear" w:color="auto" w:fill="auto"/>
            <w:vAlign w:val="bottom"/>
          </w:tcPr>
          <w:p w14:paraId="1D3C2DA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lang w:val="fr-FR"/>
              </w:rPr>
            </w:pPr>
            <w:r w:rsidRPr="00A66C9F">
              <w:rPr>
                <w:sz w:val="17"/>
                <w:lang w:val="fr-FR"/>
              </w:rPr>
              <w:t>17,69</w:t>
            </w:r>
          </w:p>
        </w:tc>
        <w:tc>
          <w:tcPr>
            <w:tcW w:w="1574" w:type="dxa"/>
            <w:gridSpan w:val="2"/>
            <w:shd w:val="clear" w:color="auto" w:fill="auto"/>
            <w:vAlign w:val="bottom"/>
          </w:tcPr>
          <w:p w14:paraId="28AFDE0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lang w:val="fr-FR"/>
              </w:rPr>
            </w:pPr>
            <w:r w:rsidRPr="00A66C9F">
              <w:rPr>
                <w:sz w:val="17"/>
                <w:lang w:val="fr-FR"/>
              </w:rPr>
              <w:t>15,02</w:t>
            </w:r>
          </w:p>
        </w:tc>
        <w:tc>
          <w:tcPr>
            <w:tcW w:w="1396" w:type="dxa"/>
            <w:shd w:val="clear" w:color="auto" w:fill="auto"/>
            <w:vAlign w:val="bottom"/>
          </w:tcPr>
          <w:p w14:paraId="7DE53FC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lang w:val="fr-FR"/>
              </w:rPr>
            </w:pPr>
            <w:r w:rsidRPr="00A66C9F">
              <w:rPr>
                <w:sz w:val="17"/>
                <w:lang w:val="fr-FR"/>
              </w:rPr>
              <w:t>15,29</w:t>
            </w:r>
          </w:p>
        </w:tc>
      </w:tr>
      <w:tr w:rsidR="00744544" w:rsidRPr="00A66C9F" w14:paraId="3E829809" w14:textId="77777777" w:rsidTr="00160674">
        <w:tc>
          <w:tcPr>
            <w:tcW w:w="2709" w:type="dxa"/>
            <w:shd w:val="clear" w:color="auto" w:fill="auto"/>
            <w:vAlign w:val="bottom"/>
          </w:tcPr>
          <w:p w14:paraId="11B7639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Services de communication</w:t>
            </w:r>
          </w:p>
        </w:tc>
        <w:tc>
          <w:tcPr>
            <w:tcW w:w="1481" w:type="dxa"/>
            <w:shd w:val="clear" w:color="auto" w:fill="auto"/>
            <w:vAlign w:val="bottom"/>
          </w:tcPr>
          <w:p w14:paraId="43735A4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lang w:val="fr-FR"/>
              </w:rPr>
            </w:pPr>
            <w:r w:rsidRPr="00A66C9F">
              <w:rPr>
                <w:sz w:val="17"/>
                <w:lang w:val="fr-FR"/>
              </w:rPr>
              <w:t>8,27</w:t>
            </w:r>
          </w:p>
        </w:tc>
        <w:tc>
          <w:tcPr>
            <w:tcW w:w="1390" w:type="dxa"/>
            <w:shd w:val="clear" w:color="auto" w:fill="auto"/>
            <w:vAlign w:val="bottom"/>
          </w:tcPr>
          <w:p w14:paraId="3B5B8D9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lang w:val="fr-FR"/>
              </w:rPr>
            </w:pPr>
            <w:r w:rsidRPr="00A66C9F">
              <w:rPr>
                <w:sz w:val="17"/>
                <w:lang w:val="fr-FR"/>
              </w:rPr>
              <w:t>9,01</w:t>
            </w:r>
          </w:p>
        </w:tc>
        <w:tc>
          <w:tcPr>
            <w:tcW w:w="1574" w:type="dxa"/>
            <w:gridSpan w:val="2"/>
            <w:shd w:val="clear" w:color="auto" w:fill="auto"/>
            <w:vAlign w:val="bottom"/>
          </w:tcPr>
          <w:p w14:paraId="4253C95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lang w:val="fr-FR"/>
              </w:rPr>
            </w:pPr>
            <w:r w:rsidRPr="00A66C9F">
              <w:rPr>
                <w:sz w:val="17"/>
                <w:lang w:val="fr-FR"/>
              </w:rPr>
              <w:t>8,01</w:t>
            </w:r>
          </w:p>
        </w:tc>
        <w:tc>
          <w:tcPr>
            <w:tcW w:w="1396" w:type="dxa"/>
            <w:shd w:val="clear" w:color="auto" w:fill="auto"/>
            <w:vAlign w:val="bottom"/>
          </w:tcPr>
          <w:p w14:paraId="23603FF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lang w:val="fr-FR"/>
              </w:rPr>
            </w:pPr>
            <w:r w:rsidRPr="00A66C9F">
              <w:rPr>
                <w:sz w:val="17"/>
                <w:lang w:val="fr-FR"/>
              </w:rPr>
              <w:t>9,26</w:t>
            </w:r>
          </w:p>
        </w:tc>
      </w:tr>
      <w:tr w:rsidR="00744544" w:rsidRPr="00A66C9F" w14:paraId="3A54CCD5" w14:textId="77777777" w:rsidTr="00160674">
        <w:tc>
          <w:tcPr>
            <w:tcW w:w="2709" w:type="dxa"/>
            <w:shd w:val="clear" w:color="auto" w:fill="auto"/>
            <w:vAlign w:val="bottom"/>
          </w:tcPr>
          <w:p w14:paraId="330F58A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Biens de consommation cyclique</w:t>
            </w:r>
          </w:p>
        </w:tc>
        <w:tc>
          <w:tcPr>
            <w:tcW w:w="1481" w:type="dxa"/>
            <w:shd w:val="clear" w:color="auto" w:fill="auto"/>
            <w:vAlign w:val="bottom"/>
          </w:tcPr>
          <w:p w14:paraId="6EC9C2A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lang w:val="fr-FR"/>
              </w:rPr>
            </w:pPr>
            <w:r w:rsidRPr="00A66C9F">
              <w:rPr>
                <w:sz w:val="17"/>
                <w:lang w:val="fr-FR"/>
              </w:rPr>
              <w:t>11,82</w:t>
            </w:r>
          </w:p>
        </w:tc>
        <w:tc>
          <w:tcPr>
            <w:tcW w:w="1390" w:type="dxa"/>
            <w:shd w:val="clear" w:color="auto" w:fill="auto"/>
            <w:vAlign w:val="bottom"/>
          </w:tcPr>
          <w:p w14:paraId="4D3D90C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lang w:val="fr-FR"/>
              </w:rPr>
            </w:pPr>
            <w:r w:rsidRPr="00A66C9F">
              <w:rPr>
                <w:sz w:val="17"/>
                <w:lang w:val="fr-FR"/>
              </w:rPr>
              <w:t>11,03</w:t>
            </w:r>
          </w:p>
        </w:tc>
        <w:tc>
          <w:tcPr>
            <w:tcW w:w="1574" w:type="dxa"/>
            <w:gridSpan w:val="2"/>
            <w:shd w:val="clear" w:color="auto" w:fill="auto"/>
            <w:vAlign w:val="bottom"/>
          </w:tcPr>
          <w:p w14:paraId="4DE7215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lang w:val="fr-FR"/>
              </w:rPr>
            </w:pPr>
            <w:r w:rsidRPr="00A66C9F">
              <w:rPr>
                <w:sz w:val="17"/>
                <w:lang w:val="fr-FR"/>
              </w:rPr>
              <w:t>10,93</w:t>
            </w:r>
          </w:p>
        </w:tc>
        <w:tc>
          <w:tcPr>
            <w:tcW w:w="1396" w:type="dxa"/>
            <w:shd w:val="clear" w:color="auto" w:fill="auto"/>
            <w:vAlign w:val="bottom"/>
          </w:tcPr>
          <w:p w14:paraId="36F6EFA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lang w:val="fr-FR"/>
              </w:rPr>
            </w:pPr>
            <w:r w:rsidRPr="00A66C9F">
              <w:rPr>
                <w:sz w:val="17"/>
                <w:lang w:val="fr-FR"/>
              </w:rPr>
              <w:t>10,68</w:t>
            </w:r>
          </w:p>
        </w:tc>
      </w:tr>
      <w:tr w:rsidR="00744544" w:rsidRPr="00A66C9F" w14:paraId="0BE1E427" w14:textId="77777777" w:rsidTr="00160674">
        <w:tc>
          <w:tcPr>
            <w:tcW w:w="2709" w:type="dxa"/>
            <w:shd w:val="clear" w:color="auto" w:fill="auto"/>
            <w:vAlign w:val="bottom"/>
          </w:tcPr>
          <w:p w14:paraId="6242E82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Biens de consommation de base</w:t>
            </w:r>
          </w:p>
        </w:tc>
        <w:tc>
          <w:tcPr>
            <w:tcW w:w="1481" w:type="dxa"/>
            <w:shd w:val="clear" w:color="auto" w:fill="auto"/>
            <w:vAlign w:val="bottom"/>
          </w:tcPr>
          <w:p w14:paraId="3BD246F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lang w:val="fr-FR"/>
              </w:rPr>
            </w:pPr>
            <w:r w:rsidRPr="00A66C9F">
              <w:rPr>
                <w:sz w:val="17"/>
                <w:lang w:val="fr-FR"/>
              </w:rPr>
              <w:t>6,70</w:t>
            </w:r>
          </w:p>
        </w:tc>
        <w:tc>
          <w:tcPr>
            <w:tcW w:w="1390" w:type="dxa"/>
            <w:shd w:val="clear" w:color="auto" w:fill="auto"/>
            <w:vAlign w:val="bottom"/>
          </w:tcPr>
          <w:p w14:paraId="0CFA31A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lang w:val="fr-FR"/>
              </w:rPr>
            </w:pPr>
            <w:r w:rsidRPr="00A66C9F">
              <w:rPr>
                <w:sz w:val="17"/>
                <w:lang w:val="fr-FR"/>
              </w:rPr>
              <w:t>7,48</w:t>
            </w:r>
          </w:p>
        </w:tc>
        <w:tc>
          <w:tcPr>
            <w:tcW w:w="1574" w:type="dxa"/>
            <w:gridSpan w:val="2"/>
            <w:shd w:val="clear" w:color="auto" w:fill="auto"/>
            <w:vAlign w:val="bottom"/>
          </w:tcPr>
          <w:p w14:paraId="7550848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lang w:val="fr-FR"/>
              </w:rPr>
            </w:pPr>
            <w:r w:rsidRPr="00A66C9F">
              <w:rPr>
                <w:sz w:val="17"/>
                <w:lang w:val="fr-FR"/>
              </w:rPr>
              <w:t>7,24</w:t>
            </w:r>
          </w:p>
        </w:tc>
        <w:tc>
          <w:tcPr>
            <w:tcW w:w="1396" w:type="dxa"/>
            <w:shd w:val="clear" w:color="auto" w:fill="auto"/>
            <w:vAlign w:val="bottom"/>
          </w:tcPr>
          <w:p w14:paraId="2CF9F2B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lang w:val="fr-FR"/>
              </w:rPr>
            </w:pPr>
            <w:r w:rsidRPr="00A66C9F">
              <w:rPr>
                <w:sz w:val="17"/>
                <w:lang w:val="fr-FR"/>
              </w:rPr>
              <w:t>7,77</w:t>
            </w:r>
          </w:p>
        </w:tc>
      </w:tr>
      <w:tr w:rsidR="00744544" w:rsidRPr="00A66C9F" w14:paraId="2483233B" w14:textId="77777777" w:rsidTr="00160674">
        <w:tc>
          <w:tcPr>
            <w:tcW w:w="2709" w:type="dxa"/>
            <w:shd w:val="clear" w:color="auto" w:fill="auto"/>
            <w:vAlign w:val="bottom"/>
          </w:tcPr>
          <w:p w14:paraId="73FA551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Énergie</w:t>
            </w:r>
          </w:p>
        </w:tc>
        <w:tc>
          <w:tcPr>
            <w:tcW w:w="1481" w:type="dxa"/>
            <w:shd w:val="clear" w:color="auto" w:fill="auto"/>
            <w:vAlign w:val="bottom"/>
          </w:tcPr>
          <w:p w14:paraId="659EC0D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lang w:val="fr-FR"/>
              </w:rPr>
            </w:pPr>
            <w:r w:rsidRPr="00A66C9F">
              <w:rPr>
                <w:sz w:val="17"/>
                <w:lang w:val="fr-FR"/>
              </w:rPr>
              <w:t>5,15</w:t>
            </w:r>
          </w:p>
        </w:tc>
        <w:tc>
          <w:tcPr>
            <w:tcW w:w="1390" w:type="dxa"/>
            <w:shd w:val="clear" w:color="auto" w:fill="auto"/>
            <w:vAlign w:val="bottom"/>
          </w:tcPr>
          <w:p w14:paraId="165923E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lang w:val="fr-FR"/>
              </w:rPr>
            </w:pPr>
            <w:r w:rsidRPr="00A66C9F">
              <w:rPr>
                <w:sz w:val="17"/>
                <w:lang w:val="fr-FR"/>
              </w:rPr>
              <w:t>5,40</w:t>
            </w:r>
          </w:p>
        </w:tc>
        <w:tc>
          <w:tcPr>
            <w:tcW w:w="1574" w:type="dxa"/>
            <w:gridSpan w:val="2"/>
            <w:shd w:val="clear" w:color="auto" w:fill="auto"/>
            <w:vAlign w:val="bottom"/>
          </w:tcPr>
          <w:p w14:paraId="74C3B51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lang w:val="fr-FR"/>
              </w:rPr>
            </w:pPr>
            <w:r w:rsidRPr="00A66C9F">
              <w:rPr>
                <w:sz w:val="17"/>
                <w:lang w:val="fr-FR"/>
              </w:rPr>
              <w:t>5,57</w:t>
            </w:r>
          </w:p>
        </w:tc>
        <w:tc>
          <w:tcPr>
            <w:tcW w:w="1396" w:type="dxa"/>
            <w:shd w:val="clear" w:color="auto" w:fill="auto"/>
            <w:vAlign w:val="bottom"/>
          </w:tcPr>
          <w:p w14:paraId="1307924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lang w:val="fr-FR"/>
              </w:rPr>
            </w:pPr>
            <w:r w:rsidRPr="00A66C9F">
              <w:rPr>
                <w:sz w:val="17"/>
                <w:lang w:val="fr-FR"/>
              </w:rPr>
              <w:t>6,37</w:t>
            </w:r>
          </w:p>
        </w:tc>
      </w:tr>
      <w:tr w:rsidR="00744544" w:rsidRPr="00A66C9F" w14:paraId="696DF7F6" w14:textId="77777777" w:rsidTr="00160674">
        <w:tc>
          <w:tcPr>
            <w:tcW w:w="2709" w:type="dxa"/>
            <w:shd w:val="clear" w:color="auto" w:fill="auto"/>
            <w:vAlign w:val="bottom"/>
          </w:tcPr>
          <w:p w14:paraId="55EB50D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Santé</w:t>
            </w:r>
          </w:p>
        </w:tc>
        <w:tc>
          <w:tcPr>
            <w:tcW w:w="1481" w:type="dxa"/>
            <w:shd w:val="clear" w:color="auto" w:fill="auto"/>
            <w:vAlign w:val="bottom"/>
          </w:tcPr>
          <w:p w14:paraId="3F885F9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lang w:val="fr-FR"/>
              </w:rPr>
            </w:pPr>
            <w:r w:rsidRPr="00A66C9F">
              <w:rPr>
                <w:sz w:val="17"/>
                <w:lang w:val="fr-FR"/>
              </w:rPr>
              <w:t>11,85</w:t>
            </w:r>
          </w:p>
        </w:tc>
        <w:tc>
          <w:tcPr>
            <w:tcW w:w="1390" w:type="dxa"/>
            <w:shd w:val="clear" w:color="auto" w:fill="auto"/>
            <w:vAlign w:val="bottom"/>
          </w:tcPr>
          <w:p w14:paraId="6DC7A20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lang w:val="fr-FR"/>
              </w:rPr>
            </w:pPr>
            <w:r w:rsidRPr="00A66C9F">
              <w:rPr>
                <w:sz w:val="17"/>
                <w:lang w:val="fr-FR"/>
              </w:rPr>
              <w:t>12,15</w:t>
            </w:r>
          </w:p>
        </w:tc>
        <w:tc>
          <w:tcPr>
            <w:tcW w:w="1574" w:type="dxa"/>
            <w:gridSpan w:val="2"/>
            <w:shd w:val="clear" w:color="auto" w:fill="auto"/>
            <w:vAlign w:val="bottom"/>
          </w:tcPr>
          <w:p w14:paraId="1EA0E58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lang w:val="fr-FR"/>
              </w:rPr>
            </w:pPr>
            <w:r w:rsidRPr="00A66C9F">
              <w:rPr>
                <w:sz w:val="17"/>
                <w:lang w:val="fr-FR"/>
              </w:rPr>
              <w:t>12,86</w:t>
            </w:r>
          </w:p>
        </w:tc>
        <w:tc>
          <w:tcPr>
            <w:tcW w:w="1396" w:type="dxa"/>
            <w:shd w:val="clear" w:color="auto" w:fill="auto"/>
            <w:vAlign w:val="bottom"/>
          </w:tcPr>
          <w:p w14:paraId="1D91476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lang w:val="fr-FR"/>
              </w:rPr>
            </w:pPr>
            <w:r w:rsidRPr="00A66C9F">
              <w:rPr>
                <w:sz w:val="17"/>
                <w:lang w:val="fr-FR"/>
              </w:rPr>
              <w:t>12,49</w:t>
            </w:r>
          </w:p>
        </w:tc>
      </w:tr>
      <w:tr w:rsidR="00744544" w:rsidRPr="00A66C9F" w14:paraId="518EB816" w14:textId="77777777" w:rsidTr="00160674">
        <w:tc>
          <w:tcPr>
            <w:tcW w:w="2709" w:type="dxa"/>
            <w:shd w:val="clear" w:color="auto" w:fill="auto"/>
            <w:vAlign w:val="bottom"/>
          </w:tcPr>
          <w:p w14:paraId="3ACE90A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Industrie</w:t>
            </w:r>
          </w:p>
        </w:tc>
        <w:tc>
          <w:tcPr>
            <w:tcW w:w="1481" w:type="dxa"/>
            <w:shd w:val="clear" w:color="auto" w:fill="auto"/>
            <w:vAlign w:val="bottom"/>
          </w:tcPr>
          <w:p w14:paraId="218F386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lang w:val="fr-FR"/>
              </w:rPr>
            </w:pPr>
            <w:r w:rsidRPr="00A66C9F">
              <w:rPr>
                <w:sz w:val="17"/>
                <w:lang w:val="fr-FR"/>
              </w:rPr>
              <w:t>8,33</w:t>
            </w:r>
          </w:p>
        </w:tc>
        <w:tc>
          <w:tcPr>
            <w:tcW w:w="1390" w:type="dxa"/>
            <w:shd w:val="clear" w:color="auto" w:fill="auto"/>
            <w:vAlign w:val="bottom"/>
          </w:tcPr>
          <w:p w14:paraId="0E74491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lang w:val="fr-FR"/>
              </w:rPr>
            </w:pPr>
            <w:r w:rsidRPr="00A66C9F">
              <w:rPr>
                <w:sz w:val="17"/>
                <w:lang w:val="fr-FR"/>
              </w:rPr>
              <w:t>8,30</w:t>
            </w:r>
          </w:p>
        </w:tc>
        <w:tc>
          <w:tcPr>
            <w:tcW w:w="1574" w:type="dxa"/>
            <w:gridSpan w:val="2"/>
            <w:shd w:val="clear" w:color="auto" w:fill="auto"/>
            <w:vAlign w:val="bottom"/>
          </w:tcPr>
          <w:p w14:paraId="1E2510F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lang w:val="fr-FR"/>
              </w:rPr>
            </w:pPr>
            <w:r w:rsidRPr="00A66C9F">
              <w:rPr>
                <w:sz w:val="17"/>
                <w:lang w:val="fr-FR"/>
              </w:rPr>
              <w:t>8,16</w:t>
            </w:r>
          </w:p>
        </w:tc>
        <w:tc>
          <w:tcPr>
            <w:tcW w:w="1396" w:type="dxa"/>
            <w:shd w:val="clear" w:color="auto" w:fill="auto"/>
            <w:vAlign w:val="bottom"/>
          </w:tcPr>
          <w:p w14:paraId="0F086EC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lang w:val="fr-FR"/>
              </w:rPr>
            </w:pPr>
            <w:r w:rsidRPr="00A66C9F">
              <w:rPr>
                <w:sz w:val="17"/>
                <w:lang w:val="fr-FR"/>
              </w:rPr>
              <w:t>8,51</w:t>
            </w:r>
          </w:p>
        </w:tc>
      </w:tr>
      <w:tr w:rsidR="00744544" w:rsidRPr="00A66C9F" w14:paraId="3F7F0B3A" w14:textId="77777777" w:rsidTr="00160674">
        <w:tc>
          <w:tcPr>
            <w:tcW w:w="2709" w:type="dxa"/>
            <w:shd w:val="clear" w:color="auto" w:fill="auto"/>
            <w:vAlign w:val="bottom"/>
          </w:tcPr>
          <w:p w14:paraId="6B38FE2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Matières premières</w:t>
            </w:r>
          </w:p>
        </w:tc>
        <w:tc>
          <w:tcPr>
            <w:tcW w:w="1481" w:type="dxa"/>
            <w:shd w:val="clear" w:color="auto" w:fill="auto"/>
            <w:vAlign w:val="bottom"/>
          </w:tcPr>
          <w:p w14:paraId="047A258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lang w:val="fr-FR"/>
              </w:rPr>
            </w:pPr>
            <w:r w:rsidRPr="00A66C9F">
              <w:rPr>
                <w:sz w:val="17"/>
                <w:lang w:val="fr-FR"/>
              </w:rPr>
              <w:t>4,49</w:t>
            </w:r>
          </w:p>
        </w:tc>
        <w:tc>
          <w:tcPr>
            <w:tcW w:w="1390" w:type="dxa"/>
            <w:shd w:val="clear" w:color="auto" w:fill="auto"/>
            <w:vAlign w:val="bottom"/>
          </w:tcPr>
          <w:p w14:paraId="5CFEC1D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lang w:val="fr-FR"/>
              </w:rPr>
            </w:pPr>
            <w:r w:rsidRPr="00A66C9F">
              <w:rPr>
                <w:sz w:val="17"/>
                <w:lang w:val="fr-FR"/>
              </w:rPr>
              <w:t>4,90</w:t>
            </w:r>
          </w:p>
        </w:tc>
        <w:tc>
          <w:tcPr>
            <w:tcW w:w="1574" w:type="dxa"/>
            <w:gridSpan w:val="2"/>
            <w:shd w:val="clear" w:color="auto" w:fill="auto"/>
            <w:vAlign w:val="bottom"/>
          </w:tcPr>
          <w:p w14:paraId="345E995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lang w:val="fr-FR"/>
              </w:rPr>
            </w:pPr>
            <w:r w:rsidRPr="00A66C9F">
              <w:rPr>
                <w:sz w:val="17"/>
                <w:lang w:val="fr-FR"/>
              </w:rPr>
              <w:t>4,58</w:t>
            </w:r>
          </w:p>
        </w:tc>
        <w:tc>
          <w:tcPr>
            <w:tcW w:w="1396" w:type="dxa"/>
            <w:shd w:val="clear" w:color="auto" w:fill="auto"/>
            <w:vAlign w:val="bottom"/>
          </w:tcPr>
          <w:p w14:paraId="2C2C6DD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lang w:val="fr-FR"/>
              </w:rPr>
            </w:pPr>
            <w:r w:rsidRPr="00A66C9F">
              <w:rPr>
                <w:sz w:val="17"/>
                <w:lang w:val="fr-FR"/>
              </w:rPr>
              <w:t>5,12</w:t>
            </w:r>
          </w:p>
        </w:tc>
      </w:tr>
      <w:tr w:rsidR="00744544" w:rsidRPr="00A66C9F" w14:paraId="42B0AC92" w14:textId="77777777" w:rsidTr="00160674">
        <w:tc>
          <w:tcPr>
            <w:tcW w:w="2709" w:type="dxa"/>
            <w:shd w:val="clear" w:color="auto" w:fill="auto"/>
            <w:vAlign w:val="bottom"/>
          </w:tcPr>
          <w:p w14:paraId="07DE916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Services collectifs de distribution</w:t>
            </w:r>
          </w:p>
        </w:tc>
        <w:tc>
          <w:tcPr>
            <w:tcW w:w="1481" w:type="dxa"/>
            <w:shd w:val="clear" w:color="auto" w:fill="auto"/>
            <w:vAlign w:val="bottom"/>
          </w:tcPr>
          <w:p w14:paraId="007CF46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lang w:val="fr-FR"/>
              </w:rPr>
            </w:pPr>
            <w:r w:rsidRPr="00A66C9F">
              <w:rPr>
                <w:sz w:val="17"/>
                <w:lang w:val="fr-FR"/>
              </w:rPr>
              <w:t>2,78</w:t>
            </w:r>
          </w:p>
        </w:tc>
        <w:tc>
          <w:tcPr>
            <w:tcW w:w="1390" w:type="dxa"/>
            <w:shd w:val="clear" w:color="auto" w:fill="auto"/>
            <w:vAlign w:val="bottom"/>
          </w:tcPr>
          <w:p w14:paraId="54B836E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lang w:val="fr-FR"/>
              </w:rPr>
            </w:pPr>
            <w:r w:rsidRPr="00A66C9F">
              <w:rPr>
                <w:sz w:val="17"/>
                <w:lang w:val="fr-FR"/>
              </w:rPr>
              <w:t>3,43</w:t>
            </w:r>
          </w:p>
        </w:tc>
        <w:tc>
          <w:tcPr>
            <w:tcW w:w="1574" w:type="dxa"/>
            <w:gridSpan w:val="2"/>
            <w:shd w:val="clear" w:color="auto" w:fill="auto"/>
            <w:vAlign w:val="bottom"/>
          </w:tcPr>
          <w:p w14:paraId="3A1E496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lang w:val="fr-FR"/>
              </w:rPr>
            </w:pPr>
            <w:r w:rsidRPr="00A66C9F">
              <w:rPr>
                <w:sz w:val="17"/>
                <w:lang w:val="fr-FR"/>
              </w:rPr>
              <w:t>2,90</w:t>
            </w:r>
          </w:p>
        </w:tc>
        <w:tc>
          <w:tcPr>
            <w:tcW w:w="1396" w:type="dxa"/>
            <w:shd w:val="clear" w:color="auto" w:fill="auto"/>
            <w:vAlign w:val="bottom"/>
          </w:tcPr>
          <w:p w14:paraId="36F3D14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lang w:val="fr-FR"/>
              </w:rPr>
            </w:pPr>
            <w:r w:rsidRPr="00A66C9F">
              <w:rPr>
                <w:sz w:val="17"/>
                <w:lang w:val="fr-FR"/>
              </w:rPr>
              <w:t>3,46</w:t>
            </w:r>
          </w:p>
        </w:tc>
      </w:tr>
      <w:tr w:rsidR="00744544" w:rsidRPr="00A66C9F" w14:paraId="1B2F99FE" w14:textId="77777777" w:rsidTr="00160674">
        <w:tc>
          <w:tcPr>
            <w:tcW w:w="2709" w:type="dxa"/>
            <w:shd w:val="clear" w:color="auto" w:fill="auto"/>
            <w:vAlign w:val="bottom"/>
          </w:tcPr>
          <w:p w14:paraId="0ED928B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Immobilier</w:t>
            </w:r>
          </w:p>
        </w:tc>
        <w:tc>
          <w:tcPr>
            <w:tcW w:w="1481" w:type="dxa"/>
            <w:shd w:val="clear" w:color="auto" w:fill="auto"/>
            <w:vAlign w:val="bottom"/>
          </w:tcPr>
          <w:p w14:paraId="3BFBDFD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lang w:val="fr-FR"/>
              </w:rPr>
            </w:pPr>
            <w:r w:rsidRPr="00A66C9F">
              <w:rPr>
                <w:sz w:val="17"/>
                <w:lang w:val="fr-FR"/>
              </w:rPr>
              <w:t>2,89</w:t>
            </w:r>
          </w:p>
        </w:tc>
        <w:tc>
          <w:tcPr>
            <w:tcW w:w="1390" w:type="dxa"/>
            <w:shd w:val="clear" w:color="auto" w:fill="auto"/>
            <w:vAlign w:val="bottom"/>
          </w:tcPr>
          <w:p w14:paraId="48C7933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lang w:val="fr-FR"/>
              </w:rPr>
            </w:pPr>
            <w:r w:rsidRPr="00A66C9F">
              <w:rPr>
                <w:sz w:val="17"/>
                <w:lang w:val="fr-FR"/>
              </w:rPr>
              <w:t>3,32</w:t>
            </w:r>
          </w:p>
        </w:tc>
        <w:tc>
          <w:tcPr>
            <w:tcW w:w="1574" w:type="dxa"/>
            <w:gridSpan w:val="2"/>
            <w:shd w:val="clear" w:color="auto" w:fill="auto"/>
            <w:vAlign w:val="bottom"/>
          </w:tcPr>
          <w:p w14:paraId="2B66DFA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lang w:val="fr-FR"/>
              </w:rPr>
            </w:pPr>
            <w:r w:rsidRPr="00A66C9F">
              <w:rPr>
                <w:sz w:val="17"/>
                <w:lang w:val="fr-FR"/>
              </w:rPr>
              <w:t>3,02</w:t>
            </w:r>
          </w:p>
        </w:tc>
        <w:tc>
          <w:tcPr>
            <w:tcW w:w="1396" w:type="dxa"/>
            <w:shd w:val="clear" w:color="auto" w:fill="auto"/>
            <w:vAlign w:val="bottom"/>
          </w:tcPr>
          <w:p w14:paraId="249FA2A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jc w:val="right"/>
              <w:rPr>
                <w:sz w:val="17"/>
                <w:lang w:val="fr-FR"/>
              </w:rPr>
            </w:pPr>
            <w:r w:rsidRPr="00A66C9F">
              <w:rPr>
                <w:sz w:val="17"/>
                <w:lang w:val="fr-FR"/>
              </w:rPr>
              <w:t>3,28</w:t>
            </w:r>
          </w:p>
        </w:tc>
      </w:tr>
      <w:tr w:rsidR="00744544" w:rsidRPr="00A66C9F" w14:paraId="6F621BE7" w14:textId="77777777" w:rsidTr="00160674">
        <w:tc>
          <w:tcPr>
            <w:tcW w:w="2709" w:type="dxa"/>
            <w:tcBorders>
              <w:bottom w:val="single" w:sz="4" w:space="0" w:color="auto"/>
            </w:tcBorders>
            <w:shd w:val="clear" w:color="auto" w:fill="auto"/>
            <w:vAlign w:val="bottom"/>
          </w:tcPr>
          <w:p w14:paraId="0C335708" w14:textId="77777777" w:rsidR="00744544" w:rsidRPr="00A66C9F" w:rsidRDefault="00744544" w:rsidP="00107D5D">
            <w:pPr>
              <w:tabs>
                <w:tab w:val="left" w:pos="288"/>
                <w:tab w:val="left" w:pos="576"/>
                <w:tab w:val="left" w:pos="864"/>
                <w:tab w:val="left" w:pos="1152"/>
              </w:tabs>
              <w:suppressAutoHyphens/>
              <w:spacing w:before="40" w:after="81" w:line="210" w:lineRule="exact"/>
              <w:ind w:right="40"/>
              <w:rPr>
                <w:sz w:val="17"/>
                <w:lang w:val="fr-FR"/>
              </w:rPr>
            </w:pPr>
            <w:r w:rsidRPr="00A66C9F">
              <w:rPr>
                <w:sz w:val="17"/>
                <w:lang w:val="fr-FR"/>
              </w:rPr>
              <w:t>Divers</w:t>
            </w:r>
          </w:p>
        </w:tc>
        <w:tc>
          <w:tcPr>
            <w:tcW w:w="1481" w:type="dxa"/>
            <w:tcBorders>
              <w:bottom w:val="single" w:sz="4" w:space="0" w:color="auto"/>
            </w:tcBorders>
            <w:shd w:val="clear" w:color="auto" w:fill="auto"/>
            <w:vAlign w:val="bottom"/>
          </w:tcPr>
          <w:p w14:paraId="289E7266" w14:textId="77777777" w:rsidR="00744544" w:rsidRPr="00A66C9F" w:rsidRDefault="00744544" w:rsidP="00107D5D">
            <w:pPr>
              <w:tabs>
                <w:tab w:val="left" w:pos="288"/>
                <w:tab w:val="left" w:pos="576"/>
                <w:tab w:val="left" w:pos="864"/>
                <w:tab w:val="left" w:pos="1152"/>
              </w:tabs>
              <w:suppressAutoHyphens/>
              <w:spacing w:before="40" w:after="81" w:line="210" w:lineRule="exact"/>
              <w:ind w:right="40"/>
              <w:jc w:val="right"/>
              <w:rPr>
                <w:sz w:val="17"/>
                <w:lang w:val="fr-FR"/>
              </w:rPr>
            </w:pPr>
            <w:r w:rsidRPr="00A66C9F">
              <w:rPr>
                <w:sz w:val="17"/>
                <w:lang w:val="fr-FR"/>
              </w:rPr>
              <w:t>3,67</w:t>
            </w:r>
          </w:p>
        </w:tc>
        <w:tc>
          <w:tcPr>
            <w:tcW w:w="1390" w:type="dxa"/>
            <w:tcBorders>
              <w:bottom w:val="single" w:sz="4" w:space="0" w:color="auto"/>
            </w:tcBorders>
            <w:shd w:val="clear" w:color="auto" w:fill="auto"/>
            <w:vAlign w:val="bottom"/>
          </w:tcPr>
          <w:p w14:paraId="61977823" w14:textId="77777777" w:rsidR="00744544" w:rsidRPr="00A66C9F" w:rsidRDefault="00744544" w:rsidP="00107D5D">
            <w:pPr>
              <w:tabs>
                <w:tab w:val="left" w:pos="288"/>
                <w:tab w:val="left" w:pos="576"/>
                <w:tab w:val="left" w:pos="864"/>
                <w:tab w:val="left" w:pos="1152"/>
              </w:tabs>
              <w:suppressAutoHyphens/>
              <w:spacing w:before="40" w:after="81" w:line="210" w:lineRule="exact"/>
              <w:ind w:right="40"/>
              <w:jc w:val="right"/>
              <w:rPr>
                <w:sz w:val="17"/>
                <w:lang w:val="fr-FR"/>
              </w:rPr>
            </w:pPr>
            <w:r w:rsidRPr="00A66C9F">
              <w:rPr>
                <w:sz w:val="17"/>
                <w:lang w:val="fr-FR"/>
              </w:rPr>
              <w:t>Sans objet</w:t>
            </w:r>
          </w:p>
        </w:tc>
        <w:tc>
          <w:tcPr>
            <w:tcW w:w="1574" w:type="dxa"/>
            <w:gridSpan w:val="2"/>
            <w:tcBorders>
              <w:bottom w:val="single" w:sz="4" w:space="0" w:color="auto"/>
            </w:tcBorders>
            <w:shd w:val="clear" w:color="auto" w:fill="auto"/>
            <w:vAlign w:val="bottom"/>
          </w:tcPr>
          <w:p w14:paraId="0AE8C2B1" w14:textId="77777777" w:rsidR="00744544" w:rsidRPr="00A66C9F" w:rsidRDefault="00744544" w:rsidP="00107D5D">
            <w:pPr>
              <w:tabs>
                <w:tab w:val="left" w:pos="288"/>
                <w:tab w:val="left" w:pos="576"/>
                <w:tab w:val="left" w:pos="864"/>
                <w:tab w:val="left" w:pos="1152"/>
              </w:tabs>
              <w:suppressAutoHyphens/>
              <w:spacing w:before="40" w:after="81" w:line="210" w:lineRule="exact"/>
              <w:ind w:right="40"/>
              <w:jc w:val="right"/>
              <w:rPr>
                <w:sz w:val="17"/>
                <w:lang w:val="fr-FR"/>
              </w:rPr>
            </w:pPr>
            <w:r w:rsidRPr="00A66C9F">
              <w:rPr>
                <w:sz w:val="17"/>
                <w:lang w:val="fr-FR"/>
              </w:rPr>
              <w:t>5,59</w:t>
            </w:r>
          </w:p>
        </w:tc>
        <w:tc>
          <w:tcPr>
            <w:tcW w:w="1396" w:type="dxa"/>
            <w:tcBorders>
              <w:bottom w:val="single" w:sz="4" w:space="0" w:color="auto"/>
            </w:tcBorders>
            <w:shd w:val="clear" w:color="auto" w:fill="auto"/>
            <w:vAlign w:val="bottom"/>
          </w:tcPr>
          <w:p w14:paraId="1E81A9F7" w14:textId="77777777" w:rsidR="00744544" w:rsidRPr="00A66C9F" w:rsidRDefault="00744544" w:rsidP="00107D5D">
            <w:pPr>
              <w:tabs>
                <w:tab w:val="left" w:pos="288"/>
                <w:tab w:val="left" w:pos="576"/>
                <w:tab w:val="left" w:pos="864"/>
                <w:tab w:val="left" w:pos="1152"/>
              </w:tabs>
              <w:suppressAutoHyphens/>
              <w:spacing w:before="40" w:after="81" w:line="210" w:lineRule="exact"/>
              <w:ind w:right="40"/>
              <w:jc w:val="right"/>
              <w:rPr>
                <w:sz w:val="17"/>
                <w:lang w:val="fr-FR"/>
              </w:rPr>
            </w:pPr>
            <w:r w:rsidRPr="00A66C9F">
              <w:rPr>
                <w:sz w:val="17"/>
                <w:lang w:val="fr-FR"/>
              </w:rPr>
              <w:t>Sans objet</w:t>
            </w:r>
          </w:p>
        </w:tc>
      </w:tr>
      <w:tr w:rsidR="00744544" w:rsidRPr="00A66C9F" w14:paraId="47CA878B" w14:textId="77777777" w:rsidTr="00160674">
        <w:tc>
          <w:tcPr>
            <w:tcW w:w="2709" w:type="dxa"/>
            <w:tcBorders>
              <w:top w:val="single" w:sz="4" w:space="0" w:color="auto"/>
              <w:bottom w:val="single" w:sz="12" w:space="0" w:color="auto"/>
            </w:tcBorders>
            <w:shd w:val="clear" w:color="auto" w:fill="auto"/>
            <w:vAlign w:val="bottom"/>
          </w:tcPr>
          <w:p w14:paraId="21D56F72" w14:textId="77777777" w:rsidR="00744544" w:rsidRPr="00A66C9F" w:rsidRDefault="00744544" w:rsidP="00107D5D">
            <w:pPr>
              <w:tabs>
                <w:tab w:val="left" w:pos="288"/>
                <w:tab w:val="left" w:pos="576"/>
                <w:tab w:val="left" w:pos="864"/>
                <w:tab w:val="left" w:pos="1152"/>
              </w:tabs>
              <w:suppressAutoHyphens/>
              <w:spacing w:before="81" w:after="81" w:line="210" w:lineRule="exact"/>
              <w:ind w:right="40"/>
              <w:rPr>
                <w:b/>
                <w:sz w:val="17"/>
                <w:lang w:val="fr-FR"/>
              </w:rPr>
            </w:pPr>
            <w:r w:rsidRPr="00A66C9F">
              <w:rPr>
                <w:b/>
                <w:sz w:val="17"/>
                <w:lang w:val="fr-FR"/>
              </w:rPr>
              <w:tab/>
              <w:t>Total</w:t>
            </w:r>
          </w:p>
        </w:tc>
        <w:tc>
          <w:tcPr>
            <w:tcW w:w="1481" w:type="dxa"/>
            <w:tcBorders>
              <w:top w:val="single" w:sz="4" w:space="0" w:color="auto"/>
              <w:bottom w:val="single" w:sz="12" w:space="0" w:color="auto"/>
            </w:tcBorders>
            <w:shd w:val="clear" w:color="auto" w:fill="auto"/>
            <w:vAlign w:val="bottom"/>
          </w:tcPr>
          <w:p w14:paraId="14212C14" w14:textId="77777777" w:rsidR="00744544" w:rsidRPr="00A66C9F" w:rsidRDefault="00744544" w:rsidP="00107D5D">
            <w:pPr>
              <w:tabs>
                <w:tab w:val="left" w:pos="288"/>
                <w:tab w:val="left" w:pos="576"/>
                <w:tab w:val="left" w:pos="864"/>
                <w:tab w:val="left" w:pos="1152"/>
              </w:tabs>
              <w:suppressAutoHyphens/>
              <w:spacing w:before="81" w:after="81" w:line="210" w:lineRule="exact"/>
              <w:ind w:right="40"/>
              <w:jc w:val="right"/>
              <w:rPr>
                <w:b/>
                <w:sz w:val="17"/>
                <w:lang w:val="fr-FR"/>
              </w:rPr>
            </w:pPr>
            <w:r w:rsidRPr="00A66C9F">
              <w:rPr>
                <w:b/>
                <w:sz w:val="17"/>
                <w:lang w:val="fr-FR"/>
              </w:rPr>
              <w:t>100,00</w:t>
            </w:r>
          </w:p>
        </w:tc>
        <w:tc>
          <w:tcPr>
            <w:tcW w:w="1390" w:type="dxa"/>
            <w:tcBorders>
              <w:top w:val="single" w:sz="4" w:space="0" w:color="auto"/>
              <w:bottom w:val="single" w:sz="12" w:space="0" w:color="auto"/>
            </w:tcBorders>
            <w:shd w:val="clear" w:color="auto" w:fill="auto"/>
            <w:vAlign w:val="bottom"/>
          </w:tcPr>
          <w:p w14:paraId="57A4AF91" w14:textId="77777777" w:rsidR="00744544" w:rsidRPr="00A66C9F" w:rsidRDefault="00744544" w:rsidP="00107D5D">
            <w:pPr>
              <w:tabs>
                <w:tab w:val="left" w:pos="288"/>
                <w:tab w:val="left" w:pos="576"/>
                <w:tab w:val="left" w:pos="864"/>
                <w:tab w:val="left" w:pos="1152"/>
              </w:tabs>
              <w:suppressAutoHyphens/>
              <w:spacing w:before="81" w:after="81" w:line="210" w:lineRule="exact"/>
              <w:ind w:right="40"/>
              <w:jc w:val="right"/>
              <w:rPr>
                <w:b/>
                <w:sz w:val="17"/>
                <w:lang w:val="fr-FR"/>
              </w:rPr>
            </w:pPr>
            <w:r w:rsidRPr="00A66C9F">
              <w:rPr>
                <w:b/>
                <w:sz w:val="17"/>
                <w:lang w:val="fr-FR"/>
              </w:rPr>
              <w:t>100,00</w:t>
            </w:r>
          </w:p>
        </w:tc>
        <w:tc>
          <w:tcPr>
            <w:tcW w:w="1574" w:type="dxa"/>
            <w:gridSpan w:val="2"/>
            <w:tcBorders>
              <w:top w:val="single" w:sz="4" w:space="0" w:color="auto"/>
              <w:bottom w:val="single" w:sz="12" w:space="0" w:color="auto"/>
            </w:tcBorders>
            <w:shd w:val="clear" w:color="auto" w:fill="auto"/>
            <w:vAlign w:val="bottom"/>
          </w:tcPr>
          <w:p w14:paraId="63F01F45" w14:textId="77777777" w:rsidR="00744544" w:rsidRPr="00A66C9F" w:rsidRDefault="00744544" w:rsidP="00107D5D">
            <w:pPr>
              <w:tabs>
                <w:tab w:val="left" w:pos="288"/>
                <w:tab w:val="left" w:pos="576"/>
                <w:tab w:val="left" w:pos="864"/>
                <w:tab w:val="left" w:pos="1152"/>
              </w:tabs>
              <w:suppressAutoHyphens/>
              <w:spacing w:before="81" w:after="81" w:line="210" w:lineRule="exact"/>
              <w:ind w:right="40"/>
              <w:jc w:val="right"/>
              <w:rPr>
                <w:b/>
                <w:sz w:val="17"/>
                <w:lang w:val="fr-FR"/>
              </w:rPr>
            </w:pPr>
            <w:r w:rsidRPr="00A66C9F">
              <w:rPr>
                <w:b/>
                <w:sz w:val="17"/>
                <w:lang w:val="fr-FR"/>
              </w:rPr>
              <w:t>100,00</w:t>
            </w:r>
          </w:p>
        </w:tc>
        <w:tc>
          <w:tcPr>
            <w:tcW w:w="1396" w:type="dxa"/>
            <w:tcBorders>
              <w:top w:val="single" w:sz="4" w:space="0" w:color="auto"/>
              <w:bottom w:val="single" w:sz="12" w:space="0" w:color="auto"/>
            </w:tcBorders>
            <w:shd w:val="clear" w:color="auto" w:fill="auto"/>
            <w:vAlign w:val="bottom"/>
          </w:tcPr>
          <w:p w14:paraId="0DEC92DB" w14:textId="77777777" w:rsidR="00744544" w:rsidRPr="00A66C9F" w:rsidRDefault="00744544" w:rsidP="00107D5D">
            <w:pPr>
              <w:tabs>
                <w:tab w:val="left" w:pos="288"/>
                <w:tab w:val="left" w:pos="576"/>
                <w:tab w:val="left" w:pos="864"/>
                <w:tab w:val="left" w:pos="1152"/>
              </w:tabs>
              <w:suppressAutoHyphens/>
              <w:spacing w:before="81" w:after="81" w:line="210" w:lineRule="exact"/>
              <w:ind w:right="40"/>
              <w:jc w:val="right"/>
              <w:rPr>
                <w:b/>
                <w:sz w:val="17"/>
                <w:lang w:val="fr-FR"/>
              </w:rPr>
            </w:pPr>
            <w:r w:rsidRPr="00A66C9F">
              <w:rPr>
                <w:b/>
                <w:sz w:val="17"/>
                <w:lang w:val="fr-FR"/>
              </w:rPr>
              <w:t>100,00</w:t>
            </w:r>
          </w:p>
        </w:tc>
      </w:tr>
    </w:tbl>
    <w:p w14:paraId="3FBEAAE0" w14:textId="77777777" w:rsidR="00744544" w:rsidRPr="00A66C9F" w:rsidRDefault="00744544" w:rsidP="00744544">
      <w:pPr>
        <w:pStyle w:val="SingleTxt"/>
        <w:spacing w:after="0" w:line="120" w:lineRule="exact"/>
        <w:rPr>
          <w:sz w:val="10"/>
          <w:lang w:val="fr-FR"/>
        </w:rPr>
      </w:pPr>
    </w:p>
    <w:p w14:paraId="10AE22E1" w14:textId="77777777" w:rsidR="00744544" w:rsidRPr="00A66C9F" w:rsidRDefault="00744544" w:rsidP="00744544">
      <w:pPr>
        <w:pStyle w:val="FootnoteText"/>
        <w:tabs>
          <w:tab w:val="right" w:pos="1476"/>
          <w:tab w:val="left" w:pos="1548"/>
          <w:tab w:val="right" w:pos="1836"/>
          <w:tab w:val="left" w:pos="1908"/>
        </w:tabs>
        <w:suppressAutoHyphens/>
        <w:ind w:left="1548" w:right="1267" w:hanging="288"/>
        <w:rPr>
          <w:lang w:val="fr-FR"/>
        </w:rPr>
      </w:pPr>
      <w:r w:rsidRPr="00A66C9F">
        <w:rPr>
          <w:lang w:val="fr-FR"/>
        </w:rPr>
        <w:tab/>
      </w:r>
      <w:r w:rsidRPr="00A66C9F">
        <w:rPr>
          <w:i/>
          <w:iCs/>
          <w:vertAlign w:val="superscript"/>
          <w:lang w:val="fr-FR"/>
        </w:rPr>
        <w:t>a</w:t>
      </w:r>
      <w:r w:rsidRPr="00A66C9F">
        <w:rPr>
          <w:lang w:val="fr-FR"/>
        </w:rPr>
        <w:tab/>
        <w:t>Morgan Stanley Capital International – All Country World Index (MSCI-ACWI), personnalisé en vue d’exclure le tabac et les armes controversées.</w:t>
      </w:r>
    </w:p>
    <w:p w14:paraId="037CBA81" w14:textId="77777777" w:rsidR="00744544" w:rsidRPr="00A66C9F" w:rsidRDefault="00744544" w:rsidP="00744544">
      <w:pPr>
        <w:pStyle w:val="FootnoteText"/>
        <w:tabs>
          <w:tab w:val="right" w:pos="1476"/>
          <w:tab w:val="left" w:pos="1548"/>
          <w:tab w:val="right" w:pos="1836"/>
          <w:tab w:val="left" w:pos="1908"/>
        </w:tabs>
        <w:suppressAutoHyphens/>
        <w:ind w:left="1548" w:right="1267" w:hanging="288"/>
        <w:rPr>
          <w:lang w:val="fr-FR"/>
        </w:rPr>
      </w:pPr>
      <w:r w:rsidRPr="00A66C9F">
        <w:rPr>
          <w:i/>
          <w:iCs/>
          <w:vertAlign w:val="superscript"/>
          <w:lang w:val="fr-FR"/>
        </w:rPr>
        <w:tab/>
        <w:t>b</w:t>
      </w:r>
      <w:r w:rsidRPr="00A66C9F">
        <w:rPr>
          <w:lang w:val="fr-FR"/>
        </w:rPr>
        <w:tab/>
        <w:t>MSCI-ACWI.</w:t>
      </w:r>
    </w:p>
    <w:p w14:paraId="630B9325" w14:textId="77777777" w:rsidR="00744544" w:rsidRPr="00A66C9F" w:rsidRDefault="00744544" w:rsidP="00744544">
      <w:pPr>
        <w:pStyle w:val="SingleTxt"/>
        <w:spacing w:after="0" w:line="120" w:lineRule="exact"/>
        <w:rPr>
          <w:sz w:val="10"/>
          <w:lang w:val="fr-FR"/>
        </w:rPr>
      </w:pPr>
    </w:p>
    <w:p w14:paraId="4E18D9B1" w14:textId="77777777" w:rsidR="00744544" w:rsidRPr="00A66C9F" w:rsidRDefault="00744544" w:rsidP="00744544">
      <w:pPr>
        <w:pStyle w:val="SingleTxt"/>
        <w:spacing w:after="0" w:line="120" w:lineRule="exact"/>
        <w:rPr>
          <w:sz w:val="10"/>
          <w:lang w:val="fr-FR"/>
        </w:rPr>
      </w:pPr>
    </w:p>
    <w:p w14:paraId="2A6440AE" w14:textId="77777777" w:rsidR="00744544" w:rsidRPr="00A66C9F" w:rsidRDefault="00744544" w:rsidP="00753AB8">
      <w:pPr>
        <w:pStyle w:val="SingleTxt"/>
        <w:numPr>
          <w:ilvl w:val="0"/>
          <w:numId w:val="19"/>
        </w:numPr>
        <w:spacing w:line="240" w:lineRule="exact"/>
        <w:rPr>
          <w:lang w:val="fr-FR"/>
        </w:rPr>
      </w:pPr>
      <w:r w:rsidRPr="00A66C9F">
        <w:rPr>
          <w:lang w:val="fr-FR"/>
        </w:rPr>
        <w:t>À compter du 28 septembre 2018, plusieurs modifications ont été apportées à la Classification générale type par secteur d’activité. Parmi les principales, on peut citer l’extension du secteur des services de télécommunications, rebaptisé secteur des services de communication. Ce nouveau secteur combine les entreprises de télécommunications et celles qui se consacrent aux médias et au divertissement (qui relevaient auparavant du secteur des biens de consommation cyclique), ainsi que des entreprises spécialisées dans Internet (qui relevaient auparavant du secteur de l’informatique).</w:t>
      </w:r>
    </w:p>
    <w:p w14:paraId="631223D5" w14:textId="77777777" w:rsidR="00744544" w:rsidRPr="00A66C9F" w:rsidRDefault="00744544" w:rsidP="00753AB8">
      <w:pPr>
        <w:pStyle w:val="SingleTxt"/>
        <w:numPr>
          <w:ilvl w:val="0"/>
          <w:numId w:val="19"/>
        </w:numPr>
        <w:spacing w:line="240" w:lineRule="exact"/>
        <w:rPr>
          <w:lang w:val="fr-FR"/>
        </w:rPr>
      </w:pPr>
      <w:r w:rsidRPr="00A66C9F">
        <w:rPr>
          <w:lang w:val="fr-FR"/>
        </w:rPr>
        <w:t>Le tableau ci-dessous présente une analyse de la concentration du risque de prix du portefeuille d’actions de la Caisse par région (en fonction du lieu de cotation primaire de la société ou, si la société n’est pas cotée, du siège social).</w:t>
      </w:r>
    </w:p>
    <w:p w14:paraId="49F58D4D" w14:textId="77777777" w:rsidR="00744544" w:rsidRPr="00A66C9F" w:rsidRDefault="00744544" w:rsidP="00744544">
      <w:pPr>
        <w:pStyle w:val="SingleTxt"/>
        <w:spacing w:after="0" w:line="120" w:lineRule="exact"/>
        <w:rPr>
          <w:sz w:val="10"/>
          <w:lang w:val="fr-FR"/>
        </w:rPr>
      </w:pPr>
    </w:p>
    <w:p w14:paraId="6C3AA487" w14:textId="77777777" w:rsidR="00744544" w:rsidRPr="00A66C9F" w:rsidRDefault="00744544" w:rsidP="0074454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lang w:val="fr-FR"/>
        </w:rPr>
        <w:tab/>
      </w:r>
      <w:r w:rsidRPr="00A66C9F">
        <w:rPr>
          <w:lang w:val="fr-FR"/>
        </w:rPr>
        <w:tab/>
      </w:r>
      <w:r w:rsidRPr="00A66C9F">
        <w:rPr>
          <w:sz w:val="14"/>
          <w:szCs w:val="14"/>
          <w:lang w:val="fr-FR"/>
        </w:rPr>
        <w:t>(En pourcentage)</w:t>
      </w:r>
    </w:p>
    <w:p w14:paraId="20C6BBEA" w14:textId="77777777" w:rsidR="00744544" w:rsidRPr="00A66C9F" w:rsidRDefault="00744544" w:rsidP="00744544">
      <w:pPr>
        <w:pStyle w:val="SingleTxt"/>
        <w:keepNext/>
        <w:spacing w:after="0" w:line="120" w:lineRule="exact"/>
        <w:rPr>
          <w:sz w:val="10"/>
          <w:lang w:val="fr-FR"/>
        </w:rPr>
      </w:pPr>
    </w:p>
    <w:p w14:paraId="0323D701" w14:textId="77777777" w:rsidR="00744544" w:rsidRPr="00A66C9F" w:rsidRDefault="00744544" w:rsidP="00744544">
      <w:pPr>
        <w:pStyle w:val="SingleTxt"/>
        <w:keepNext/>
        <w:spacing w:after="0" w:line="120" w:lineRule="exact"/>
        <w:rPr>
          <w:sz w:val="10"/>
          <w:lang w:val="fr-FR"/>
        </w:rPr>
      </w:pPr>
    </w:p>
    <w:tbl>
      <w:tblPr>
        <w:tblW w:w="7322" w:type="dxa"/>
        <w:tblInd w:w="1260" w:type="dxa"/>
        <w:tblLayout w:type="fixed"/>
        <w:tblCellMar>
          <w:left w:w="0" w:type="dxa"/>
          <w:right w:w="0" w:type="dxa"/>
        </w:tblCellMar>
        <w:tblLook w:val="04A0" w:firstRow="1" w:lastRow="0" w:firstColumn="1" w:lastColumn="0" w:noHBand="0" w:noVBand="1"/>
      </w:tblPr>
      <w:tblGrid>
        <w:gridCol w:w="3151"/>
        <w:gridCol w:w="2086"/>
        <w:gridCol w:w="2085"/>
      </w:tblGrid>
      <w:tr w:rsidR="00744544" w:rsidRPr="00A66C9F" w14:paraId="2471F823" w14:textId="77777777" w:rsidTr="00107D5D">
        <w:trPr>
          <w:tblHeader/>
        </w:trPr>
        <w:tc>
          <w:tcPr>
            <w:tcW w:w="2151" w:type="pct"/>
            <w:tcBorders>
              <w:top w:val="single" w:sz="4" w:space="0" w:color="auto"/>
              <w:bottom w:val="single" w:sz="12" w:space="0" w:color="auto"/>
            </w:tcBorders>
            <w:shd w:val="clear" w:color="auto" w:fill="auto"/>
            <w:noWrap/>
            <w:vAlign w:val="bottom"/>
            <w:hideMark/>
          </w:tcPr>
          <w:p w14:paraId="10FBF06C" w14:textId="77777777" w:rsidR="00744544" w:rsidRPr="00A66C9F" w:rsidRDefault="00744544" w:rsidP="00107D5D">
            <w:pPr>
              <w:keepNext/>
              <w:suppressAutoHyphens/>
              <w:spacing w:before="81" w:after="81" w:line="160" w:lineRule="exact"/>
              <w:ind w:right="40"/>
              <w:rPr>
                <w:i/>
                <w:sz w:val="14"/>
                <w:lang w:val="fr-FR"/>
              </w:rPr>
            </w:pPr>
          </w:p>
        </w:tc>
        <w:tc>
          <w:tcPr>
            <w:tcW w:w="1424" w:type="pct"/>
            <w:tcBorders>
              <w:top w:val="single" w:sz="4" w:space="0" w:color="auto"/>
              <w:bottom w:val="single" w:sz="12" w:space="0" w:color="auto"/>
            </w:tcBorders>
            <w:shd w:val="clear" w:color="auto" w:fill="auto"/>
            <w:vAlign w:val="bottom"/>
          </w:tcPr>
          <w:p w14:paraId="2C431569" w14:textId="77777777" w:rsidR="00744544" w:rsidRPr="00A66C9F" w:rsidRDefault="00744544" w:rsidP="00107D5D">
            <w:pPr>
              <w:keepNext/>
              <w:suppressAutoHyphens/>
              <w:spacing w:before="81" w:after="81" w:line="160" w:lineRule="exact"/>
              <w:ind w:right="43"/>
              <w:jc w:val="right"/>
              <w:rPr>
                <w:i/>
                <w:sz w:val="14"/>
                <w:lang w:val="fr-FR"/>
              </w:rPr>
            </w:pPr>
            <w:r w:rsidRPr="00A66C9F">
              <w:rPr>
                <w:i/>
                <w:sz w:val="14"/>
                <w:lang w:val="fr-FR"/>
              </w:rPr>
              <w:t>Au 31 décembre 2019</w:t>
            </w:r>
          </w:p>
        </w:tc>
        <w:tc>
          <w:tcPr>
            <w:tcW w:w="1424" w:type="pct"/>
            <w:tcBorders>
              <w:top w:val="single" w:sz="4" w:space="0" w:color="auto"/>
              <w:bottom w:val="single" w:sz="12" w:space="0" w:color="auto"/>
            </w:tcBorders>
            <w:shd w:val="clear" w:color="auto" w:fill="auto"/>
            <w:vAlign w:val="bottom"/>
          </w:tcPr>
          <w:p w14:paraId="24993423" w14:textId="77777777" w:rsidR="00744544" w:rsidRPr="00A66C9F" w:rsidRDefault="00744544" w:rsidP="00107D5D">
            <w:pPr>
              <w:keepNext/>
              <w:suppressAutoHyphens/>
              <w:spacing w:before="81" w:after="81" w:line="160" w:lineRule="exact"/>
              <w:ind w:right="43"/>
              <w:jc w:val="right"/>
              <w:rPr>
                <w:i/>
                <w:sz w:val="14"/>
                <w:lang w:val="fr-FR"/>
              </w:rPr>
            </w:pPr>
            <w:r w:rsidRPr="00A66C9F">
              <w:rPr>
                <w:i/>
                <w:sz w:val="14"/>
                <w:lang w:val="fr-FR"/>
              </w:rPr>
              <w:t>Au 31 décembre 2018</w:t>
            </w:r>
          </w:p>
        </w:tc>
      </w:tr>
      <w:tr w:rsidR="00744544" w:rsidRPr="00A66C9F" w14:paraId="5FAEFDDB" w14:textId="77777777" w:rsidTr="00107D5D">
        <w:trPr>
          <w:trHeight w:hRule="exact" w:val="115"/>
          <w:tblHeader/>
        </w:trPr>
        <w:tc>
          <w:tcPr>
            <w:tcW w:w="2151" w:type="pct"/>
            <w:tcBorders>
              <w:top w:val="single" w:sz="12" w:space="0" w:color="auto"/>
            </w:tcBorders>
            <w:shd w:val="clear" w:color="auto" w:fill="auto"/>
            <w:noWrap/>
            <w:vAlign w:val="bottom"/>
          </w:tcPr>
          <w:p w14:paraId="43490CE3" w14:textId="77777777" w:rsidR="00744544" w:rsidRPr="00A66C9F" w:rsidRDefault="00744544" w:rsidP="00107D5D">
            <w:pPr>
              <w:keepNext/>
              <w:suppressAutoHyphens/>
              <w:spacing w:before="40" w:after="40" w:line="210" w:lineRule="exact"/>
              <w:ind w:right="40"/>
              <w:rPr>
                <w:sz w:val="17"/>
                <w:lang w:val="fr-FR"/>
              </w:rPr>
            </w:pPr>
          </w:p>
        </w:tc>
        <w:tc>
          <w:tcPr>
            <w:tcW w:w="1424" w:type="pct"/>
            <w:tcBorders>
              <w:top w:val="single" w:sz="12" w:space="0" w:color="auto"/>
            </w:tcBorders>
            <w:shd w:val="clear" w:color="auto" w:fill="auto"/>
            <w:vAlign w:val="bottom"/>
          </w:tcPr>
          <w:p w14:paraId="648046D1" w14:textId="77777777" w:rsidR="00744544" w:rsidRPr="00A66C9F" w:rsidRDefault="00744544" w:rsidP="00107D5D">
            <w:pPr>
              <w:keepNext/>
              <w:suppressAutoHyphens/>
              <w:spacing w:before="40" w:after="40" w:line="210" w:lineRule="exact"/>
              <w:ind w:right="43"/>
              <w:jc w:val="right"/>
              <w:rPr>
                <w:sz w:val="17"/>
                <w:lang w:val="fr-FR"/>
              </w:rPr>
            </w:pPr>
          </w:p>
        </w:tc>
        <w:tc>
          <w:tcPr>
            <w:tcW w:w="1424" w:type="pct"/>
            <w:tcBorders>
              <w:top w:val="single" w:sz="12" w:space="0" w:color="auto"/>
            </w:tcBorders>
            <w:shd w:val="clear" w:color="auto" w:fill="auto"/>
            <w:vAlign w:val="bottom"/>
          </w:tcPr>
          <w:p w14:paraId="28299E6A" w14:textId="77777777" w:rsidR="00744544" w:rsidRPr="00A66C9F" w:rsidRDefault="00744544" w:rsidP="00107D5D">
            <w:pPr>
              <w:keepNext/>
              <w:suppressAutoHyphens/>
              <w:spacing w:before="40" w:after="40" w:line="210" w:lineRule="exact"/>
              <w:ind w:right="43"/>
              <w:jc w:val="right"/>
              <w:rPr>
                <w:sz w:val="17"/>
                <w:lang w:val="fr-FR"/>
              </w:rPr>
            </w:pPr>
          </w:p>
        </w:tc>
      </w:tr>
      <w:tr w:rsidR="00744544" w:rsidRPr="00A66C9F" w14:paraId="68C773A8" w14:textId="77777777" w:rsidTr="00107D5D">
        <w:tc>
          <w:tcPr>
            <w:tcW w:w="2151" w:type="pct"/>
            <w:shd w:val="clear" w:color="auto" w:fill="auto"/>
            <w:noWrap/>
            <w:vAlign w:val="bottom"/>
            <w:hideMark/>
          </w:tcPr>
          <w:p w14:paraId="574DA0FC" w14:textId="77777777" w:rsidR="00744544" w:rsidRPr="00A66C9F" w:rsidRDefault="00744544" w:rsidP="00107D5D">
            <w:pPr>
              <w:keepNext/>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Amérique du Nord</w:t>
            </w:r>
          </w:p>
        </w:tc>
        <w:tc>
          <w:tcPr>
            <w:tcW w:w="1424" w:type="pct"/>
            <w:shd w:val="clear" w:color="auto" w:fill="auto"/>
            <w:vAlign w:val="bottom"/>
          </w:tcPr>
          <w:p w14:paraId="5825C900" w14:textId="77777777" w:rsidR="00744544" w:rsidRPr="00A66C9F" w:rsidRDefault="00744544" w:rsidP="00107D5D">
            <w:pPr>
              <w:keepNext/>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56,0</w:t>
            </w:r>
          </w:p>
        </w:tc>
        <w:tc>
          <w:tcPr>
            <w:tcW w:w="1424" w:type="pct"/>
            <w:shd w:val="clear" w:color="auto" w:fill="auto"/>
            <w:vAlign w:val="bottom"/>
          </w:tcPr>
          <w:p w14:paraId="3C9CDC97" w14:textId="77777777" w:rsidR="00744544" w:rsidRPr="00A66C9F" w:rsidRDefault="00744544" w:rsidP="00107D5D">
            <w:pPr>
              <w:keepNext/>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58,4</w:t>
            </w:r>
          </w:p>
        </w:tc>
      </w:tr>
      <w:tr w:rsidR="00744544" w:rsidRPr="00A66C9F" w14:paraId="3F624EEE" w14:textId="77777777" w:rsidTr="00107D5D">
        <w:tc>
          <w:tcPr>
            <w:tcW w:w="2151" w:type="pct"/>
            <w:shd w:val="clear" w:color="auto" w:fill="auto"/>
            <w:noWrap/>
            <w:vAlign w:val="bottom"/>
            <w:hideMark/>
          </w:tcPr>
          <w:p w14:paraId="46ACD5F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Europe</w:t>
            </w:r>
          </w:p>
        </w:tc>
        <w:tc>
          <w:tcPr>
            <w:tcW w:w="1424" w:type="pct"/>
            <w:shd w:val="clear" w:color="auto" w:fill="auto"/>
            <w:vAlign w:val="bottom"/>
          </w:tcPr>
          <w:p w14:paraId="6F9927B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17,3</w:t>
            </w:r>
          </w:p>
        </w:tc>
        <w:tc>
          <w:tcPr>
            <w:tcW w:w="1424" w:type="pct"/>
            <w:shd w:val="clear" w:color="auto" w:fill="auto"/>
            <w:vAlign w:val="bottom"/>
          </w:tcPr>
          <w:p w14:paraId="6195802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18,4</w:t>
            </w:r>
          </w:p>
        </w:tc>
      </w:tr>
      <w:tr w:rsidR="00744544" w:rsidRPr="00A66C9F" w14:paraId="5162ACC3" w14:textId="77777777" w:rsidTr="00107D5D">
        <w:tc>
          <w:tcPr>
            <w:tcW w:w="2151" w:type="pct"/>
            <w:shd w:val="clear" w:color="auto" w:fill="auto"/>
            <w:noWrap/>
            <w:vAlign w:val="bottom"/>
            <w:hideMark/>
          </w:tcPr>
          <w:p w14:paraId="397AD67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Asie-Pacifique</w:t>
            </w:r>
          </w:p>
        </w:tc>
        <w:tc>
          <w:tcPr>
            <w:tcW w:w="1424" w:type="pct"/>
            <w:shd w:val="clear" w:color="auto" w:fill="auto"/>
            <w:vAlign w:val="bottom"/>
          </w:tcPr>
          <w:p w14:paraId="3882F43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9,7</w:t>
            </w:r>
          </w:p>
        </w:tc>
        <w:tc>
          <w:tcPr>
            <w:tcW w:w="1424" w:type="pct"/>
            <w:shd w:val="clear" w:color="auto" w:fill="auto"/>
            <w:vAlign w:val="bottom"/>
          </w:tcPr>
          <w:p w14:paraId="12E0B3E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11,7</w:t>
            </w:r>
          </w:p>
        </w:tc>
      </w:tr>
      <w:tr w:rsidR="00744544" w:rsidRPr="00A66C9F" w14:paraId="01C265A6" w14:textId="77777777" w:rsidTr="00107D5D">
        <w:tc>
          <w:tcPr>
            <w:tcW w:w="2151" w:type="pct"/>
            <w:shd w:val="clear" w:color="auto" w:fill="auto"/>
            <w:noWrap/>
            <w:vAlign w:val="bottom"/>
            <w:hideMark/>
          </w:tcPr>
          <w:p w14:paraId="518A9AB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Marchés émergents</w:t>
            </w:r>
          </w:p>
        </w:tc>
        <w:tc>
          <w:tcPr>
            <w:tcW w:w="1424" w:type="pct"/>
            <w:shd w:val="clear" w:color="auto" w:fill="auto"/>
            <w:vAlign w:val="bottom"/>
          </w:tcPr>
          <w:p w14:paraId="4D5F461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17,0</w:t>
            </w:r>
          </w:p>
        </w:tc>
        <w:tc>
          <w:tcPr>
            <w:tcW w:w="1424" w:type="pct"/>
            <w:shd w:val="clear" w:color="auto" w:fill="auto"/>
            <w:vAlign w:val="bottom"/>
          </w:tcPr>
          <w:p w14:paraId="5B0FA1E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10,9</w:t>
            </w:r>
          </w:p>
        </w:tc>
      </w:tr>
      <w:tr w:rsidR="00744544" w:rsidRPr="00A66C9F" w14:paraId="39A3CC99" w14:textId="77777777" w:rsidTr="00107D5D">
        <w:tc>
          <w:tcPr>
            <w:tcW w:w="2151" w:type="pct"/>
            <w:tcBorders>
              <w:bottom w:val="single" w:sz="4" w:space="0" w:color="auto"/>
            </w:tcBorders>
            <w:shd w:val="clear" w:color="auto" w:fill="auto"/>
            <w:noWrap/>
            <w:vAlign w:val="bottom"/>
            <w:hideMark/>
          </w:tcPr>
          <w:p w14:paraId="19C23F2A" w14:textId="77777777" w:rsidR="00744544" w:rsidRPr="00A66C9F" w:rsidRDefault="00744544" w:rsidP="00107D5D">
            <w:pPr>
              <w:tabs>
                <w:tab w:val="left" w:pos="288"/>
                <w:tab w:val="left" w:pos="576"/>
                <w:tab w:val="left" w:pos="864"/>
                <w:tab w:val="left" w:pos="1152"/>
              </w:tabs>
              <w:suppressAutoHyphens/>
              <w:spacing w:before="40" w:after="81" w:line="210" w:lineRule="exact"/>
              <w:ind w:right="40"/>
              <w:rPr>
                <w:sz w:val="17"/>
                <w:lang w:val="fr-FR"/>
              </w:rPr>
            </w:pPr>
            <w:r w:rsidRPr="00A66C9F">
              <w:rPr>
                <w:sz w:val="17"/>
                <w:lang w:val="fr-FR"/>
              </w:rPr>
              <w:t>Régions internationales</w:t>
            </w:r>
          </w:p>
        </w:tc>
        <w:tc>
          <w:tcPr>
            <w:tcW w:w="1424" w:type="pct"/>
            <w:tcBorders>
              <w:bottom w:val="single" w:sz="4" w:space="0" w:color="auto"/>
            </w:tcBorders>
            <w:shd w:val="clear" w:color="auto" w:fill="auto"/>
            <w:vAlign w:val="bottom"/>
          </w:tcPr>
          <w:p w14:paraId="4BFDE808"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w:t>
            </w:r>
          </w:p>
        </w:tc>
        <w:tc>
          <w:tcPr>
            <w:tcW w:w="1424" w:type="pct"/>
            <w:tcBorders>
              <w:bottom w:val="single" w:sz="4" w:space="0" w:color="auto"/>
            </w:tcBorders>
            <w:shd w:val="clear" w:color="auto" w:fill="auto"/>
            <w:vAlign w:val="bottom"/>
          </w:tcPr>
          <w:p w14:paraId="66BB471B"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0,6</w:t>
            </w:r>
          </w:p>
        </w:tc>
      </w:tr>
      <w:tr w:rsidR="00744544" w:rsidRPr="00A66C9F" w14:paraId="2B241CDC" w14:textId="77777777" w:rsidTr="00107D5D">
        <w:tc>
          <w:tcPr>
            <w:tcW w:w="2151" w:type="pct"/>
            <w:tcBorders>
              <w:top w:val="single" w:sz="4" w:space="0" w:color="auto"/>
              <w:bottom w:val="single" w:sz="12" w:space="0" w:color="auto"/>
            </w:tcBorders>
            <w:shd w:val="clear" w:color="auto" w:fill="auto"/>
            <w:noWrap/>
            <w:vAlign w:val="bottom"/>
            <w:hideMark/>
          </w:tcPr>
          <w:p w14:paraId="5BECD1BD" w14:textId="77777777" w:rsidR="00744544" w:rsidRPr="00A66C9F" w:rsidRDefault="00744544" w:rsidP="00107D5D">
            <w:pPr>
              <w:tabs>
                <w:tab w:val="left" w:pos="288"/>
                <w:tab w:val="left" w:pos="576"/>
                <w:tab w:val="left" w:pos="864"/>
                <w:tab w:val="left" w:pos="1152"/>
              </w:tabs>
              <w:suppressAutoHyphens/>
              <w:spacing w:before="81" w:after="81" w:line="210" w:lineRule="exact"/>
              <w:ind w:right="40"/>
              <w:rPr>
                <w:b/>
                <w:sz w:val="17"/>
                <w:lang w:val="fr-FR"/>
              </w:rPr>
            </w:pPr>
            <w:r w:rsidRPr="00A66C9F">
              <w:rPr>
                <w:b/>
                <w:sz w:val="17"/>
                <w:lang w:val="fr-FR"/>
              </w:rPr>
              <w:tab/>
              <w:t>Total</w:t>
            </w:r>
          </w:p>
        </w:tc>
        <w:tc>
          <w:tcPr>
            <w:tcW w:w="1424" w:type="pct"/>
            <w:tcBorders>
              <w:top w:val="single" w:sz="4" w:space="0" w:color="auto"/>
              <w:bottom w:val="single" w:sz="12" w:space="0" w:color="auto"/>
            </w:tcBorders>
            <w:shd w:val="clear" w:color="auto" w:fill="auto"/>
            <w:vAlign w:val="bottom"/>
          </w:tcPr>
          <w:p w14:paraId="2737166E"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100,0</w:t>
            </w:r>
          </w:p>
        </w:tc>
        <w:tc>
          <w:tcPr>
            <w:tcW w:w="1424" w:type="pct"/>
            <w:tcBorders>
              <w:top w:val="single" w:sz="4" w:space="0" w:color="auto"/>
              <w:bottom w:val="single" w:sz="12" w:space="0" w:color="auto"/>
            </w:tcBorders>
            <w:shd w:val="clear" w:color="auto" w:fill="auto"/>
            <w:vAlign w:val="bottom"/>
          </w:tcPr>
          <w:p w14:paraId="07643A7A"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100,0</w:t>
            </w:r>
          </w:p>
        </w:tc>
      </w:tr>
    </w:tbl>
    <w:p w14:paraId="2373E2CA" w14:textId="77777777" w:rsidR="00744544" w:rsidRPr="00A66C9F" w:rsidRDefault="00744544" w:rsidP="00744544">
      <w:pPr>
        <w:pStyle w:val="SingleTxt"/>
        <w:spacing w:after="0" w:line="120" w:lineRule="exact"/>
        <w:rPr>
          <w:sz w:val="10"/>
          <w:lang w:val="fr-FR"/>
        </w:rPr>
      </w:pPr>
    </w:p>
    <w:p w14:paraId="2FD02212" w14:textId="77777777" w:rsidR="00744544" w:rsidRPr="00A66C9F" w:rsidRDefault="00744544" w:rsidP="00744544">
      <w:pPr>
        <w:pStyle w:val="SingleTxt"/>
        <w:spacing w:after="0" w:line="120" w:lineRule="exact"/>
        <w:rPr>
          <w:sz w:val="10"/>
          <w:lang w:val="fr-FR"/>
        </w:rPr>
      </w:pPr>
    </w:p>
    <w:p w14:paraId="5EB7D957" w14:textId="77777777" w:rsidR="00744544" w:rsidRPr="00A66C9F" w:rsidRDefault="00744544" w:rsidP="00744544">
      <w:pPr>
        <w:pStyle w:val="SingleTxt"/>
        <w:spacing w:after="0" w:line="120" w:lineRule="exact"/>
        <w:rPr>
          <w:sz w:val="10"/>
          <w:lang w:val="fr-FR"/>
        </w:rPr>
      </w:pPr>
    </w:p>
    <w:p w14:paraId="4E19BF6A" w14:textId="77777777" w:rsidR="00744544" w:rsidRPr="00A66C9F" w:rsidRDefault="00744544" w:rsidP="0074454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Risque de change</w:t>
      </w:r>
    </w:p>
    <w:p w14:paraId="4CD1130F" w14:textId="77777777" w:rsidR="00744544" w:rsidRPr="00A66C9F" w:rsidRDefault="00744544" w:rsidP="00744544">
      <w:pPr>
        <w:pStyle w:val="SingleTxt"/>
        <w:spacing w:after="0" w:line="120" w:lineRule="exact"/>
        <w:rPr>
          <w:sz w:val="10"/>
          <w:lang w:val="fr-FR"/>
        </w:rPr>
      </w:pPr>
    </w:p>
    <w:p w14:paraId="0BD50038" w14:textId="77777777" w:rsidR="00744544" w:rsidRPr="00A66C9F" w:rsidRDefault="00744544" w:rsidP="00753AB8">
      <w:pPr>
        <w:pStyle w:val="SingleTxt"/>
        <w:numPr>
          <w:ilvl w:val="0"/>
          <w:numId w:val="19"/>
        </w:numPr>
        <w:spacing w:line="240" w:lineRule="exact"/>
        <w:rPr>
          <w:lang w:val="fr-FR"/>
        </w:rPr>
      </w:pPr>
      <w:r w:rsidRPr="00A66C9F">
        <w:rPr>
          <w:lang w:val="fr-FR"/>
        </w:rPr>
        <w:t>Dotée d’un portefeuille comptant parmi les plus diversifiés au monde, la Caisse détient des actifs monétaires et non monétaires libellés dans des monnaies autres que le dollar des États-Unis, qui est sa monnaie de base. Le risque de change est le risque que la valeur des instruments financiers libellés dans d’autres monnaies que le dollar fluctue au gré des variations des taux de change. La Caisse suit l’exposition de toutes les monnaies. Les gains et pertes de change latents sont principalement dus à la fluctuation des taux de change durant la période considérée.</w:t>
      </w:r>
    </w:p>
    <w:p w14:paraId="057608B0" w14:textId="77777777" w:rsidR="00744544" w:rsidRPr="00A66C9F" w:rsidRDefault="00744544" w:rsidP="00753AB8">
      <w:pPr>
        <w:pStyle w:val="SingleTxt"/>
        <w:numPr>
          <w:ilvl w:val="0"/>
          <w:numId w:val="19"/>
        </w:numPr>
        <w:spacing w:line="240" w:lineRule="exact"/>
        <w:rPr>
          <w:lang w:val="fr-FR"/>
        </w:rPr>
      </w:pPr>
      <w:r w:rsidRPr="00A66C9F">
        <w:rPr>
          <w:lang w:val="fr-FR"/>
        </w:rPr>
        <w:t>La Caisse n’a pas recours à des instruments de couverture pour gérer le risque de change, car elle compte que celui-ci sera égal à zéro à l’issue d’un cycle complet du marché, comme cela a toujours été le cas. Le risque de change correspond au risque lié aux fluctuations des taux de change.</w:t>
      </w:r>
    </w:p>
    <w:p w14:paraId="1C37FF16" w14:textId="77777777" w:rsidR="00744544" w:rsidRPr="00A66C9F" w:rsidRDefault="00744544" w:rsidP="00753AB8">
      <w:pPr>
        <w:pStyle w:val="SingleTxt"/>
        <w:numPr>
          <w:ilvl w:val="0"/>
          <w:numId w:val="19"/>
        </w:numPr>
        <w:spacing w:line="240" w:lineRule="exact"/>
        <w:rPr>
          <w:lang w:val="fr-FR"/>
        </w:rPr>
      </w:pPr>
      <w:r w:rsidRPr="00A66C9F">
        <w:rPr>
          <w:lang w:val="fr-FR"/>
        </w:rPr>
        <w:t>Les tableaux ci-après portent sur l’exposition de la Caisse au risque de change par catégorie d’actifs. Ils présentent la répartition des différentes catégories d’actifs libellés dans des monnaies autres que le dollar des États-Unis au 31 décembre 2019 et au 31 décembre 2018, le montant étant indiqué à la juste valeur. Il n’y est pas tenu compte d’actifs financiers d’un montant net de 44,4 millions de dollars en 2019 (2018 : passifs financiers d’un montant net de 102,6 millions de dollars) qui ne sont pas détenus à la juste valeur (voir la note 5). Les actifs détenus dans des fonds indiciels cotés ou des fonds spécialisés gérés à l’extérieur sont classés dans la catégorie des actifs détenus en dollars des États-Unis.</w:t>
      </w:r>
    </w:p>
    <w:p w14:paraId="2B41BCD8" w14:textId="77777777" w:rsidR="00744544" w:rsidRPr="00A66C9F" w:rsidRDefault="00744544" w:rsidP="00744544">
      <w:pPr>
        <w:pStyle w:val="SingleTxt"/>
        <w:spacing w:after="0" w:line="120" w:lineRule="exact"/>
        <w:rPr>
          <w:sz w:val="10"/>
          <w:lang w:val="fr-FR"/>
        </w:rPr>
      </w:pPr>
    </w:p>
    <w:p w14:paraId="13F679BF" w14:textId="77777777" w:rsidR="00744544" w:rsidRPr="00A66C9F" w:rsidRDefault="00744544" w:rsidP="0074454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sz w:val="14"/>
          <w:szCs w:val="14"/>
          <w:lang w:val="fr-FR"/>
        </w:rPr>
        <w:tab/>
      </w:r>
      <w:r w:rsidRPr="00A66C9F">
        <w:rPr>
          <w:sz w:val="14"/>
          <w:szCs w:val="14"/>
          <w:lang w:val="fr-FR"/>
        </w:rPr>
        <w:tab/>
        <w:t>(En pourcentage)</w:t>
      </w:r>
    </w:p>
    <w:p w14:paraId="71A94E9A" w14:textId="77777777" w:rsidR="00744544" w:rsidRPr="00A66C9F" w:rsidRDefault="00744544" w:rsidP="00744544">
      <w:pPr>
        <w:pStyle w:val="SingleTxt"/>
        <w:spacing w:after="0" w:line="120" w:lineRule="exact"/>
        <w:rPr>
          <w:sz w:val="10"/>
          <w:lang w:val="fr-FR"/>
        </w:rPr>
      </w:pPr>
    </w:p>
    <w:p w14:paraId="07396F52" w14:textId="77777777" w:rsidR="00744544" w:rsidRPr="00A66C9F" w:rsidRDefault="00744544" w:rsidP="00744544">
      <w:pPr>
        <w:pStyle w:val="SingleTxt"/>
        <w:spacing w:after="0" w:line="120" w:lineRule="exact"/>
        <w:rPr>
          <w:sz w:val="10"/>
          <w:lang w:val="fr-FR"/>
        </w:rPr>
      </w:pPr>
    </w:p>
    <w:tbl>
      <w:tblPr>
        <w:tblW w:w="8582" w:type="dxa"/>
        <w:tblInd w:w="1267" w:type="dxa"/>
        <w:shd w:val="clear" w:color="000000" w:fill="FFFFFF"/>
        <w:tblLayout w:type="fixed"/>
        <w:tblCellMar>
          <w:left w:w="0" w:type="dxa"/>
          <w:right w:w="0" w:type="dxa"/>
        </w:tblCellMar>
        <w:tblLook w:val="04A0" w:firstRow="1" w:lastRow="0" w:firstColumn="1" w:lastColumn="0" w:noHBand="0" w:noVBand="1"/>
      </w:tblPr>
      <w:tblGrid>
        <w:gridCol w:w="1937"/>
        <w:gridCol w:w="1107"/>
        <w:gridCol w:w="1108"/>
        <w:gridCol w:w="1107"/>
        <w:gridCol w:w="1108"/>
        <w:gridCol w:w="1107"/>
        <w:gridCol w:w="1108"/>
      </w:tblGrid>
      <w:tr w:rsidR="00744544" w:rsidRPr="00A66C9F" w14:paraId="7E1D9C54" w14:textId="77777777" w:rsidTr="00107D5D">
        <w:trPr>
          <w:tblHeader/>
        </w:trPr>
        <w:tc>
          <w:tcPr>
            <w:tcW w:w="1937" w:type="dxa"/>
            <w:tcBorders>
              <w:top w:val="single" w:sz="4" w:space="0" w:color="auto"/>
            </w:tcBorders>
            <w:shd w:val="clear" w:color="000000" w:fill="FFFFFF"/>
            <w:noWrap/>
            <w:vAlign w:val="bottom"/>
          </w:tcPr>
          <w:p w14:paraId="41705C8E" w14:textId="77777777" w:rsidR="00744544" w:rsidRPr="00A66C9F" w:rsidRDefault="00744544" w:rsidP="00107D5D">
            <w:pPr>
              <w:suppressAutoHyphens/>
              <w:spacing w:before="81" w:after="81" w:line="160" w:lineRule="exact"/>
              <w:ind w:right="40"/>
              <w:rPr>
                <w:i/>
                <w:sz w:val="14"/>
                <w:lang w:val="fr-FR"/>
              </w:rPr>
            </w:pPr>
          </w:p>
        </w:tc>
        <w:tc>
          <w:tcPr>
            <w:tcW w:w="6645" w:type="dxa"/>
            <w:gridSpan w:val="6"/>
            <w:tcBorders>
              <w:top w:val="single" w:sz="4" w:space="0" w:color="auto"/>
              <w:bottom w:val="single" w:sz="4" w:space="0" w:color="auto"/>
            </w:tcBorders>
            <w:shd w:val="clear" w:color="000000" w:fill="FFFFFF"/>
            <w:noWrap/>
            <w:vAlign w:val="bottom"/>
          </w:tcPr>
          <w:p w14:paraId="0E9B7D2B" w14:textId="77777777" w:rsidR="00744544" w:rsidRPr="00A66C9F" w:rsidRDefault="00744544" w:rsidP="00107D5D">
            <w:pPr>
              <w:suppressAutoHyphens/>
              <w:spacing w:before="81" w:after="81" w:line="160" w:lineRule="exact"/>
              <w:ind w:right="43"/>
              <w:jc w:val="center"/>
              <w:rPr>
                <w:i/>
                <w:sz w:val="14"/>
                <w:lang w:val="fr-FR"/>
              </w:rPr>
            </w:pPr>
            <w:r w:rsidRPr="00A66C9F">
              <w:rPr>
                <w:i/>
                <w:sz w:val="14"/>
                <w:lang w:val="fr-FR"/>
              </w:rPr>
              <w:t>Au 31 décembre 2019</w:t>
            </w:r>
          </w:p>
        </w:tc>
      </w:tr>
      <w:tr w:rsidR="00744544" w:rsidRPr="00A66C9F" w14:paraId="312CA79B" w14:textId="77777777" w:rsidTr="00107D5D">
        <w:trPr>
          <w:tblHeader/>
        </w:trPr>
        <w:tc>
          <w:tcPr>
            <w:tcW w:w="1937" w:type="dxa"/>
            <w:tcBorders>
              <w:bottom w:val="single" w:sz="12" w:space="0" w:color="auto"/>
            </w:tcBorders>
            <w:shd w:val="clear" w:color="000000" w:fill="FFFFFF"/>
            <w:noWrap/>
            <w:vAlign w:val="bottom"/>
            <w:hideMark/>
          </w:tcPr>
          <w:p w14:paraId="51034E2E" w14:textId="77777777" w:rsidR="00744544" w:rsidRPr="00A66C9F" w:rsidRDefault="00744544" w:rsidP="00107D5D">
            <w:pPr>
              <w:suppressAutoHyphens/>
              <w:spacing w:before="81" w:after="81" w:line="160" w:lineRule="exact"/>
              <w:ind w:right="40"/>
              <w:rPr>
                <w:i/>
                <w:sz w:val="14"/>
                <w:lang w:val="fr-FR"/>
              </w:rPr>
            </w:pPr>
            <w:r w:rsidRPr="00A66C9F">
              <w:rPr>
                <w:i/>
                <w:sz w:val="14"/>
                <w:lang w:val="fr-FR"/>
              </w:rPr>
              <w:t>Monnaie</w:t>
            </w:r>
          </w:p>
        </w:tc>
        <w:tc>
          <w:tcPr>
            <w:tcW w:w="1107" w:type="dxa"/>
            <w:tcBorders>
              <w:top w:val="single" w:sz="4" w:space="0" w:color="auto"/>
              <w:bottom w:val="single" w:sz="12" w:space="0" w:color="auto"/>
            </w:tcBorders>
            <w:shd w:val="clear" w:color="000000" w:fill="FFFFFF"/>
            <w:noWrap/>
            <w:vAlign w:val="bottom"/>
            <w:hideMark/>
          </w:tcPr>
          <w:p w14:paraId="06DB2ABC"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Actions</w:t>
            </w:r>
          </w:p>
        </w:tc>
        <w:tc>
          <w:tcPr>
            <w:tcW w:w="1108" w:type="dxa"/>
            <w:tcBorders>
              <w:top w:val="single" w:sz="4" w:space="0" w:color="auto"/>
              <w:bottom w:val="single" w:sz="12" w:space="0" w:color="auto"/>
            </w:tcBorders>
            <w:shd w:val="clear" w:color="000000" w:fill="FFFFFF"/>
            <w:noWrap/>
            <w:vAlign w:val="bottom"/>
            <w:hideMark/>
          </w:tcPr>
          <w:p w14:paraId="2103109E"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Valeurs</w:t>
            </w:r>
            <w:r w:rsidRPr="00A66C9F">
              <w:rPr>
                <w:i/>
                <w:sz w:val="14"/>
                <w:lang w:val="fr-FR"/>
              </w:rPr>
              <w:br/>
              <w:t>à revenu fixe</w:t>
            </w:r>
          </w:p>
        </w:tc>
        <w:tc>
          <w:tcPr>
            <w:tcW w:w="1107" w:type="dxa"/>
            <w:tcBorders>
              <w:top w:val="single" w:sz="4" w:space="0" w:color="auto"/>
              <w:bottom w:val="single" w:sz="12" w:space="0" w:color="auto"/>
            </w:tcBorders>
            <w:shd w:val="clear" w:color="000000" w:fill="FFFFFF"/>
            <w:noWrap/>
            <w:vAlign w:val="bottom"/>
            <w:hideMark/>
          </w:tcPr>
          <w:p w14:paraId="0DA13838"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Titres immobiliers</w:t>
            </w:r>
          </w:p>
        </w:tc>
        <w:tc>
          <w:tcPr>
            <w:tcW w:w="1108" w:type="dxa"/>
            <w:tcBorders>
              <w:top w:val="single" w:sz="4" w:space="0" w:color="auto"/>
              <w:bottom w:val="single" w:sz="12" w:space="0" w:color="auto"/>
            </w:tcBorders>
            <w:shd w:val="clear" w:color="000000" w:fill="FFFFFF"/>
            <w:vAlign w:val="bottom"/>
            <w:hideMark/>
          </w:tcPr>
          <w:p w14:paraId="7CF6865F"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Investissements alternatifs</w:t>
            </w:r>
            <w:r w:rsidRPr="00A66C9F">
              <w:rPr>
                <w:i/>
                <w:sz w:val="14"/>
                <w:lang w:val="fr-FR"/>
              </w:rPr>
              <w:br/>
              <w:t>et divers</w:t>
            </w:r>
          </w:p>
        </w:tc>
        <w:tc>
          <w:tcPr>
            <w:tcW w:w="1107" w:type="dxa"/>
            <w:tcBorders>
              <w:top w:val="single" w:sz="4" w:space="0" w:color="auto"/>
              <w:bottom w:val="single" w:sz="12" w:space="0" w:color="auto"/>
            </w:tcBorders>
            <w:shd w:val="clear" w:color="000000" w:fill="FFFFFF"/>
            <w:noWrap/>
            <w:vAlign w:val="bottom"/>
          </w:tcPr>
          <w:p w14:paraId="188DD609"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Trésorerie</w:t>
            </w:r>
          </w:p>
        </w:tc>
        <w:tc>
          <w:tcPr>
            <w:tcW w:w="1108" w:type="dxa"/>
            <w:tcBorders>
              <w:top w:val="single" w:sz="4" w:space="0" w:color="auto"/>
              <w:bottom w:val="single" w:sz="12" w:space="0" w:color="auto"/>
            </w:tcBorders>
            <w:shd w:val="clear" w:color="000000" w:fill="FFFFFF"/>
            <w:noWrap/>
            <w:vAlign w:val="bottom"/>
            <w:hideMark/>
          </w:tcPr>
          <w:p w14:paraId="1458E3ED"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Total</w:t>
            </w:r>
          </w:p>
        </w:tc>
      </w:tr>
      <w:tr w:rsidR="00744544" w:rsidRPr="00A66C9F" w14:paraId="396CF30C" w14:textId="77777777" w:rsidTr="00107D5D">
        <w:trPr>
          <w:trHeight w:hRule="exact" w:val="115"/>
          <w:tblHeader/>
        </w:trPr>
        <w:tc>
          <w:tcPr>
            <w:tcW w:w="1937" w:type="dxa"/>
            <w:tcBorders>
              <w:top w:val="single" w:sz="12" w:space="0" w:color="auto"/>
            </w:tcBorders>
            <w:shd w:val="clear" w:color="000000" w:fill="FFFFFF"/>
            <w:noWrap/>
            <w:vAlign w:val="bottom"/>
          </w:tcPr>
          <w:p w14:paraId="1926BB1B" w14:textId="77777777" w:rsidR="00744544" w:rsidRPr="00A66C9F" w:rsidRDefault="00744544" w:rsidP="00107D5D">
            <w:pPr>
              <w:suppressAutoHyphens/>
              <w:spacing w:before="40" w:after="40" w:line="210" w:lineRule="exact"/>
              <w:ind w:right="40"/>
              <w:rPr>
                <w:sz w:val="17"/>
                <w:lang w:val="fr-FR"/>
              </w:rPr>
            </w:pPr>
          </w:p>
        </w:tc>
        <w:tc>
          <w:tcPr>
            <w:tcW w:w="1107" w:type="dxa"/>
            <w:tcBorders>
              <w:top w:val="single" w:sz="12" w:space="0" w:color="auto"/>
            </w:tcBorders>
            <w:shd w:val="clear" w:color="000000" w:fill="FFFFFF"/>
            <w:noWrap/>
            <w:vAlign w:val="bottom"/>
          </w:tcPr>
          <w:p w14:paraId="7DE4AD75" w14:textId="77777777" w:rsidR="00744544" w:rsidRPr="00A66C9F" w:rsidRDefault="00744544" w:rsidP="00107D5D">
            <w:pPr>
              <w:suppressAutoHyphens/>
              <w:spacing w:before="40" w:after="40" w:line="210" w:lineRule="exact"/>
              <w:ind w:right="43"/>
              <w:jc w:val="right"/>
              <w:rPr>
                <w:sz w:val="17"/>
                <w:lang w:val="fr-FR"/>
              </w:rPr>
            </w:pPr>
          </w:p>
        </w:tc>
        <w:tc>
          <w:tcPr>
            <w:tcW w:w="1108" w:type="dxa"/>
            <w:tcBorders>
              <w:top w:val="single" w:sz="12" w:space="0" w:color="auto"/>
            </w:tcBorders>
            <w:shd w:val="clear" w:color="000000" w:fill="FFFFFF"/>
            <w:noWrap/>
            <w:vAlign w:val="bottom"/>
          </w:tcPr>
          <w:p w14:paraId="48DF599D" w14:textId="77777777" w:rsidR="00744544" w:rsidRPr="00A66C9F" w:rsidRDefault="00744544" w:rsidP="00107D5D">
            <w:pPr>
              <w:suppressAutoHyphens/>
              <w:spacing w:before="40" w:after="40" w:line="210" w:lineRule="exact"/>
              <w:ind w:right="43"/>
              <w:jc w:val="right"/>
              <w:rPr>
                <w:sz w:val="17"/>
                <w:lang w:val="fr-FR"/>
              </w:rPr>
            </w:pPr>
          </w:p>
        </w:tc>
        <w:tc>
          <w:tcPr>
            <w:tcW w:w="1107" w:type="dxa"/>
            <w:tcBorders>
              <w:top w:val="single" w:sz="12" w:space="0" w:color="auto"/>
            </w:tcBorders>
            <w:shd w:val="clear" w:color="000000" w:fill="FFFFFF"/>
            <w:noWrap/>
            <w:vAlign w:val="bottom"/>
          </w:tcPr>
          <w:p w14:paraId="3B7DBC78" w14:textId="77777777" w:rsidR="00744544" w:rsidRPr="00A66C9F" w:rsidRDefault="00744544" w:rsidP="00107D5D">
            <w:pPr>
              <w:suppressAutoHyphens/>
              <w:spacing w:before="40" w:after="40" w:line="210" w:lineRule="exact"/>
              <w:ind w:right="43"/>
              <w:jc w:val="right"/>
              <w:rPr>
                <w:sz w:val="17"/>
                <w:lang w:val="fr-FR"/>
              </w:rPr>
            </w:pPr>
          </w:p>
        </w:tc>
        <w:tc>
          <w:tcPr>
            <w:tcW w:w="1108" w:type="dxa"/>
            <w:tcBorders>
              <w:top w:val="single" w:sz="12" w:space="0" w:color="auto"/>
            </w:tcBorders>
            <w:shd w:val="clear" w:color="000000" w:fill="FFFFFF"/>
            <w:noWrap/>
            <w:vAlign w:val="bottom"/>
          </w:tcPr>
          <w:p w14:paraId="61B418AA" w14:textId="77777777" w:rsidR="00744544" w:rsidRPr="00A66C9F" w:rsidRDefault="00744544" w:rsidP="00107D5D">
            <w:pPr>
              <w:suppressAutoHyphens/>
              <w:spacing w:before="40" w:after="40" w:line="210" w:lineRule="exact"/>
              <w:ind w:right="43"/>
              <w:jc w:val="right"/>
              <w:rPr>
                <w:sz w:val="17"/>
                <w:lang w:val="fr-FR"/>
              </w:rPr>
            </w:pPr>
          </w:p>
        </w:tc>
        <w:tc>
          <w:tcPr>
            <w:tcW w:w="1107" w:type="dxa"/>
            <w:tcBorders>
              <w:top w:val="single" w:sz="12" w:space="0" w:color="auto"/>
            </w:tcBorders>
            <w:shd w:val="clear" w:color="000000" w:fill="FFFFFF"/>
            <w:noWrap/>
            <w:vAlign w:val="bottom"/>
          </w:tcPr>
          <w:p w14:paraId="55232020" w14:textId="77777777" w:rsidR="00744544" w:rsidRPr="00A66C9F" w:rsidRDefault="00744544" w:rsidP="00107D5D">
            <w:pPr>
              <w:suppressAutoHyphens/>
              <w:spacing w:before="40" w:after="40" w:line="210" w:lineRule="exact"/>
              <w:ind w:right="43"/>
              <w:jc w:val="right"/>
              <w:rPr>
                <w:sz w:val="17"/>
                <w:lang w:val="fr-FR"/>
              </w:rPr>
            </w:pPr>
          </w:p>
        </w:tc>
        <w:tc>
          <w:tcPr>
            <w:tcW w:w="1108" w:type="dxa"/>
            <w:tcBorders>
              <w:top w:val="single" w:sz="12" w:space="0" w:color="auto"/>
            </w:tcBorders>
            <w:shd w:val="clear" w:color="000000" w:fill="FFFFFF"/>
            <w:noWrap/>
            <w:vAlign w:val="bottom"/>
          </w:tcPr>
          <w:p w14:paraId="3F945AD2" w14:textId="77777777" w:rsidR="00744544" w:rsidRPr="00A66C9F" w:rsidRDefault="00744544" w:rsidP="00107D5D">
            <w:pPr>
              <w:suppressAutoHyphens/>
              <w:spacing w:before="40" w:after="40" w:line="210" w:lineRule="exact"/>
              <w:ind w:right="43"/>
              <w:jc w:val="right"/>
              <w:rPr>
                <w:sz w:val="17"/>
                <w:lang w:val="fr-FR"/>
              </w:rPr>
            </w:pPr>
          </w:p>
        </w:tc>
      </w:tr>
      <w:tr w:rsidR="00744544" w:rsidRPr="00A66C9F" w14:paraId="42D28B46" w14:textId="77777777" w:rsidTr="00107D5D">
        <w:tc>
          <w:tcPr>
            <w:tcW w:w="1937" w:type="dxa"/>
            <w:shd w:val="clear" w:color="000000" w:fill="FFFFFF"/>
            <w:noWrap/>
            <w:vAlign w:val="bottom"/>
          </w:tcPr>
          <w:p w14:paraId="23B4D52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Dollar des États-Unis</w:t>
            </w:r>
          </w:p>
        </w:tc>
        <w:tc>
          <w:tcPr>
            <w:tcW w:w="1107" w:type="dxa"/>
            <w:shd w:val="clear" w:color="000000" w:fill="FFFFFF"/>
            <w:noWrap/>
            <w:vAlign w:val="bottom"/>
          </w:tcPr>
          <w:p w14:paraId="6B61D8B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35,40</w:t>
            </w:r>
          </w:p>
        </w:tc>
        <w:tc>
          <w:tcPr>
            <w:tcW w:w="1108" w:type="dxa"/>
            <w:shd w:val="clear" w:color="000000" w:fill="FFFFFF"/>
            <w:noWrap/>
            <w:vAlign w:val="bottom"/>
          </w:tcPr>
          <w:p w14:paraId="23C3AA0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23,95</w:t>
            </w:r>
          </w:p>
        </w:tc>
        <w:tc>
          <w:tcPr>
            <w:tcW w:w="1107" w:type="dxa"/>
            <w:shd w:val="clear" w:color="000000" w:fill="FFFFFF"/>
            <w:noWrap/>
            <w:vAlign w:val="bottom"/>
          </w:tcPr>
          <w:p w14:paraId="245E248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5,57</w:t>
            </w:r>
          </w:p>
        </w:tc>
        <w:tc>
          <w:tcPr>
            <w:tcW w:w="1108" w:type="dxa"/>
            <w:shd w:val="clear" w:color="000000" w:fill="FFFFFF"/>
            <w:noWrap/>
            <w:vAlign w:val="bottom"/>
          </w:tcPr>
          <w:p w14:paraId="4AAB6CE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4,26</w:t>
            </w:r>
          </w:p>
        </w:tc>
        <w:tc>
          <w:tcPr>
            <w:tcW w:w="1107" w:type="dxa"/>
            <w:shd w:val="clear" w:color="000000" w:fill="FFFFFF"/>
            <w:noWrap/>
            <w:vAlign w:val="bottom"/>
          </w:tcPr>
          <w:p w14:paraId="2D7D1C4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0,56</w:t>
            </w:r>
          </w:p>
        </w:tc>
        <w:tc>
          <w:tcPr>
            <w:tcW w:w="1108" w:type="dxa"/>
            <w:shd w:val="clear" w:color="000000" w:fill="FFFFFF"/>
            <w:noWrap/>
            <w:vAlign w:val="bottom"/>
          </w:tcPr>
          <w:p w14:paraId="33B1B0A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69,74</w:t>
            </w:r>
          </w:p>
        </w:tc>
      </w:tr>
      <w:tr w:rsidR="00744544" w:rsidRPr="00A66C9F" w14:paraId="207508DD" w14:textId="77777777" w:rsidTr="00107D5D">
        <w:tc>
          <w:tcPr>
            <w:tcW w:w="1937" w:type="dxa"/>
            <w:shd w:val="clear" w:color="000000" w:fill="FFFFFF"/>
            <w:noWrap/>
            <w:vAlign w:val="bottom"/>
          </w:tcPr>
          <w:p w14:paraId="2235D46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Euro</w:t>
            </w:r>
          </w:p>
        </w:tc>
        <w:tc>
          <w:tcPr>
            <w:tcW w:w="1107" w:type="dxa"/>
            <w:shd w:val="clear" w:color="000000" w:fill="FFFFFF"/>
            <w:noWrap/>
            <w:vAlign w:val="bottom"/>
          </w:tcPr>
          <w:p w14:paraId="062209F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4,88</w:t>
            </w:r>
          </w:p>
        </w:tc>
        <w:tc>
          <w:tcPr>
            <w:tcW w:w="1108" w:type="dxa"/>
            <w:shd w:val="clear" w:color="000000" w:fill="FFFFFF"/>
            <w:noWrap/>
            <w:vAlign w:val="bottom"/>
          </w:tcPr>
          <w:p w14:paraId="62E562C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0,05</w:t>
            </w:r>
          </w:p>
        </w:tc>
        <w:tc>
          <w:tcPr>
            <w:tcW w:w="1107" w:type="dxa"/>
            <w:shd w:val="clear" w:color="000000" w:fill="FFFFFF"/>
            <w:noWrap/>
            <w:vAlign w:val="bottom"/>
          </w:tcPr>
          <w:p w14:paraId="150B7DE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0,72</w:t>
            </w:r>
          </w:p>
        </w:tc>
        <w:tc>
          <w:tcPr>
            <w:tcW w:w="1108" w:type="dxa"/>
            <w:shd w:val="clear" w:color="000000" w:fill="FFFFFF"/>
            <w:noWrap/>
            <w:vAlign w:val="bottom"/>
          </w:tcPr>
          <w:p w14:paraId="74E8F7C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0,69</w:t>
            </w:r>
          </w:p>
        </w:tc>
        <w:tc>
          <w:tcPr>
            <w:tcW w:w="1107" w:type="dxa"/>
            <w:shd w:val="clear" w:color="000000" w:fill="FFFFFF"/>
            <w:noWrap/>
            <w:vAlign w:val="bottom"/>
          </w:tcPr>
          <w:p w14:paraId="2877763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0,02</w:t>
            </w:r>
          </w:p>
        </w:tc>
        <w:tc>
          <w:tcPr>
            <w:tcW w:w="1108" w:type="dxa"/>
            <w:shd w:val="clear" w:color="000000" w:fill="FFFFFF"/>
            <w:noWrap/>
            <w:vAlign w:val="bottom"/>
          </w:tcPr>
          <w:p w14:paraId="09FF413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6,36</w:t>
            </w:r>
          </w:p>
        </w:tc>
      </w:tr>
      <w:tr w:rsidR="00744544" w:rsidRPr="00A66C9F" w14:paraId="0AD4927B" w14:textId="77777777" w:rsidTr="00107D5D">
        <w:tc>
          <w:tcPr>
            <w:tcW w:w="1937" w:type="dxa"/>
            <w:shd w:val="clear" w:color="000000" w:fill="FFFFFF"/>
            <w:noWrap/>
            <w:vAlign w:val="bottom"/>
          </w:tcPr>
          <w:p w14:paraId="44E1B6C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Yen</w:t>
            </w:r>
          </w:p>
        </w:tc>
        <w:tc>
          <w:tcPr>
            <w:tcW w:w="1107" w:type="dxa"/>
            <w:shd w:val="clear" w:color="000000" w:fill="FFFFFF"/>
            <w:noWrap/>
            <w:vAlign w:val="bottom"/>
          </w:tcPr>
          <w:p w14:paraId="222D44B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3,79</w:t>
            </w:r>
          </w:p>
        </w:tc>
        <w:tc>
          <w:tcPr>
            <w:tcW w:w="1108" w:type="dxa"/>
            <w:shd w:val="clear" w:color="000000" w:fill="FFFFFF"/>
            <w:noWrap/>
            <w:vAlign w:val="bottom"/>
          </w:tcPr>
          <w:p w14:paraId="3DB0D25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7" w:type="dxa"/>
            <w:shd w:val="clear" w:color="000000" w:fill="FFFFFF"/>
            <w:noWrap/>
            <w:vAlign w:val="bottom"/>
          </w:tcPr>
          <w:p w14:paraId="4382AC4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0,19</w:t>
            </w:r>
          </w:p>
        </w:tc>
        <w:tc>
          <w:tcPr>
            <w:tcW w:w="1108" w:type="dxa"/>
            <w:shd w:val="clear" w:color="000000" w:fill="FFFFFF"/>
            <w:noWrap/>
            <w:vAlign w:val="bottom"/>
          </w:tcPr>
          <w:p w14:paraId="0718C52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7" w:type="dxa"/>
            <w:shd w:val="clear" w:color="000000" w:fill="FFFFFF"/>
            <w:noWrap/>
            <w:vAlign w:val="bottom"/>
          </w:tcPr>
          <w:p w14:paraId="5C4FAE4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0,01</w:t>
            </w:r>
          </w:p>
        </w:tc>
        <w:tc>
          <w:tcPr>
            <w:tcW w:w="1108" w:type="dxa"/>
            <w:shd w:val="clear" w:color="000000" w:fill="FFFFFF"/>
            <w:noWrap/>
            <w:vAlign w:val="bottom"/>
          </w:tcPr>
          <w:p w14:paraId="77DD961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3,99</w:t>
            </w:r>
          </w:p>
        </w:tc>
      </w:tr>
      <w:tr w:rsidR="00744544" w:rsidRPr="00A66C9F" w14:paraId="236AF8CD" w14:textId="77777777" w:rsidTr="00107D5D">
        <w:tc>
          <w:tcPr>
            <w:tcW w:w="1937" w:type="dxa"/>
            <w:shd w:val="clear" w:color="000000" w:fill="FFFFFF"/>
            <w:noWrap/>
            <w:vAlign w:val="bottom"/>
          </w:tcPr>
          <w:p w14:paraId="1804382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Livre sterling</w:t>
            </w:r>
          </w:p>
        </w:tc>
        <w:tc>
          <w:tcPr>
            <w:tcW w:w="1107" w:type="dxa"/>
            <w:shd w:val="clear" w:color="000000" w:fill="FFFFFF"/>
            <w:noWrap/>
            <w:vAlign w:val="bottom"/>
          </w:tcPr>
          <w:p w14:paraId="74EADDD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2,91</w:t>
            </w:r>
          </w:p>
        </w:tc>
        <w:tc>
          <w:tcPr>
            <w:tcW w:w="1108" w:type="dxa"/>
            <w:shd w:val="clear" w:color="000000" w:fill="FFFFFF"/>
            <w:noWrap/>
            <w:vAlign w:val="bottom"/>
          </w:tcPr>
          <w:p w14:paraId="714EAC9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7" w:type="dxa"/>
            <w:shd w:val="clear" w:color="000000" w:fill="FFFFFF"/>
            <w:noWrap/>
            <w:vAlign w:val="bottom"/>
          </w:tcPr>
          <w:p w14:paraId="723F40E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0,19</w:t>
            </w:r>
          </w:p>
        </w:tc>
        <w:tc>
          <w:tcPr>
            <w:tcW w:w="1108" w:type="dxa"/>
            <w:shd w:val="clear" w:color="000000" w:fill="FFFFFF"/>
            <w:noWrap/>
            <w:vAlign w:val="bottom"/>
          </w:tcPr>
          <w:p w14:paraId="7FAA562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0,09</w:t>
            </w:r>
          </w:p>
        </w:tc>
        <w:tc>
          <w:tcPr>
            <w:tcW w:w="1107" w:type="dxa"/>
            <w:shd w:val="clear" w:color="000000" w:fill="FFFFFF"/>
            <w:noWrap/>
            <w:vAlign w:val="bottom"/>
          </w:tcPr>
          <w:p w14:paraId="44B80DD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0,00</w:t>
            </w:r>
          </w:p>
        </w:tc>
        <w:tc>
          <w:tcPr>
            <w:tcW w:w="1108" w:type="dxa"/>
            <w:shd w:val="clear" w:color="000000" w:fill="FFFFFF"/>
            <w:noWrap/>
            <w:vAlign w:val="bottom"/>
          </w:tcPr>
          <w:p w14:paraId="63F75B0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3,19</w:t>
            </w:r>
          </w:p>
        </w:tc>
      </w:tr>
      <w:tr w:rsidR="00744544" w:rsidRPr="00A66C9F" w14:paraId="29C6CE94" w14:textId="77777777" w:rsidTr="00107D5D">
        <w:tc>
          <w:tcPr>
            <w:tcW w:w="1937" w:type="dxa"/>
            <w:shd w:val="clear" w:color="000000" w:fill="FFFFFF"/>
            <w:noWrap/>
            <w:vAlign w:val="bottom"/>
          </w:tcPr>
          <w:p w14:paraId="59D7963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Dollar de Hong Kong</w:t>
            </w:r>
          </w:p>
        </w:tc>
        <w:tc>
          <w:tcPr>
            <w:tcW w:w="1107" w:type="dxa"/>
            <w:shd w:val="clear" w:color="000000" w:fill="FFFFFF"/>
            <w:noWrap/>
            <w:vAlign w:val="bottom"/>
          </w:tcPr>
          <w:p w14:paraId="3EAB336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2,63</w:t>
            </w:r>
          </w:p>
        </w:tc>
        <w:tc>
          <w:tcPr>
            <w:tcW w:w="1108" w:type="dxa"/>
            <w:shd w:val="clear" w:color="000000" w:fill="FFFFFF"/>
            <w:noWrap/>
            <w:vAlign w:val="bottom"/>
          </w:tcPr>
          <w:p w14:paraId="48DF7AF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7" w:type="dxa"/>
            <w:shd w:val="clear" w:color="000000" w:fill="FFFFFF"/>
            <w:noWrap/>
            <w:vAlign w:val="bottom"/>
          </w:tcPr>
          <w:p w14:paraId="407E18D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8" w:type="dxa"/>
            <w:shd w:val="clear" w:color="000000" w:fill="FFFFFF"/>
            <w:noWrap/>
            <w:vAlign w:val="bottom"/>
          </w:tcPr>
          <w:p w14:paraId="408B131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7" w:type="dxa"/>
            <w:shd w:val="clear" w:color="000000" w:fill="FFFFFF"/>
            <w:noWrap/>
            <w:vAlign w:val="bottom"/>
          </w:tcPr>
          <w:p w14:paraId="3269562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0,00</w:t>
            </w:r>
          </w:p>
        </w:tc>
        <w:tc>
          <w:tcPr>
            <w:tcW w:w="1108" w:type="dxa"/>
            <w:shd w:val="clear" w:color="000000" w:fill="FFFFFF"/>
            <w:noWrap/>
            <w:vAlign w:val="bottom"/>
          </w:tcPr>
          <w:p w14:paraId="0E1A80A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2,63</w:t>
            </w:r>
          </w:p>
        </w:tc>
      </w:tr>
      <w:tr w:rsidR="00744544" w:rsidRPr="00A66C9F" w14:paraId="3420A290" w14:textId="77777777" w:rsidTr="00107D5D">
        <w:tc>
          <w:tcPr>
            <w:tcW w:w="1937" w:type="dxa"/>
            <w:shd w:val="clear" w:color="000000" w:fill="FFFFFF"/>
            <w:noWrap/>
            <w:vAlign w:val="bottom"/>
          </w:tcPr>
          <w:p w14:paraId="4AEFCEE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Dollar canadien</w:t>
            </w:r>
          </w:p>
        </w:tc>
        <w:tc>
          <w:tcPr>
            <w:tcW w:w="1107" w:type="dxa"/>
            <w:shd w:val="clear" w:color="000000" w:fill="FFFFFF"/>
            <w:noWrap/>
            <w:vAlign w:val="bottom"/>
          </w:tcPr>
          <w:p w14:paraId="6CE1EE5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1,78</w:t>
            </w:r>
          </w:p>
        </w:tc>
        <w:tc>
          <w:tcPr>
            <w:tcW w:w="1108" w:type="dxa"/>
            <w:shd w:val="clear" w:color="000000" w:fill="FFFFFF"/>
            <w:noWrap/>
            <w:vAlign w:val="bottom"/>
          </w:tcPr>
          <w:p w14:paraId="3280E80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0,03</w:t>
            </w:r>
          </w:p>
        </w:tc>
        <w:tc>
          <w:tcPr>
            <w:tcW w:w="1107" w:type="dxa"/>
            <w:shd w:val="clear" w:color="000000" w:fill="FFFFFF"/>
            <w:noWrap/>
            <w:vAlign w:val="bottom"/>
          </w:tcPr>
          <w:p w14:paraId="16513FF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0,32</w:t>
            </w:r>
          </w:p>
        </w:tc>
        <w:tc>
          <w:tcPr>
            <w:tcW w:w="1108" w:type="dxa"/>
            <w:shd w:val="clear" w:color="000000" w:fill="FFFFFF"/>
            <w:noWrap/>
            <w:vAlign w:val="bottom"/>
          </w:tcPr>
          <w:p w14:paraId="460F92C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7" w:type="dxa"/>
            <w:shd w:val="clear" w:color="000000" w:fill="FFFFFF"/>
            <w:noWrap/>
            <w:vAlign w:val="bottom"/>
          </w:tcPr>
          <w:p w14:paraId="5E7F21B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0,00</w:t>
            </w:r>
          </w:p>
        </w:tc>
        <w:tc>
          <w:tcPr>
            <w:tcW w:w="1108" w:type="dxa"/>
            <w:shd w:val="clear" w:color="000000" w:fill="FFFFFF"/>
            <w:noWrap/>
            <w:vAlign w:val="bottom"/>
          </w:tcPr>
          <w:p w14:paraId="4E3DCE5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2,13</w:t>
            </w:r>
          </w:p>
        </w:tc>
      </w:tr>
      <w:tr w:rsidR="00744544" w:rsidRPr="00A66C9F" w14:paraId="3A89F26F" w14:textId="77777777" w:rsidTr="00107D5D">
        <w:tc>
          <w:tcPr>
            <w:tcW w:w="1937" w:type="dxa"/>
            <w:shd w:val="clear" w:color="000000" w:fill="FFFFFF"/>
            <w:noWrap/>
            <w:vAlign w:val="bottom"/>
          </w:tcPr>
          <w:p w14:paraId="63093D6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Won</w:t>
            </w:r>
          </w:p>
        </w:tc>
        <w:tc>
          <w:tcPr>
            <w:tcW w:w="1107" w:type="dxa"/>
            <w:shd w:val="clear" w:color="000000" w:fill="FFFFFF"/>
            <w:noWrap/>
            <w:vAlign w:val="bottom"/>
          </w:tcPr>
          <w:p w14:paraId="7486C45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1,11</w:t>
            </w:r>
          </w:p>
        </w:tc>
        <w:tc>
          <w:tcPr>
            <w:tcW w:w="1108" w:type="dxa"/>
            <w:shd w:val="clear" w:color="000000" w:fill="FFFFFF"/>
            <w:noWrap/>
            <w:vAlign w:val="bottom"/>
          </w:tcPr>
          <w:p w14:paraId="7126D82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0,43</w:t>
            </w:r>
          </w:p>
        </w:tc>
        <w:tc>
          <w:tcPr>
            <w:tcW w:w="1107" w:type="dxa"/>
            <w:shd w:val="clear" w:color="000000" w:fill="FFFFFF"/>
            <w:noWrap/>
            <w:vAlign w:val="bottom"/>
          </w:tcPr>
          <w:p w14:paraId="7A3E4F8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8" w:type="dxa"/>
            <w:shd w:val="clear" w:color="000000" w:fill="FFFFFF"/>
            <w:noWrap/>
            <w:vAlign w:val="bottom"/>
          </w:tcPr>
          <w:p w14:paraId="437D599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7" w:type="dxa"/>
            <w:shd w:val="clear" w:color="000000" w:fill="FFFFFF"/>
            <w:noWrap/>
            <w:vAlign w:val="bottom"/>
          </w:tcPr>
          <w:p w14:paraId="3AE2B93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0,00</w:t>
            </w:r>
          </w:p>
        </w:tc>
        <w:tc>
          <w:tcPr>
            <w:tcW w:w="1108" w:type="dxa"/>
            <w:shd w:val="clear" w:color="000000" w:fill="FFFFFF"/>
            <w:noWrap/>
            <w:vAlign w:val="bottom"/>
          </w:tcPr>
          <w:p w14:paraId="26E8582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1,54</w:t>
            </w:r>
          </w:p>
        </w:tc>
      </w:tr>
      <w:tr w:rsidR="00744544" w:rsidRPr="00A66C9F" w14:paraId="71A07334" w14:textId="77777777" w:rsidTr="00107D5D">
        <w:tc>
          <w:tcPr>
            <w:tcW w:w="1937" w:type="dxa"/>
            <w:shd w:val="clear" w:color="000000" w:fill="FFFFFF"/>
            <w:noWrap/>
            <w:vAlign w:val="bottom"/>
          </w:tcPr>
          <w:p w14:paraId="59265D3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Franc suisse</w:t>
            </w:r>
          </w:p>
        </w:tc>
        <w:tc>
          <w:tcPr>
            <w:tcW w:w="1107" w:type="dxa"/>
            <w:shd w:val="clear" w:color="000000" w:fill="FFFFFF"/>
            <w:noWrap/>
            <w:vAlign w:val="bottom"/>
          </w:tcPr>
          <w:p w14:paraId="2FD41A5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1,51</w:t>
            </w:r>
          </w:p>
        </w:tc>
        <w:tc>
          <w:tcPr>
            <w:tcW w:w="1108" w:type="dxa"/>
            <w:shd w:val="clear" w:color="000000" w:fill="FFFFFF"/>
            <w:noWrap/>
            <w:vAlign w:val="bottom"/>
          </w:tcPr>
          <w:p w14:paraId="77028CD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7" w:type="dxa"/>
            <w:shd w:val="clear" w:color="000000" w:fill="FFFFFF"/>
            <w:noWrap/>
            <w:vAlign w:val="bottom"/>
          </w:tcPr>
          <w:p w14:paraId="37E2C24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8" w:type="dxa"/>
            <w:shd w:val="clear" w:color="000000" w:fill="FFFFFF"/>
            <w:noWrap/>
            <w:vAlign w:val="bottom"/>
          </w:tcPr>
          <w:p w14:paraId="1144802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7" w:type="dxa"/>
            <w:shd w:val="clear" w:color="000000" w:fill="FFFFFF"/>
            <w:noWrap/>
            <w:vAlign w:val="bottom"/>
          </w:tcPr>
          <w:p w14:paraId="0BF527E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0,01</w:t>
            </w:r>
          </w:p>
        </w:tc>
        <w:tc>
          <w:tcPr>
            <w:tcW w:w="1108" w:type="dxa"/>
            <w:shd w:val="clear" w:color="000000" w:fill="FFFFFF"/>
            <w:noWrap/>
            <w:vAlign w:val="bottom"/>
          </w:tcPr>
          <w:p w14:paraId="570839D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1,52</w:t>
            </w:r>
          </w:p>
        </w:tc>
      </w:tr>
      <w:tr w:rsidR="00744544" w:rsidRPr="00A66C9F" w14:paraId="70DD83FB" w14:textId="77777777" w:rsidTr="00107D5D">
        <w:tc>
          <w:tcPr>
            <w:tcW w:w="1937" w:type="dxa"/>
            <w:shd w:val="clear" w:color="000000" w:fill="FFFFFF"/>
            <w:noWrap/>
            <w:vAlign w:val="bottom"/>
          </w:tcPr>
          <w:p w14:paraId="33707A4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Real</w:t>
            </w:r>
          </w:p>
        </w:tc>
        <w:tc>
          <w:tcPr>
            <w:tcW w:w="1107" w:type="dxa"/>
            <w:shd w:val="clear" w:color="000000" w:fill="FFFFFF"/>
            <w:noWrap/>
            <w:vAlign w:val="bottom"/>
          </w:tcPr>
          <w:p w14:paraId="7D0F5D9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0,73</w:t>
            </w:r>
          </w:p>
        </w:tc>
        <w:tc>
          <w:tcPr>
            <w:tcW w:w="1108" w:type="dxa"/>
            <w:shd w:val="clear" w:color="000000" w:fill="FFFFFF"/>
            <w:noWrap/>
            <w:vAlign w:val="bottom"/>
          </w:tcPr>
          <w:p w14:paraId="5186505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0,70</w:t>
            </w:r>
          </w:p>
        </w:tc>
        <w:tc>
          <w:tcPr>
            <w:tcW w:w="1107" w:type="dxa"/>
            <w:shd w:val="clear" w:color="000000" w:fill="FFFFFF"/>
            <w:noWrap/>
            <w:vAlign w:val="bottom"/>
          </w:tcPr>
          <w:p w14:paraId="28C59F7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8" w:type="dxa"/>
            <w:shd w:val="clear" w:color="000000" w:fill="FFFFFF"/>
            <w:noWrap/>
            <w:vAlign w:val="bottom"/>
          </w:tcPr>
          <w:p w14:paraId="4084052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7" w:type="dxa"/>
            <w:shd w:val="clear" w:color="000000" w:fill="FFFFFF"/>
            <w:noWrap/>
            <w:vAlign w:val="bottom"/>
          </w:tcPr>
          <w:p w14:paraId="23C6905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0,00</w:t>
            </w:r>
          </w:p>
        </w:tc>
        <w:tc>
          <w:tcPr>
            <w:tcW w:w="1108" w:type="dxa"/>
            <w:shd w:val="clear" w:color="000000" w:fill="FFFFFF"/>
            <w:noWrap/>
            <w:vAlign w:val="bottom"/>
          </w:tcPr>
          <w:p w14:paraId="139C5E6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1,43</w:t>
            </w:r>
          </w:p>
        </w:tc>
      </w:tr>
      <w:tr w:rsidR="00744544" w:rsidRPr="00A66C9F" w14:paraId="2EDD92F7" w14:textId="77777777" w:rsidTr="00107D5D">
        <w:tc>
          <w:tcPr>
            <w:tcW w:w="1937" w:type="dxa"/>
            <w:shd w:val="clear" w:color="000000" w:fill="FFFFFF"/>
            <w:noWrap/>
            <w:vAlign w:val="bottom"/>
          </w:tcPr>
          <w:p w14:paraId="7D1D1EB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Dollar australien</w:t>
            </w:r>
          </w:p>
        </w:tc>
        <w:tc>
          <w:tcPr>
            <w:tcW w:w="1107" w:type="dxa"/>
            <w:shd w:val="clear" w:color="000000" w:fill="FFFFFF"/>
            <w:noWrap/>
            <w:vAlign w:val="bottom"/>
          </w:tcPr>
          <w:p w14:paraId="6130D12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1,13</w:t>
            </w:r>
          </w:p>
        </w:tc>
        <w:tc>
          <w:tcPr>
            <w:tcW w:w="1108" w:type="dxa"/>
            <w:shd w:val="clear" w:color="000000" w:fill="FFFFFF"/>
            <w:noWrap/>
            <w:vAlign w:val="bottom"/>
          </w:tcPr>
          <w:p w14:paraId="28D4FB0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0,03</w:t>
            </w:r>
          </w:p>
        </w:tc>
        <w:tc>
          <w:tcPr>
            <w:tcW w:w="1107" w:type="dxa"/>
            <w:shd w:val="clear" w:color="000000" w:fill="FFFFFF"/>
            <w:noWrap/>
            <w:vAlign w:val="bottom"/>
          </w:tcPr>
          <w:p w14:paraId="0DAEC29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0,24</w:t>
            </w:r>
          </w:p>
        </w:tc>
        <w:tc>
          <w:tcPr>
            <w:tcW w:w="1108" w:type="dxa"/>
            <w:shd w:val="clear" w:color="000000" w:fill="FFFFFF"/>
            <w:noWrap/>
            <w:vAlign w:val="bottom"/>
          </w:tcPr>
          <w:p w14:paraId="046BD12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7" w:type="dxa"/>
            <w:shd w:val="clear" w:color="000000" w:fill="FFFFFF"/>
            <w:noWrap/>
            <w:vAlign w:val="bottom"/>
          </w:tcPr>
          <w:p w14:paraId="37449FA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0,00</w:t>
            </w:r>
          </w:p>
        </w:tc>
        <w:tc>
          <w:tcPr>
            <w:tcW w:w="1108" w:type="dxa"/>
            <w:shd w:val="clear" w:color="000000" w:fill="FFFFFF"/>
            <w:noWrap/>
            <w:vAlign w:val="bottom"/>
          </w:tcPr>
          <w:p w14:paraId="5EAD067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1,40</w:t>
            </w:r>
          </w:p>
        </w:tc>
      </w:tr>
      <w:tr w:rsidR="00744544" w:rsidRPr="00A66C9F" w14:paraId="047836B2" w14:textId="77777777" w:rsidTr="00107D5D">
        <w:tc>
          <w:tcPr>
            <w:tcW w:w="1937" w:type="dxa"/>
            <w:shd w:val="clear" w:color="000000" w:fill="FFFFFF"/>
            <w:noWrap/>
            <w:vAlign w:val="bottom"/>
          </w:tcPr>
          <w:p w14:paraId="055BED1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Roupie indienne</w:t>
            </w:r>
          </w:p>
        </w:tc>
        <w:tc>
          <w:tcPr>
            <w:tcW w:w="1107" w:type="dxa"/>
            <w:shd w:val="clear" w:color="000000" w:fill="FFFFFF"/>
            <w:noWrap/>
            <w:vAlign w:val="bottom"/>
          </w:tcPr>
          <w:p w14:paraId="32A4542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0,79</w:t>
            </w:r>
          </w:p>
        </w:tc>
        <w:tc>
          <w:tcPr>
            <w:tcW w:w="1108" w:type="dxa"/>
            <w:shd w:val="clear" w:color="000000" w:fill="FFFFFF"/>
            <w:noWrap/>
            <w:vAlign w:val="bottom"/>
          </w:tcPr>
          <w:p w14:paraId="653CC46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0,17</w:t>
            </w:r>
          </w:p>
        </w:tc>
        <w:tc>
          <w:tcPr>
            <w:tcW w:w="1107" w:type="dxa"/>
            <w:shd w:val="clear" w:color="000000" w:fill="FFFFFF"/>
            <w:noWrap/>
            <w:vAlign w:val="bottom"/>
          </w:tcPr>
          <w:p w14:paraId="6748007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8" w:type="dxa"/>
            <w:shd w:val="clear" w:color="000000" w:fill="FFFFFF"/>
            <w:noWrap/>
            <w:vAlign w:val="bottom"/>
          </w:tcPr>
          <w:p w14:paraId="50465C3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7" w:type="dxa"/>
            <w:shd w:val="clear" w:color="000000" w:fill="FFFFFF"/>
            <w:noWrap/>
            <w:vAlign w:val="bottom"/>
          </w:tcPr>
          <w:p w14:paraId="364BE63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0,00</w:t>
            </w:r>
          </w:p>
        </w:tc>
        <w:tc>
          <w:tcPr>
            <w:tcW w:w="1108" w:type="dxa"/>
            <w:shd w:val="clear" w:color="000000" w:fill="FFFFFF"/>
            <w:noWrap/>
            <w:vAlign w:val="bottom"/>
          </w:tcPr>
          <w:p w14:paraId="18CCD0F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0,96</w:t>
            </w:r>
          </w:p>
        </w:tc>
      </w:tr>
      <w:tr w:rsidR="00744544" w:rsidRPr="00A66C9F" w14:paraId="259E2676" w14:textId="77777777" w:rsidTr="00107D5D">
        <w:tc>
          <w:tcPr>
            <w:tcW w:w="1937" w:type="dxa"/>
            <w:shd w:val="clear" w:color="000000" w:fill="FFFFFF"/>
            <w:noWrap/>
            <w:vAlign w:val="bottom"/>
          </w:tcPr>
          <w:p w14:paraId="12D7044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Peso mexicain</w:t>
            </w:r>
          </w:p>
        </w:tc>
        <w:tc>
          <w:tcPr>
            <w:tcW w:w="1107" w:type="dxa"/>
            <w:shd w:val="clear" w:color="000000" w:fill="FFFFFF"/>
            <w:noWrap/>
            <w:vAlign w:val="bottom"/>
          </w:tcPr>
          <w:p w14:paraId="5DCC322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0,27</w:t>
            </w:r>
          </w:p>
        </w:tc>
        <w:tc>
          <w:tcPr>
            <w:tcW w:w="1108" w:type="dxa"/>
            <w:shd w:val="clear" w:color="000000" w:fill="FFFFFF"/>
            <w:noWrap/>
            <w:vAlign w:val="bottom"/>
          </w:tcPr>
          <w:p w14:paraId="7DAC962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0,63</w:t>
            </w:r>
          </w:p>
        </w:tc>
        <w:tc>
          <w:tcPr>
            <w:tcW w:w="1107" w:type="dxa"/>
            <w:shd w:val="clear" w:color="000000" w:fill="FFFFFF"/>
            <w:noWrap/>
            <w:vAlign w:val="bottom"/>
          </w:tcPr>
          <w:p w14:paraId="610A02E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8" w:type="dxa"/>
            <w:shd w:val="clear" w:color="000000" w:fill="FFFFFF"/>
            <w:noWrap/>
            <w:vAlign w:val="bottom"/>
          </w:tcPr>
          <w:p w14:paraId="581F427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7" w:type="dxa"/>
            <w:shd w:val="clear" w:color="000000" w:fill="FFFFFF"/>
            <w:noWrap/>
            <w:vAlign w:val="bottom"/>
          </w:tcPr>
          <w:p w14:paraId="4246DA6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0,00</w:t>
            </w:r>
          </w:p>
        </w:tc>
        <w:tc>
          <w:tcPr>
            <w:tcW w:w="1108" w:type="dxa"/>
            <w:shd w:val="clear" w:color="000000" w:fill="FFFFFF"/>
            <w:noWrap/>
            <w:vAlign w:val="bottom"/>
          </w:tcPr>
          <w:p w14:paraId="33357A3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0,90</w:t>
            </w:r>
          </w:p>
        </w:tc>
      </w:tr>
      <w:tr w:rsidR="00744544" w:rsidRPr="00A66C9F" w14:paraId="69BB853F" w14:textId="77777777" w:rsidTr="00107D5D">
        <w:tc>
          <w:tcPr>
            <w:tcW w:w="1937" w:type="dxa"/>
            <w:shd w:val="clear" w:color="000000" w:fill="FFFFFF"/>
            <w:noWrap/>
            <w:vAlign w:val="bottom"/>
          </w:tcPr>
          <w:p w14:paraId="3F36433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Ringgit</w:t>
            </w:r>
          </w:p>
        </w:tc>
        <w:tc>
          <w:tcPr>
            <w:tcW w:w="1107" w:type="dxa"/>
            <w:shd w:val="clear" w:color="000000" w:fill="FFFFFF"/>
            <w:noWrap/>
            <w:vAlign w:val="bottom"/>
          </w:tcPr>
          <w:p w14:paraId="1FBDD10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0,15</w:t>
            </w:r>
          </w:p>
        </w:tc>
        <w:tc>
          <w:tcPr>
            <w:tcW w:w="1108" w:type="dxa"/>
            <w:shd w:val="clear" w:color="000000" w:fill="FFFFFF"/>
            <w:noWrap/>
            <w:vAlign w:val="bottom"/>
          </w:tcPr>
          <w:p w14:paraId="5009B66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0,36</w:t>
            </w:r>
          </w:p>
        </w:tc>
        <w:tc>
          <w:tcPr>
            <w:tcW w:w="1107" w:type="dxa"/>
            <w:shd w:val="clear" w:color="000000" w:fill="FFFFFF"/>
            <w:noWrap/>
            <w:vAlign w:val="bottom"/>
          </w:tcPr>
          <w:p w14:paraId="1FA7E06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8" w:type="dxa"/>
            <w:shd w:val="clear" w:color="000000" w:fill="FFFFFF"/>
            <w:noWrap/>
            <w:vAlign w:val="bottom"/>
          </w:tcPr>
          <w:p w14:paraId="06592F8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7" w:type="dxa"/>
            <w:shd w:val="clear" w:color="000000" w:fill="FFFFFF"/>
            <w:noWrap/>
            <w:vAlign w:val="bottom"/>
          </w:tcPr>
          <w:p w14:paraId="268132E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0,00</w:t>
            </w:r>
          </w:p>
        </w:tc>
        <w:tc>
          <w:tcPr>
            <w:tcW w:w="1108" w:type="dxa"/>
            <w:shd w:val="clear" w:color="000000" w:fill="FFFFFF"/>
            <w:noWrap/>
            <w:vAlign w:val="bottom"/>
          </w:tcPr>
          <w:p w14:paraId="458A67C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0,51</w:t>
            </w:r>
          </w:p>
        </w:tc>
      </w:tr>
      <w:tr w:rsidR="00744544" w:rsidRPr="00A66C9F" w14:paraId="09117003" w14:textId="77777777" w:rsidTr="00107D5D">
        <w:tc>
          <w:tcPr>
            <w:tcW w:w="1937" w:type="dxa"/>
            <w:shd w:val="clear" w:color="000000" w:fill="FFFFFF"/>
            <w:noWrap/>
            <w:vAlign w:val="bottom"/>
          </w:tcPr>
          <w:p w14:paraId="59F3A0D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Rand</w:t>
            </w:r>
          </w:p>
        </w:tc>
        <w:tc>
          <w:tcPr>
            <w:tcW w:w="1107" w:type="dxa"/>
            <w:shd w:val="clear" w:color="000000" w:fill="FFFFFF"/>
            <w:noWrap/>
            <w:vAlign w:val="bottom"/>
          </w:tcPr>
          <w:p w14:paraId="726D777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0,39</w:t>
            </w:r>
          </w:p>
        </w:tc>
        <w:tc>
          <w:tcPr>
            <w:tcW w:w="1108" w:type="dxa"/>
            <w:shd w:val="clear" w:color="000000" w:fill="FFFFFF"/>
            <w:noWrap/>
            <w:vAlign w:val="bottom"/>
          </w:tcPr>
          <w:p w14:paraId="6C8C447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0,12</w:t>
            </w:r>
          </w:p>
        </w:tc>
        <w:tc>
          <w:tcPr>
            <w:tcW w:w="1107" w:type="dxa"/>
            <w:shd w:val="clear" w:color="000000" w:fill="FFFFFF"/>
            <w:noWrap/>
            <w:vAlign w:val="bottom"/>
          </w:tcPr>
          <w:p w14:paraId="5C2BE41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8" w:type="dxa"/>
            <w:shd w:val="clear" w:color="000000" w:fill="FFFFFF"/>
            <w:noWrap/>
            <w:vAlign w:val="bottom"/>
          </w:tcPr>
          <w:p w14:paraId="1ADA5C9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7" w:type="dxa"/>
            <w:shd w:val="clear" w:color="000000" w:fill="FFFFFF"/>
            <w:noWrap/>
            <w:vAlign w:val="bottom"/>
          </w:tcPr>
          <w:p w14:paraId="461EC79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0,00</w:t>
            </w:r>
          </w:p>
        </w:tc>
        <w:tc>
          <w:tcPr>
            <w:tcW w:w="1108" w:type="dxa"/>
            <w:shd w:val="clear" w:color="000000" w:fill="FFFFFF"/>
            <w:noWrap/>
            <w:vAlign w:val="bottom"/>
          </w:tcPr>
          <w:p w14:paraId="25DC220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0,51</w:t>
            </w:r>
          </w:p>
        </w:tc>
      </w:tr>
      <w:tr w:rsidR="00744544" w:rsidRPr="00A66C9F" w14:paraId="265E6DAB" w14:textId="77777777" w:rsidTr="00107D5D">
        <w:tc>
          <w:tcPr>
            <w:tcW w:w="1937" w:type="dxa"/>
            <w:shd w:val="clear" w:color="000000" w:fill="FFFFFF"/>
            <w:noWrap/>
            <w:vAlign w:val="bottom"/>
          </w:tcPr>
          <w:p w14:paraId="7D02C8E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Rouble</w:t>
            </w:r>
          </w:p>
        </w:tc>
        <w:tc>
          <w:tcPr>
            <w:tcW w:w="1107" w:type="dxa"/>
            <w:shd w:val="clear" w:color="000000" w:fill="FFFFFF"/>
            <w:noWrap/>
            <w:vAlign w:val="bottom"/>
          </w:tcPr>
          <w:p w14:paraId="6EE321E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8" w:type="dxa"/>
            <w:shd w:val="clear" w:color="000000" w:fill="FFFFFF"/>
            <w:noWrap/>
            <w:vAlign w:val="bottom"/>
          </w:tcPr>
          <w:p w14:paraId="1A97C9A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0,50</w:t>
            </w:r>
          </w:p>
        </w:tc>
        <w:tc>
          <w:tcPr>
            <w:tcW w:w="1107" w:type="dxa"/>
            <w:shd w:val="clear" w:color="000000" w:fill="FFFFFF"/>
            <w:noWrap/>
            <w:vAlign w:val="bottom"/>
          </w:tcPr>
          <w:p w14:paraId="4C1EAF9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8" w:type="dxa"/>
            <w:shd w:val="clear" w:color="000000" w:fill="FFFFFF"/>
            <w:noWrap/>
            <w:vAlign w:val="bottom"/>
          </w:tcPr>
          <w:p w14:paraId="504394C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7" w:type="dxa"/>
            <w:shd w:val="clear" w:color="000000" w:fill="FFFFFF"/>
            <w:noWrap/>
            <w:vAlign w:val="bottom"/>
          </w:tcPr>
          <w:p w14:paraId="4BAFEE2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0,00</w:t>
            </w:r>
          </w:p>
        </w:tc>
        <w:tc>
          <w:tcPr>
            <w:tcW w:w="1108" w:type="dxa"/>
            <w:shd w:val="clear" w:color="000000" w:fill="FFFFFF"/>
            <w:noWrap/>
            <w:vAlign w:val="bottom"/>
          </w:tcPr>
          <w:p w14:paraId="3750808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0,50</w:t>
            </w:r>
          </w:p>
        </w:tc>
      </w:tr>
      <w:tr w:rsidR="00744544" w:rsidRPr="00A66C9F" w14:paraId="60975B1C" w14:textId="77777777" w:rsidTr="00107D5D">
        <w:tc>
          <w:tcPr>
            <w:tcW w:w="1937" w:type="dxa"/>
            <w:shd w:val="clear" w:color="000000" w:fill="FFFFFF"/>
            <w:noWrap/>
            <w:vAlign w:val="bottom"/>
          </w:tcPr>
          <w:p w14:paraId="0FA1F15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Couronne suédoise</w:t>
            </w:r>
          </w:p>
        </w:tc>
        <w:tc>
          <w:tcPr>
            <w:tcW w:w="1107" w:type="dxa"/>
            <w:shd w:val="clear" w:color="000000" w:fill="FFFFFF"/>
            <w:noWrap/>
            <w:vAlign w:val="bottom"/>
          </w:tcPr>
          <w:p w14:paraId="52B3931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0,48</w:t>
            </w:r>
          </w:p>
        </w:tc>
        <w:tc>
          <w:tcPr>
            <w:tcW w:w="1108" w:type="dxa"/>
            <w:shd w:val="clear" w:color="000000" w:fill="FFFFFF"/>
            <w:noWrap/>
            <w:vAlign w:val="bottom"/>
          </w:tcPr>
          <w:p w14:paraId="4E1F551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7" w:type="dxa"/>
            <w:shd w:val="clear" w:color="000000" w:fill="FFFFFF"/>
            <w:noWrap/>
            <w:vAlign w:val="bottom"/>
          </w:tcPr>
          <w:p w14:paraId="23111F5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8" w:type="dxa"/>
            <w:shd w:val="clear" w:color="000000" w:fill="FFFFFF"/>
            <w:noWrap/>
            <w:vAlign w:val="bottom"/>
          </w:tcPr>
          <w:p w14:paraId="62ED06D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7" w:type="dxa"/>
            <w:shd w:val="clear" w:color="000000" w:fill="FFFFFF"/>
            <w:noWrap/>
            <w:vAlign w:val="bottom"/>
          </w:tcPr>
          <w:p w14:paraId="3A2CD1C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0,00</w:t>
            </w:r>
          </w:p>
        </w:tc>
        <w:tc>
          <w:tcPr>
            <w:tcW w:w="1108" w:type="dxa"/>
            <w:shd w:val="clear" w:color="000000" w:fill="FFFFFF"/>
            <w:noWrap/>
            <w:vAlign w:val="bottom"/>
          </w:tcPr>
          <w:p w14:paraId="6477BCE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0,48</w:t>
            </w:r>
          </w:p>
        </w:tc>
      </w:tr>
      <w:tr w:rsidR="00744544" w:rsidRPr="00A66C9F" w14:paraId="1D118B24" w14:textId="77777777" w:rsidTr="00107D5D">
        <w:tc>
          <w:tcPr>
            <w:tcW w:w="1937" w:type="dxa"/>
            <w:shd w:val="clear" w:color="000000" w:fill="FFFFFF"/>
            <w:noWrap/>
            <w:vAlign w:val="bottom"/>
          </w:tcPr>
          <w:p w14:paraId="298F35E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Baht</w:t>
            </w:r>
          </w:p>
        </w:tc>
        <w:tc>
          <w:tcPr>
            <w:tcW w:w="1107" w:type="dxa"/>
            <w:shd w:val="clear" w:color="000000" w:fill="FFFFFF"/>
            <w:noWrap/>
            <w:vAlign w:val="bottom"/>
          </w:tcPr>
          <w:p w14:paraId="7614055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8" w:type="dxa"/>
            <w:shd w:val="clear" w:color="000000" w:fill="FFFFFF"/>
            <w:noWrap/>
            <w:vAlign w:val="bottom"/>
          </w:tcPr>
          <w:p w14:paraId="791D77F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0,43</w:t>
            </w:r>
          </w:p>
        </w:tc>
        <w:tc>
          <w:tcPr>
            <w:tcW w:w="1107" w:type="dxa"/>
            <w:shd w:val="clear" w:color="000000" w:fill="FFFFFF"/>
            <w:noWrap/>
            <w:vAlign w:val="bottom"/>
          </w:tcPr>
          <w:p w14:paraId="7A90937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8" w:type="dxa"/>
            <w:shd w:val="clear" w:color="000000" w:fill="FFFFFF"/>
            <w:noWrap/>
            <w:vAlign w:val="bottom"/>
          </w:tcPr>
          <w:p w14:paraId="177596B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7" w:type="dxa"/>
            <w:shd w:val="clear" w:color="000000" w:fill="FFFFFF"/>
            <w:noWrap/>
            <w:vAlign w:val="bottom"/>
          </w:tcPr>
          <w:p w14:paraId="1522DE2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0,00</w:t>
            </w:r>
          </w:p>
        </w:tc>
        <w:tc>
          <w:tcPr>
            <w:tcW w:w="1108" w:type="dxa"/>
            <w:shd w:val="clear" w:color="000000" w:fill="FFFFFF"/>
            <w:noWrap/>
            <w:vAlign w:val="bottom"/>
          </w:tcPr>
          <w:p w14:paraId="75B0DCB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0,43</w:t>
            </w:r>
          </w:p>
        </w:tc>
      </w:tr>
      <w:tr w:rsidR="00744544" w:rsidRPr="00A66C9F" w14:paraId="0D3C4088" w14:textId="77777777" w:rsidTr="00107D5D">
        <w:tc>
          <w:tcPr>
            <w:tcW w:w="1937" w:type="dxa"/>
            <w:shd w:val="clear" w:color="000000" w:fill="FFFFFF"/>
            <w:noWrap/>
            <w:vAlign w:val="bottom"/>
          </w:tcPr>
          <w:p w14:paraId="4513B26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Couronne danoise</w:t>
            </w:r>
          </w:p>
        </w:tc>
        <w:tc>
          <w:tcPr>
            <w:tcW w:w="1107" w:type="dxa"/>
            <w:shd w:val="clear" w:color="000000" w:fill="FFFFFF"/>
            <w:noWrap/>
            <w:vAlign w:val="bottom"/>
          </w:tcPr>
          <w:p w14:paraId="1FAF05F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0,31</w:t>
            </w:r>
          </w:p>
        </w:tc>
        <w:tc>
          <w:tcPr>
            <w:tcW w:w="1108" w:type="dxa"/>
            <w:shd w:val="clear" w:color="000000" w:fill="FFFFFF"/>
            <w:noWrap/>
            <w:vAlign w:val="bottom"/>
          </w:tcPr>
          <w:p w14:paraId="1884763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7" w:type="dxa"/>
            <w:shd w:val="clear" w:color="000000" w:fill="FFFFFF"/>
            <w:noWrap/>
            <w:vAlign w:val="bottom"/>
          </w:tcPr>
          <w:p w14:paraId="2CB849F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8" w:type="dxa"/>
            <w:shd w:val="clear" w:color="000000" w:fill="FFFFFF"/>
            <w:noWrap/>
            <w:vAlign w:val="bottom"/>
          </w:tcPr>
          <w:p w14:paraId="34FA59B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7" w:type="dxa"/>
            <w:shd w:val="clear" w:color="000000" w:fill="FFFFFF"/>
            <w:noWrap/>
            <w:vAlign w:val="bottom"/>
          </w:tcPr>
          <w:p w14:paraId="03511BF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0,00</w:t>
            </w:r>
          </w:p>
        </w:tc>
        <w:tc>
          <w:tcPr>
            <w:tcW w:w="1108" w:type="dxa"/>
            <w:shd w:val="clear" w:color="000000" w:fill="FFFFFF"/>
            <w:noWrap/>
            <w:vAlign w:val="bottom"/>
          </w:tcPr>
          <w:p w14:paraId="59AAEC6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0,31</w:t>
            </w:r>
          </w:p>
        </w:tc>
      </w:tr>
      <w:tr w:rsidR="00744544" w:rsidRPr="00A66C9F" w14:paraId="6BD0AEED" w14:textId="77777777" w:rsidTr="00107D5D">
        <w:tc>
          <w:tcPr>
            <w:tcW w:w="1937" w:type="dxa"/>
            <w:shd w:val="clear" w:color="000000" w:fill="FFFFFF"/>
            <w:noWrap/>
            <w:vAlign w:val="bottom"/>
          </w:tcPr>
          <w:p w14:paraId="5B84575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Zloty</w:t>
            </w:r>
          </w:p>
        </w:tc>
        <w:tc>
          <w:tcPr>
            <w:tcW w:w="1107" w:type="dxa"/>
            <w:shd w:val="clear" w:color="000000" w:fill="FFFFFF"/>
            <w:noWrap/>
            <w:vAlign w:val="bottom"/>
          </w:tcPr>
          <w:p w14:paraId="7F180F8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8" w:type="dxa"/>
            <w:shd w:val="clear" w:color="000000" w:fill="FFFFFF"/>
            <w:noWrap/>
            <w:vAlign w:val="bottom"/>
          </w:tcPr>
          <w:p w14:paraId="5917B2B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0,24</w:t>
            </w:r>
          </w:p>
        </w:tc>
        <w:tc>
          <w:tcPr>
            <w:tcW w:w="1107" w:type="dxa"/>
            <w:shd w:val="clear" w:color="000000" w:fill="FFFFFF"/>
            <w:noWrap/>
            <w:vAlign w:val="bottom"/>
          </w:tcPr>
          <w:p w14:paraId="7D2FCAD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8" w:type="dxa"/>
            <w:shd w:val="clear" w:color="000000" w:fill="FFFFFF"/>
            <w:noWrap/>
            <w:vAlign w:val="bottom"/>
          </w:tcPr>
          <w:p w14:paraId="2D860C2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7" w:type="dxa"/>
            <w:shd w:val="clear" w:color="000000" w:fill="FFFFFF"/>
            <w:noWrap/>
            <w:vAlign w:val="bottom"/>
          </w:tcPr>
          <w:p w14:paraId="0A8BF61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0,00</w:t>
            </w:r>
          </w:p>
        </w:tc>
        <w:tc>
          <w:tcPr>
            <w:tcW w:w="1108" w:type="dxa"/>
            <w:shd w:val="clear" w:color="000000" w:fill="FFFFFF"/>
            <w:noWrap/>
            <w:vAlign w:val="bottom"/>
          </w:tcPr>
          <w:p w14:paraId="366C179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0,24</w:t>
            </w:r>
          </w:p>
        </w:tc>
      </w:tr>
      <w:tr w:rsidR="00744544" w:rsidRPr="00A66C9F" w14:paraId="3E9F00B6" w14:textId="77777777" w:rsidTr="00107D5D">
        <w:tc>
          <w:tcPr>
            <w:tcW w:w="1937" w:type="dxa"/>
            <w:shd w:val="clear" w:color="000000" w:fill="FFFFFF"/>
            <w:noWrap/>
            <w:vAlign w:val="bottom"/>
          </w:tcPr>
          <w:p w14:paraId="3FD39C1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Dollar singapourien</w:t>
            </w:r>
          </w:p>
        </w:tc>
        <w:tc>
          <w:tcPr>
            <w:tcW w:w="1107" w:type="dxa"/>
            <w:shd w:val="clear" w:color="000000" w:fill="FFFFFF"/>
            <w:noWrap/>
            <w:vAlign w:val="bottom"/>
          </w:tcPr>
          <w:p w14:paraId="341881C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0,21</w:t>
            </w:r>
          </w:p>
        </w:tc>
        <w:tc>
          <w:tcPr>
            <w:tcW w:w="1108" w:type="dxa"/>
            <w:shd w:val="clear" w:color="000000" w:fill="FFFFFF"/>
            <w:noWrap/>
            <w:vAlign w:val="bottom"/>
          </w:tcPr>
          <w:p w14:paraId="2B36FA6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7" w:type="dxa"/>
            <w:shd w:val="clear" w:color="000000" w:fill="FFFFFF"/>
            <w:noWrap/>
            <w:vAlign w:val="bottom"/>
          </w:tcPr>
          <w:p w14:paraId="7730C56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8" w:type="dxa"/>
            <w:shd w:val="clear" w:color="000000" w:fill="FFFFFF"/>
            <w:noWrap/>
            <w:vAlign w:val="bottom"/>
          </w:tcPr>
          <w:p w14:paraId="251158D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7" w:type="dxa"/>
            <w:shd w:val="clear" w:color="000000" w:fill="FFFFFF"/>
            <w:noWrap/>
            <w:vAlign w:val="bottom"/>
          </w:tcPr>
          <w:p w14:paraId="258AA6F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0,00</w:t>
            </w:r>
          </w:p>
        </w:tc>
        <w:tc>
          <w:tcPr>
            <w:tcW w:w="1108" w:type="dxa"/>
            <w:shd w:val="clear" w:color="000000" w:fill="FFFFFF"/>
            <w:noWrap/>
            <w:vAlign w:val="bottom"/>
          </w:tcPr>
          <w:p w14:paraId="53354B8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0,21</w:t>
            </w:r>
          </w:p>
        </w:tc>
      </w:tr>
      <w:tr w:rsidR="00744544" w:rsidRPr="00A66C9F" w14:paraId="761E3C71" w14:textId="77777777" w:rsidTr="00107D5D">
        <w:tc>
          <w:tcPr>
            <w:tcW w:w="1937" w:type="dxa"/>
            <w:shd w:val="clear" w:color="000000" w:fill="FFFFFF"/>
            <w:noWrap/>
            <w:vAlign w:val="bottom"/>
          </w:tcPr>
          <w:p w14:paraId="74EB265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lastRenderedPageBreak/>
              <w:t>Peso philippin</w:t>
            </w:r>
          </w:p>
        </w:tc>
        <w:tc>
          <w:tcPr>
            <w:tcW w:w="1107" w:type="dxa"/>
            <w:shd w:val="clear" w:color="000000" w:fill="FFFFFF"/>
            <w:noWrap/>
            <w:vAlign w:val="bottom"/>
          </w:tcPr>
          <w:p w14:paraId="7C2A20A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0,10</w:t>
            </w:r>
          </w:p>
        </w:tc>
        <w:tc>
          <w:tcPr>
            <w:tcW w:w="1108" w:type="dxa"/>
            <w:shd w:val="clear" w:color="000000" w:fill="FFFFFF"/>
            <w:noWrap/>
            <w:vAlign w:val="bottom"/>
          </w:tcPr>
          <w:p w14:paraId="7734AE0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0,10</w:t>
            </w:r>
          </w:p>
        </w:tc>
        <w:tc>
          <w:tcPr>
            <w:tcW w:w="1107" w:type="dxa"/>
            <w:shd w:val="clear" w:color="000000" w:fill="FFFFFF"/>
            <w:noWrap/>
            <w:vAlign w:val="bottom"/>
          </w:tcPr>
          <w:p w14:paraId="3B04C49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8" w:type="dxa"/>
            <w:shd w:val="clear" w:color="000000" w:fill="FFFFFF"/>
            <w:noWrap/>
            <w:vAlign w:val="bottom"/>
          </w:tcPr>
          <w:p w14:paraId="40F5C4E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7" w:type="dxa"/>
            <w:shd w:val="clear" w:color="000000" w:fill="FFFFFF"/>
            <w:noWrap/>
            <w:vAlign w:val="bottom"/>
          </w:tcPr>
          <w:p w14:paraId="2F9047D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0,00</w:t>
            </w:r>
          </w:p>
        </w:tc>
        <w:tc>
          <w:tcPr>
            <w:tcW w:w="1108" w:type="dxa"/>
            <w:shd w:val="clear" w:color="000000" w:fill="FFFFFF"/>
            <w:noWrap/>
            <w:vAlign w:val="bottom"/>
          </w:tcPr>
          <w:p w14:paraId="4D2095C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0,20</w:t>
            </w:r>
          </w:p>
        </w:tc>
      </w:tr>
      <w:tr w:rsidR="00744544" w:rsidRPr="00A66C9F" w14:paraId="5665334A" w14:textId="77777777" w:rsidTr="00107D5D">
        <w:tc>
          <w:tcPr>
            <w:tcW w:w="1937" w:type="dxa"/>
            <w:shd w:val="clear" w:color="000000" w:fill="FFFFFF"/>
            <w:noWrap/>
            <w:vAlign w:val="bottom"/>
          </w:tcPr>
          <w:p w14:paraId="0101BCC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Livre turque</w:t>
            </w:r>
          </w:p>
        </w:tc>
        <w:tc>
          <w:tcPr>
            <w:tcW w:w="1107" w:type="dxa"/>
            <w:shd w:val="clear" w:color="000000" w:fill="FFFFFF"/>
            <w:noWrap/>
            <w:vAlign w:val="bottom"/>
          </w:tcPr>
          <w:p w14:paraId="3AB2FBC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0,06</w:t>
            </w:r>
          </w:p>
        </w:tc>
        <w:tc>
          <w:tcPr>
            <w:tcW w:w="1108" w:type="dxa"/>
            <w:shd w:val="clear" w:color="000000" w:fill="FFFFFF"/>
            <w:noWrap/>
            <w:vAlign w:val="bottom"/>
          </w:tcPr>
          <w:p w14:paraId="7F71B59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0,08</w:t>
            </w:r>
          </w:p>
        </w:tc>
        <w:tc>
          <w:tcPr>
            <w:tcW w:w="1107" w:type="dxa"/>
            <w:shd w:val="clear" w:color="000000" w:fill="FFFFFF"/>
            <w:noWrap/>
            <w:vAlign w:val="bottom"/>
          </w:tcPr>
          <w:p w14:paraId="4850654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8" w:type="dxa"/>
            <w:shd w:val="clear" w:color="000000" w:fill="FFFFFF"/>
            <w:noWrap/>
            <w:vAlign w:val="bottom"/>
          </w:tcPr>
          <w:p w14:paraId="4F4A45B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7" w:type="dxa"/>
            <w:shd w:val="clear" w:color="000000" w:fill="FFFFFF"/>
            <w:noWrap/>
            <w:vAlign w:val="bottom"/>
          </w:tcPr>
          <w:p w14:paraId="6F6126B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0,00</w:t>
            </w:r>
          </w:p>
        </w:tc>
        <w:tc>
          <w:tcPr>
            <w:tcW w:w="1108" w:type="dxa"/>
            <w:shd w:val="clear" w:color="000000" w:fill="FFFFFF"/>
            <w:noWrap/>
            <w:vAlign w:val="bottom"/>
          </w:tcPr>
          <w:p w14:paraId="7D162A6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0,14</w:t>
            </w:r>
          </w:p>
        </w:tc>
      </w:tr>
      <w:tr w:rsidR="00744544" w:rsidRPr="00A66C9F" w14:paraId="6A62DF34" w14:textId="77777777" w:rsidTr="00107D5D">
        <w:tc>
          <w:tcPr>
            <w:tcW w:w="1937" w:type="dxa"/>
            <w:shd w:val="clear" w:color="000000" w:fill="FFFFFF"/>
            <w:noWrap/>
            <w:vAlign w:val="bottom"/>
          </w:tcPr>
          <w:p w14:paraId="036D8C8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Sol</w:t>
            </w:r>
          </w:p>
        </w:tc>
        <w:tc>
          <w:tcPr>
            <w:tcW w:w="1107" w:type="dxa"/>
            <w:shd w:val="clear" w:color="000000" w:fill="FFFFFF"/>
            <w:noWrap/>
            <w:vAlign w:val="bottom"/>
          </w:tcPr>
          <w:p w14:paraId="1CB5E1E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8" w:type="dxa"/>
            <w:shd w:val="clear" w:color="000000" w:fill="FFFFFF"/>
            <w:noWrap/>
            <w:vAlign w:val="bottom"/>
          </w:tcPr>
          <w:p w14:paraId="08A91FB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0,10</w:t>
            </w:r>
          </w:p>
        </w:tc>
        <w:tc>
          <w:tcPr>
            <w:tcW w:w="1107" w:type="dxa"/>
            <w:shd w:val="clear" w:color="000000" w:fill="FFFFFF"/>
            <w:noWrap/>
            <w:vAlign w:val="bottom"/>
          </w:tcPr>
          <w:p w14:paraId="5B33329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8" w:type="dxa"/>
            <w:shd w:val="clear" w:color="000000" w:fill="FFFFFF"/>
            <w:noWrap/>
            <w:vAlign w:val="bottom"/>
          </w:tcPr>
          <w:p w14:paraId="56285C5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7" w:type="dxa"/>
            <w:shd w:val="clear" w:color="000000" w:fill="FFFFFF"/>
            <w:noWrap/>
            <w:vAlign w:val="bottom"/>
          </w:tcPr>
          <w:p w14:paraId="656A4F4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0,00</w:t>
            </w:r>
          </w:p>
        </w:tc>
        <w:tc>
          <w:tcPr>
            <w:tcW w:w="1108" w:type="dxa"/>
            <w:shd w:val="clear" w:color="000000" w:fill="FFFFFF"/>
            <w:noWrap/>
            <w:vAlign w:val="bottom"/>
          </w:tcPr>
          <w:p w14:paraId="3A6FB44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0,10</w:t>
            </w:r>
          </w:p>
        </w:tc>
      </w:tr>
      <w:tr w:rsidR="00744544" w:rsidRPr="00A66C9F" w14:paraId="779B35F6" w14:textId="77777777" w:rsidTr="00107D5D">
        <w:tc>
          <w:tcPr>
            <w:tcW w:w="1937" w:type="dxa"/>
            <w:shd w:val="clear" w:color="000000" w:fill="FFFFFF"/>
            <w:noWrap/>
            <w:vAlign w:val="bottom"/>
          </w:tcPr>
          <w:p w14:paraId="6E19B39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Couronne tchèque</w:t>
            </w:r>
          </w:p>
        </w:tc>
        <w:tc>
          <w:tcPr>
            <w:tcW w:w="1107" w:type="dxa"/>
            <w:shd w:val="clear" w:color="000000" w:fill="FFFFFF"/>
            <w:noWrap/>
            <w:vAlign w:val="bottom"/>
          </w:tcPr>
          <w:p w14:paraId="6B0AAE2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8" w:type="dxa"/>
            <w:shd w:val="clear" w:color="000000" w:fill="FFFFFF"/>
            <w:noWrap/>
            <w:vAlign w:val="bottom"/>
          </w:tcPr>
          <w:p w14:paraId="13C8A86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0,09</w:t>
            </w:r>
          </w:p>
        </w:tc>
        <w:tc>
          <w:tcPr>
            <w:tcW w:w="1107" w:type="dxa"/>
            <w:shd w:val="clear" w:color="000000" w:fill="FFFFFF"/>
            <w:noWrap/>
            <w:vAlign w:val="bottom"/>
          </w:tcPr>
          <w:p w14:paraId="13F21A5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8" w:type="dxa"/>
            <w:shd w:val="clear" w:color="000000" w:fill="FFFFFF"/>
            <w:noWrap/>
            <w:vAlign w:val="bottom"/>
          </w:tcPr>
          <w:p w14:paraId="49EA478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7" w:type="dxa"/>
            <w:shd w:val="clear" w:color="000000" w:fill="FFFFFF"/>
            <w:noWrap/>
            <w:vAlign w:val="bottom"/>
          </w:tcPr>
          <w:p w14:paraId="3BC7463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0,00</w:t>
            </w:r>
          </w:p>
        </w:tc>
        <w:tc>
          <w:tcPr>
            <w:tcW w:w="1108" w:type="dxa"/>
            <w:shd w:val="clear" w:color="000000" w:fill="FFFFFF"/>
            <w:noWrap/>
            <w:vAlign w:val="bottom"/>
          </w:tcPr>
          <w:p w14:paraId="66DE421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0,09</w:t>
            </w:r>
          </w:p>
        </w:tc>
      </w:tr>
      <w:tr w:rsidR="00744544" w:rsidRPr="00A66C9F" w14:paraId="5350C1F8" w14:textId="77777777" w:rsidTr="00107D5D">
        <w:tc>
          <w:tcPr>
            <w:tcW w:w="1937" w:type="dxa"/>
            <w:shd w:val="clear" w:color="000000" w:fill="FFFFFF"/>
            <w:noWrap/>
            <w:vAlign w:val="bottom"/>
          </w:tcPr>
          <w:p w14:paraId="18721FF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Forint</w:t>
            </w:r>
          </w:p>
        </w:tc>
        <w:tc>
          <w:tcPr>
            <w:tcW w:w="1107" w:type="dxa"/>
            <w:shd w:val="clear" w:color="000000" w:fill="FFFFFF"/>
            <w:noWrap/>
            <w:vAlign w:val="bottom"/>
          </w:tcPr>
          <w:p w14:paraId="6D42366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8" w:type="dxa"/>
            <w:shd w:val="clear" w:color="000000" w:fill="FFFFFF"/>
            <w:noWrap/>
            <w:vAlign w:val="bottom"/>
          </w:tcPr>
          <w:p w14:paraId="202DF32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0,08</w:t>
            </w:r>
          </w:p>
        </w:tc>
        <w:tc>
          <w:tcPr>
            <w:tcW w:w="1107" w:type="dxa"/>
            <w:shd w:val="clear" w:color="000000" w:fill="FFFFFF"/>
            <w:noWrap/>
            <w:vAlign w:val="bottom"/>
          </w:tcPr>
          <w:p w14:paraId="1DD6AC3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8" w:type="dxa"/>
            <w:shd w:val="clear" w:color="000000" w:fill="FFFFFF"/>
            <w:noWrap/>
            <w:vAlign w:val="bottom"/>
          </w:tcPr>
          <w:p w14:paraId="4F9A5E0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7" w:type="dxa"/>
            <w:shd w:val="clear" w:color="000000" w:fill="FFFFFF"/>
            <w:noWrap/>
            <w:vAlign w:val="bottom"/>
          </w:tcPr>
          <w:p w14:paraId="7016F3E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0,00</w:t>
            </w:r>
          </w:p>
        </w:tc>
        <w:tc>
          <w:tcPr>
            <w:tcW w:w="1108" w:type="dxa"/>
            <w:shd w:val="clear" w:color="000000" w:fill="FFFFFF"/>
            <w:noWrap/>
            <w:vAlign w:val="bottom"/>
          </w:tcPr>
          <w:p w14:paraId="3B980DA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0,08</w:t>
            </w:r>
          </w:p>
        </w:tc>
      </w:tr>
      <w:tr w:rsidR="00744544" w:rsidRPr="00A66C9F" w14:paraId="13D8B672" w14:textId="77777777" w:rsidTr="00107D5D">
        <w:tc>
          <w:tcPr>
            <w:tcW w:w="1937" w:type="dxa"/>
            <w:shd w:val="clear" w:color="000000" w:fill="FFFFFF"/>
            <w:noWrap/>
            <w:vAlign w:val="bottom"/>
          </w:tcPr>
          <w:p w14:paraId="5C2E1C1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Nouveau shekel</w:t>
            </w:r>
          </w:p>
        </w:tc>
        <w:tc>
          <w:tcPr>
            <w:tcW w:w="1107" w:type="dxa"/>
            <w:shd w:val="clear" w:color="000000" w:fill="FFFFFF"/>
            <w:noWrap/>
            <w:vAlign w:val="bottom"/>
          </w:tcPr>
          <w:p w14:paraId="6FF76AE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8" w:type="dxa"/>
            <w:shd w:val="clear" w:color="000000" w:fill="FFFFFF"/>
            <w:noWrap/>
            <w:vAlign w:val="bottom"/>
          </w:tcPr>
          <w:p w14:paraId="01CCF8A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0,08</w:t>
            </w:r>
          </w:p>
        </w:tc>
        <w:tc>
          <w:tcPr>
            <w:tcW w:w="1107" w:type="dxa"/>
            <w:shd w:val="clear" w:color="000000" w:fill="FFFFFF"/>
            <w:noWrap/>
            <w:vAlign w:val="bottom"/>
          </w:tcPr>
          <w:p w14:paraId="2F6B3B1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8" w:type="dxa"/>
            <w:shd w:val="clear" w:color="000000" w:fill="FFFFFF"/>
            <w:noWrap/>
            <w:vAlign w:val="bottom"/>
          </w:tcPr>
          <w:p w14:paraId="3FC6ABD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7" w:type="dxa"/>
            <w:shd w:val="clear" w:color="000000" w:fill="FFFFFF"/>
            <w:noWrap/>
            <w:vAlign w:val="bottom"/>
          </w:tcPr>
          <w:p w14:paraId="43BB105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0,00</w:t>
            </w:r>
          </w:p>
        </w:tc>
        <w:tc>
          <w:tcPr>
            <w:tcW w:w="1108" w:type="dxa"/>
            <w:shd w:val="clear" w:color="000000" w:fill="FFFFFF"/>
            <w:noWrap/>
            <w:vAlign w:val="bottom"/>
          </w:tcPr>
          <w:p w14:paraId="7A6F1DD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0,08</w:t>
            </w:r>
          </w:p>
        </w:tc>
      </w:tr>
      <w:tr w:rsidR="00744544" w:rsidRPr="00A66C9F" w14:paraId="6C3BB628" w14:textId="77777777" w:rsidTr="00107D5D">
        <w:tc>
          <w:tcPr>
            <w:tcW w:w="1937" w:type="dxa"/>
            <w:shd w:val="clear" w:color="000000" w:fill="FFFFFF"/>
            <w:noWrap/>
            <w:vAlign w:val="bottom"/>
          </w:tcPr>
          <w:p w14:paraId="7BDBF84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Peso colombien</w:t>
            </w:r>
          </w:p>
        </w:tc>
        <w:tc>
          <w:tcPr>
            <w:tcW w:w="1107" w:type="dxa"/>
            <w:shd w:val="clear" w:color="000000" w:fill="FFFFFF"/>
            <w:noWrap/>
            <w:vAlign w:val="bottom"/>
          </w:tcPr>
          <w:p w14:paraId="40D06C7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8" w:type="dxa"/>
            <w:shd w:val="clear" w:color="000000" w:fill="FFFFFF"/>
            <w:noWrap/>
            <w:vAlign w:val="bottom"/>
          </w:tcPr>
          <w:p w14:paraId="16DF20A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0,07</w:t>
            </w:r>
          </w:p>
        </w:tc>
        <w:tc>
          <w:tcPr>
            <w:tcW w:w="1107" w:type="dxa"/>
            <w:shd w:val="clear" w:color="000000" w:fill="FFFFFF"/>
            <w:noWrap/>
            <w:vAlign w:val="bottom"/>
          </w:tcPr>
          <w:p w14:paraId="08F54CD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8" w:type="dxa"/>
            <w:shd w:val="clear" w:color="000000" w:fill="FFFFFF"/>
            <w:noWrap/>
            <w:vAlign w:val="bottom"/>
          </w:tcPr>
          <w:p w14:paraId="45918C3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7" w:type="dxa"/>
            <w:shd w:val="clear" w:color="000000" w:fill="FFFFFF"/>
            <w:noWrap/>
            <w:vAlign w:val="bottom"/>
          </w:tcPr>
          <w:p w14:paraId="7BBD68C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0,00</w:t>
            </w:r>
          </w:p>
        </w:tc>
        <w:tc>
          <w:tcPr>
            <w:tcW w:w="1108" w:type="dxa"/>
            <w:shd w:val="clear" w:color="000000" w:fill="FFFFFF"/>
            <w:noWrap/>
            <w:vAlign w:val="bottom"/>
          </w:tcPr>
          <w:p w14:paraId="2C69A71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0,07</w:t>
            </w:r>
          </w:p>
        </w:tc>
      </w:tr>
      <w:tr w:rsidR="00744544" w:rsidRPr="00A66C9F" w14:paraId="71E3C2CF" w14:textId="77777777" w:rsidTr="00107D5D">
        <w:tc>
          <w:tcPr>
            <w:tcW w:w="1937" w:type="dxa"/>
            <w:shd w:val="clear" w:color="000000" w:fill="FFFFFF"/>
            <w:noWrap/>
            <w:vAlign w:val="bottom"/>
          </w:tcPr>
          <w:p w14:paraId="49C7FB1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Yuan (renminbi)</w:t>
            </w:r>
          </w:p>
        </w:tc>
        <w:tc>
          <w:tcPr>
            <w:tcW w:w="1107" w:type="dxa"/>
            <w:shd w:val="clear" w:color="000000" w:fill="FFFFFF"/>
            <w:noWrap/>
            <w:vAlign w:val="bottom"/>
          </w:tcPr>
          <w:p w14:paraId="17F8843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0,07</w:t>
            </w:r>
          </w:p>
        </w:tc>
        <w:tc>
          <w:tcPr>
            <w:tcW w:w="1108" w:type="dxa"/>
            <w:shd w:val="clear" w:color="000000" w:fill="FFFFFF"/>
            <w:noWrap/>
            <w:vAlign w:val="bottom"/>
          </w:tcPr>
          <w:p w14:paraId="33F3EF5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7" w:type="dxa"/>
            <w:shd w:val="clear" w:color="000000" w:fill="FFFFFF"/>
            <w:noWrap/>
            <w:vAlign w:val="bottom"/>
          </w:tcPr>
          <w:p w14:paraId="3030D40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8" w:type="dxa"/>
            <w:shd w:val="clear" w:color="000000" w:fill="FFFFFF"/>
            <w:noWrap/>
            <w:vAlign w:val="bottom"/>
          </w:tcPr>
          <w:p w14:paraId="5C424BE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7" w:type="dxa"/>
            <w:shd w:val="clear" w:color="000000" w:fill="FFFFFF"/>
            <w:noWrap/>
            <w:vAlign w:val="bottom"/>
          </w:tcPr>
          <w:p w14:paraId="7666F4C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0,00</w:t>
            </w:r>
          </w:p>
        </w:tc>
        <w:tc>
          <w:tcPr>
            <w:tcW w:w="1108" w:type="dxa"/>
            <w:shd w:val="clear" w:color="000000" w:fill="FFFFFF"/>
            <w:noWrap/>
            <w:vAlign w:val="bottom"/>
          </w:tcPr>
          <w:p w14:paraId="66CA171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0,07</w:t>
            </w:r>
          </w:p>
        </w:tc>
      </w:tr>
      <w:tr w:rsidR="00744544" w:rsidRPr="00A66C9F" w14:paraId="0E659366" w14:textId="77777777" w:rsidTr="00107D5D">
        <w:tc>
          <w:tcPr>
            <w:tcW w:w="1937" w:type="dxa"/>
            <w:shd w:val="clear" w:color="000000" w:fill="FFFFFF"/>
            <w:noWrap/>
            <w:vAlign w:val="bottom"/>
          </w:tcPr>
          <w:p w14:paraId="49B5850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Couronne norvégienne</w:t>
            </w:r>
          </w:p>
        </w:tc>
        <w:tc>
          <w:tcPr>
            <w:tcW w:w="1107" w:type="dxa"/>
            <w:shd w:val="clear" w:color="000000" w:fill="FFFFFF"/>
            <w:noWrap/>
            <w:vAlign w:val="bottom"/>
          </w:tcPr>
          <w:p w14:paraId="53BCFA8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0,05</w:t>
            </w:r>
          </w:p>
        </w:tc>
        <w:tc>
          <w:tcPr>
            <w:tcW w:w="1108" w:type="dxa"/>
            <w:shd w:val="clear" w:color="000000" w:fill="FFFFFF"/>
            <w:noWrap/>
            <w:vAlign w:val="bottom"/>
          </w:tcPr>
          <w:p w14:paraId="13E4654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0,00</w:t>
            </w:r>
          </w:p>
        </w:tc>
        <w:tc>
          <w:tcPr>
            <w:tcW w:w="1107" w:type="dxa"/>
            <w:shd w:val="clear" w:color="000000" w:fill="FFFFFF"/>
            <w:noWrap/>
            <w:vAlign w:val="bottom"/>
          </w:tcPr>
          <w:p w14:paraId="3C0E839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8" w:type="dxa"/>
            <w:shd w:val="clear" w:color="000000" w:fill="FFFFFF"/>
            <w:noWrap/>
            <w:vAlign w:val="bottom"/>
          </w:tcPr>
          <w:p w14:paraId="13DB7BD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7" w:type="dxa"/>
            <w:shd w:val="clear" w:color="000000" w:fill="FFFFFF"/>
            <w:noWrap/>
            <w:vAlign w:val="bottom"/>
          </w:tcPr>
          <w:p w14:paraId="662BD41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0,00</w:t>
            </w:r>
          </w:p>
        </w:tc>
        <w:tc>
          <w:tcPr>
            <w:tcW w:w="1108" w:type="dxa"/>
            <w:shd w:val="clear" w:color="000000" w:fill="FFFFFF"/>
            <w:noWrap/>
            <w:vAlign w:val="bottom"/>
          </w:tcPr>
          <w:p w14:paraId="3A73FAB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0,05</w:t>
            </w:r>
          </w:p>
        </w:tc>
      </w:tr>
      <w:tr w:rsidR="00744544" w:rsidRPr="00A66C9F" w14:paraId="2F86D2A6" w14:textId="77777777" w:rsidTr="00107D5D">
        <w:tc>
          <w:tcPr>
            <w:tcW w:w="1937" w:type="dxa"/>
            <w:shd w:val="clear" w:color="000000" w:fill="FFFFFF"/>
            <w:noWrap/>
            <w:vAlign w:val="bottom"/>
          </w:tcPr>
          <w:p w14:paraId="69D478E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Peso chilien</w:t>
            </w:r>
          </w:p>
        </w:tc>
        <w:tc>
          <w:tcPr>
            <w:tcW w:w="1107" w:type="dxa"/>
            <w:shd w:val="clear" w:color="000000" w:fill="FFFFFF"/>
            <w:noWrap/>
            <w:vAlign w:val="bottom"/>
          </w:tcPr>
          <w:p w14:paraId="172E653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8" w:type="dxa"/>
            <w:shd w:val="clear" w:color="000000" w:fill="FFFFFF"/>
            <w:noWrap/>
            <w:vAlign w:val="bottom"/>
          </w:tcPr>
          <w:p w14:paraId="69EDFD7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0,05</w:t>
            </w:r>
          </w:p>
        </w:tc>
        <w:tc>
          <w:tcPr>
            <w:tcW w:w="1107" w:type="dxa"/>
            <w:shd w:val="clear" w:color="000000" w:fill="FFFFFF"/>
            <w:noWrap/>
            <w:vAlign w:val="bottom"/>
          </w:tcPr>
          <w:p w14:paraId="6A22B70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8" w:type="dxa"/>
            <w:shd w:val="clear" w:color="000000" w:fill="FFFFFF"/>
            <w:noWrap/>
            <w:vAlign w:val="bottom"/>
          </w:tcPr>
          <w:p w14:paraId="50D50CE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7" w:type="dxa"/>
            <w:shd w:val="clear" w:color="000000" w:fill="FFFFFF"/>
            <w:noWrap/>
            <w:vAlign w:val="bottom"/>
          </w:tcPr>
          <w:p w14:paraId="185C764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0,00</w:t>
            </w:r>
          </w:p>
        </w:tc>
        <w:tc>
          <w:tcPr>
            <w:tcW w:w="1108" w:type="dxa"/>
            <w:shd w:val="clear" w:color="000000" w:fill="FFFFFF"/>
            <w:noWrap/>
            <w:vAlign w:val="bottom"/>
          </w:tcPr>
          <w:p w14:paraId="2E312C8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0,05</w:t>
            </w:r>
          </w:p>
        </w:tc>
      </w:tr>
      <w:tr w:rsidR="00744544" w:rsidRPr="00A66C9F" w14:paraId="469563BE" w14:textId="77777777" w:rsidTr="00107D5D">
        <w:tc>
          <w:tcPr>
            <w:tcW w:w="1937" w:type="dxa"/>
            <w:shd w:val="clear" w:color="000000" w:fill="FFFFFF"/>
            <w:noWrap/>
            <w:vAlign w:val="bottom"/>
          </w:tcPr>
          <w:p w14:paraId="624BF15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Livre égyptienne</w:t>
            </w:r>
          </w:p>
        </w:tc>
        <w:tc>
          <w:tcPr>
            <w:tcW w:w="1107" w:type="dxa"/>
            <w:shd w:val="clear" w:color="000000" w:fill="FFFFFF"/>
            <w:noWrap/>
            <w:vAlign w:val="bottom"/>
          </w:tcPr>
          <w:p w14:paraId="1676519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8" w:type="dxa"/>
            <w:shd w:val="clear" w:color="000000" w:fill="FFFFFF"/>
            <w:noWrap/>
            <w:vAlign w:val="bottom"/>
          </w:tcPr>
          <w:p w14:paraId="54244C5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0,04</w:t>
            </w:r>
          </w:p>
        </w:tc>
        <w:tc>
          <w:tcPr>
            <w:tcW w:w="1107" w:type="dxa"/>
            <w:shd w:val="clear" w:color="000000" w:fill="FFFFFF"/>
            <w:noWrap/>
            <w:vAlign w:val="bottom"/>
          </w:tcPr>
          <w:p w14:paraId="0F92956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8" w:type="dxa"/>
            <w:shd w:val="clear" w:color="000000" w:fill="FFFFFF"/>
            <w:noWrap/>
            <w:vAlign w:val="bottom"/>
          </w:tcPr>
          <w:p w14:paraId="057B6A4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7" w:type="dxa"/>
            <w:shd w:val="clear" w:color="000000" w:fill="FFFFFF"/>
            <w:noWrap/>
            <w:vAlign w:val="bottom"/>
          </w:tcPr>
          <w:p w14:paraId="6AA95DB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8" w:type="dxa"/>
            <w:shd w:val="clear" w:color="000000" w:fill="FFFFFF"/>
            <w:noWrap/>
            <w:vAlign w:val="bottom"/>
          </w:tcPr>
          <w:p w14:paraId="7E7E191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0,04</w:t>
            </w:r>
          </w:p>
        </w:tc>
      </w:tr>
      <w:tr w:rsidR="00744544" w:rsidRPr="00A66C9F" w14:paraId="3BC746EB" w14:textId="77777777" w:rsidTr="00107D5D">
        <w:tc>
          <w:tcPr>
            <w:tcW w:w="1937" w:type="dxa"/>
            <w:shd w:val="clear" w:color="000000" w:fill="FFFFFF"/>
            <w:noWrap/>
            <w:vAlign w:val="bottom"/>
          </w:tcPr>
          <w:p w14:paraId="6C20488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Leu</w:t>
            </w:r>
          </w:p>
        </w:tc>
        <w:tc>
          <w:tcPr>
            <w:tcW w:w="1107" w:type="dxa"/>
            <w:shd w:val="clear" w:color="000000" w:fill="FFFFFF"/>
            <w:noWrap/>
            <w:vAlign w:val="bottom"/>
          </w:tcPr>
          <w:p w14:paraId="2D8AB74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8" w:type="dxa"/>
            <w:shd w:val="clear" w:color="000000" w:fill="FFFFFF"/>
            <w:noWrap/>
            <w:vAlign w:val="bottom"/>
          </w:tcPr>
          <w:p w14:paraId="3DA6425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0,03</w:t>
            </w:r>
          </w:p>
        </w:tc>
        <w:tc>
          <w:tcPr>
            <w:tcW w:w="1107" w:type="dxa"/>
            <w:shd w:val="clear" w:color="000000" w:fill="FFFFFF"/>
            <w:noWrap/>
            <w:vAlign w:val="bottom"/>
          </w:tcPr>
          <w:p w14:paraId="2E4CB14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8" w:type="dxa"/>
            <w:shd w:val="clear" w:color="000000" w:fill="FFFFFF"/>
            <w:noWrap/>
            <w:vAlign w:val="bottom"/>
          </w:tcPr>
          <w:p w14:paraId="4F39627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7" w:type="dxa"/>
            <w:shd w:val="clear" w:color="000000" w:fill="FFFFFF"/>
            <w:noWrap/>
            <w:vAlign w:val="bottom"/>
          </w:tcPr>
          <w:p w14:paraId="6783EE4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0,00</w:t>
            </w:r>
          </w:p>
        </w:tc>
        <w:tc>
          <w:tcPr>
            <w:tcW w:w="1108" w:type="dxa"/>
            <w:shd w:val="clear" w:color="000000" w:fill="FFFFFF"/>
            <w:noWrap/>
            <w:vAlign w:val="bottom"/>
          </w:tcPr>
          <w:p w14:paraId="4B594C0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0,03</w:t>
            </w:r>
          </w:p>
        </w:tc>
      </w:tr>
      <w:tr w:rsidR="00744544" w:rsidRPr="00A66C9F" w14:paraId="5C669C2A" w14:textId="77777777" w:rsidTr="00107D5D">
        <w:tc>
          <w:tcPr>
            <w:tcW w:w="1937" w:type="dxa"/>
            <w:shd w:val="clear" w:color="000000" w:fill="FFFFFF"/>
            <w:noWrap/>
            <w:vAlign w:val="bottom"/>
          </w:tcPr>
          <w:p w14:paraId="66F8880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Dollar néo-zélandais</w:t>
            </w:r>
          </w:p>
        </w:tc>
        <w:tc>
          <w:tcPr>
            <w:tcW w:w="1107" w:type="dxa"/>
            <w:shd w:val="clear" w:color="000000" w:fill="FFFFFF"/>
            <w:noWrap/>
            <w:vAlign w:val="bottom"/>
          </w:tcPr>
          <w:p w14:paraId="67883D0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0,02</w:t>
            </w:r>
          </w:p>
        </w:tc>
        <w:tc>
          <w:tcPr>
            <w:tcW w:w="1108" w:type="dxa"/>
            <w:shd w:val="clear" w:color="000000" w:fill="FFFFFF"/>
            <w:noWrap/>
            <w:vAlign w:val="bottom"/>
          </w:tcPr>
          <w:p w14:paraId="709A1B5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7" w:type="dxa"/>
            <w:shd w:val="clear" w:color="000000" w:fill="FFFFFF"/>
            <w:noWrap/>
            <w:vAlign w:val="bottom"/>
          </w:tcPr>
          <w:p w14:paraId="6318DF9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8" w:type="dxa"/>
            <w:shd w:val="clear" w:color="000000" w:fill="FFFFFF"/>
            <w:noWrap/>
            <w:vAlign w:val="bottom"/>
          </w:tcPr>
          <w:p w14:paraId="4C46297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7" w:type="dxa"/>
            <w:shd w:val="clear" w:color="000000" w:fill="FFFFFF"/>
            <w:noWrap/>
            <w:vAlign w:val="bottom"/>
          </w:tcPr>
          <w:p w14:paraId="3AB1F8B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0,00</w:t>
            </w:r>
          </w:p>
        </w:tc>
        <w:tc>
          <w:tcPr>
            <w:tcW w:w="1108" w:type="dxa"/>
            <w:shd w:val="clear" w:color="000000" w:fill="FFFFFF"/>
            <w:noWrap/>
            <w:vAlign w:val="bottom"/>
          </w:tcPr>
          <w:p w14:paraId="589EBA8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0,02</w:t>
            </w:r>
          </w:p>
        </w:tc>
      </w:tr>
      <w:tr w:rsidR="00744544" w:rsidRPr="00A66C9F" w14:paraId="74B6E2D5" w14:textId="77777777" w:rsidTr="00107D5D">
        <w:tc>
          <w:tcPr>
            <w:tcW w:w="1937" w:type="dxa"/>
            <w:shd w:val="clear" w:color="000000" w:fill="FFFFFF"/>
            <w:noWrap/>
            <w:vAlign w:val="bottom"/>
          </w:tcPr>
          <w:p w14:paraId="6781F04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Franc CFA</w:t>
            </w:r>
          </w:p>
        </w:tc>
        <w:tc>
          <w:tcPr>
            <w:tcW w:w="1107" w:type="dxa"/>
            <w:shd w:val="clear" w:color="000000" w:fill="FFFFFF"/>
            <w:noWrap/>
            <w:vAlign w:val="bottom"/>
          </w:tcPr>
          <w:p w14:paraId="7EEB47F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8" w:type="dxa"/>
            <w:shd w:val="clear" w:color="000000" w:fill="FFFFFF"/>
            <w:noWrap/>
            <w:vAlign w:val="bottom"/>
          </w:tcPr>
          <w:p w14:paraId="2334410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7" w:type="dxa"/>
            <w:shd w:val="clear" w:color="000000" w:fill="FFFFFF"/>
            <w:noWrap/>
            <w:vAlign w:val="bottom"/>
          </w:tcPr>
          <w:p w14:paraId="26AF2D8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8" w:type="dxa"/>
            <w:shd w:val="clear" w:color="000000" w:fill="FFFFFF"/>
            <w:noWrap/>
            <w:vAlign w:val="bottom"/>
          </w:tcPr>
          <w:p w14:paraId="2971EC7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7" w:type="dxa"/>
            <w:shd w:val="clear" w:color="000000" w:fill="FFFFFF"/>
            <w:noWrap/>
            <w:vAlign w:val="bottom"/>
          </w:tcPr>
          <w:p w14:paraId="128A081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0,00</w:t>
            </w:r>
          </w:p>
        </w:tc>
        <w:tc>
          <w:tcPr>
            <w:tcW w:w="1108" w:type="dxa"/>
            <w:shd w:val="clear" w:color="000000" w:fill="FFFFFF"/>
            <w:noWrap/>
            <w:vAlign w:val="bottom"/>
          </w:tcPr>
          <w:p w14:paraId="5466542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0,00</w:t>
            </w:r>
          </w:p>
        </w:tc>
      </w:tr>
      <w:tr w:rsidR="00744544" w:rsidRPr="00A66C9F" w14:paraId="59FCB6D4" w14:textId="77777777" w:rsidTr="00107D5D">
        <w:tc>
          <w:tcPr>
            <w:tcW w:w="1937" w:type="dxa"/>
            <w:tcBorders>
              <w:bottom w:val="single" w:sz="4" w:space="0" w:color="auto"/>
            </w:tcBorders>
            <w:shd w:val="clear" w:color="000000" w:fill="FFFFFF"/>
            <w:noWrap/>
            <w:vAlign w:val="bottom"/>
          </w:tcPr>
          <w:p w14:paraId="27290BF4" w14:textId="77777777" w:rsidR="00744544" w:rsidRPr="00A66C9F" w:rsidRDefault="00744544" w:rsidP="00107D5D">
            <w:pPr>
              <w:tabs>
                <w:tab w:val="left" w:pos="288"/>
                <w:tab w:val="left" w:pos="576"/>
                <w:tab w:val="left" w:pos="864"/>
                <w:tab w:val="left" w:pos="1152"/>
              </w:tabs>
              <w:suppressAutoHyphens/>
              <w:spacing w:before="40" w:after="81" w:line="210" w:lineRule="exact"/>
              <w:ind w:right="40"/>
              <w:rPr>
                <w:sz w:val="17"/>
                <w:lang w:val="fr-FR"/>
              </w:rPr>
            </w:pPr>
            <w:r w:rsidRPr="00A66C9F">
              <w:rPr>
                <w:sz w:val="17"/>
                <w:lang w:val="fr-FR"/>
              </w:rPr>
              <w:t>Roupie pakistanaise</w:t>
            </w:r>
          </w:p>
        </w:tc>
        <w:tc>
          <w:tcPr>
            <w:tcW w:w="1107" w:type="dxa"/>
            <w:tcBorders>
              <w:bottom w:val="single" w:sz="4" w:space="0" w:color="auto"/>
            </w:tcBorders>
            <w:shd w:val="clear" w:color="000000" w:fill="FFFFFF"/>
            <w:noWrap/>
            <w:vAlign w:val="bottom"/>
          </w:tcPr>
          <w:p w14:paraId="6CBC4BCE"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w:t>
            </w:r>
          </w:p>
        </w:tc>
        <w:tc>
          <w:tcPr>
            <w:tcW w:w="1108" w:type="dxa"/>
            <w:tcBorders>
              <w:bottom w:val="single" w:sz="4" w:space="0" w:color="auto"/>
            </w:tcBorders>
            <w:shd w:val="clear" w:color="000000" w:fill="FFFFFF"/>
            <w:noWrap/>
            <w:vAlign w:val="bottom"/>
          </w:tcPr>
          <w:p w14:paraId="0EB51892"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w:t>
            </w:r>
          </w:p>
        </w:tc>
        <w:tc>
          <w:tcPr>
            <w:tcW w:w="1107" w:type="dxa"/>
            <w:tcBorders>
              <w:bottom w:val="single" w:sz="4" w:space="0" w:color="auto"/>
            </w:tcBorders>
            <w:shd w:val="clear" w:color="000000" w:fill="FFFFFF"/>
            <w:noWrap/>
            <w:vAlign w:val="bottom"/>
          </w:tcPr>
          <w:p w14:paraId="547C60E5"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w:t>
            </w:r>
          </w:p>
        </w:tc>
        <w:tc>
          <w:tcPr>
            <w:tcW w:w="1108" w:type="dxa"/>
            <w:tcBorders>
              <w:bottom w:val="single" w:sz="4" w:space="0" w:color="auto"/>
            </w:tcBorders>
            <w:shd w:val="clear" w:color="000000" w:fill="FFFFFF"/>
            <w:noWrap/>
            <w:vAlign w:val="bottom"/>
          </w:tcPr>
          <w:p w14:paraId="429E1273"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w:t>
            </w:r>
          </w:p>
        </w:tc>
        <w:tc>
          <w:tcPr>
            <w:tcW w:w="1107" w:type="dxa"/>
            <w:tcBorders>
              <w:bottom w:val="single" w:sz="4" w:space="0" w:color="auto"/>
            </w:tcBorders>
            <w:shd w:val="clear" w:color="000000" w:fill="FFFFFF"/>
            <w:noWrap/>
            <w:vAlign w:val="bottom"/>
          </w:tcPr>
          <w:p w14:paraId="453696C6"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0,00</w:t>
            </w:r>
          </w:p>
        </w:tc>
        <w:tc>
          <w:tcPr>
            <w:tcW w:w="1108" w:type="dxa"/>
            <w:tcBorders>
              <w:bottom w:val="single" w:sz="4" w:space="0" w:color="auto"/>
            </w:tcBorders>
            <w:shd w:val="clear" w:color="000000" w:fill="FFFFFF"/>
            <w:noWrap/>
            <w:vAlign w:val="bottom"/>
          </w:tcPr>
          <w:p w14:paraId="5A431154"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0,00</w:t>
            </w:r>
          </w:p>
        </w:tc>
      </w:tr>
      <w:tr w:rsidR="00744544" w:rsidRPr="00A66C9F" w14:paraId="3FB2B5EB" w14:textId="77777777" w:rsidTr="00107D5D">
        <w:tc>
          <w:tcPr>
            <w:tcW w:w="1937" w:type="dxa"/>
            <w:tcBorders>
              <w:top w:val="single" w:sz="4" w:space="0" w:color="auto"/>
              <w:bottom w:val="single" w:sz="12" w:space="0" w:color="auto"/>
            </w:tcBorders>
            <w:shd w:val="clear" w:color="000000" w:fill="FFFFFF"/>
            <w:noWrap/>
            <w:vAlign w:val="bottom"/>
          </w:tcPr>
          <w:p w14:paraId="4EFED1C2" w14:textId="77777777" w:rsidR="00744544" w:rsidRPr="00A66C9F" w:rsidRDefault="00744544" w:rsidP="00107D5D">
            <w:pPr>
              <w:tabs>
                <w:tab w:val="left" w:pos="288"/>
                <w:tab w:val="left" w:pos="576"/>
                <w:tab w:val="left" w:pos="864"/>
                <w:tab w:val="left" w:pos="1152"/>
              </w:tabs>
              <w:suppressAutoHyphens/>
              <w:spacing w:before="81" w:after="81" w:line="210" w:lineRule="exact"/>
              <w:ind w:right="40"/>
              <w:rPr>
                <w:b/>
                <w:sz w:val="17"/>
                <w:lang w:val="fr-FR"/>
              </w:rPr>
            </w:pPr>
            <w:r w:rsidRPr="00A66C9F">
              <w:rPr>
                <w:b/>
                <w:sz w:val="17"/>
                <w:lang w:val="fr-FR"/>
              </w:rPr>
              <w:tab/>
              <w:t>Total</w:t>
            </w:r>
          </w:p>
        </w:tc>
        <w:tc>
          <w:tcPr>
            <w:tcW w:w="1107" w:type="dxa"/>
            <w:tcBorders>
              <w:top w:val="single" w:sz="4" w:space="0" w:color="auto"/>
              <w:bottom w:val="single" w:sz="12" w:space="0" w:color="auto"/>
            </w:tcBorders>
            <w:shd w:val="clear" w:color="000000" w:fill="FFFFFF"/>
            <w:noWrap/>
            <w:vAlign w:val="bottom"/>
          </w:tcPr>
          <w:p w14:paraId="20C1EB27"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58,77</w:t>
            </w:r>
          </w:p>
        </w:tc>
        <w:tc>
          <w:tcPr>
            <w:tcW w:w="1108" w:type="dxa"/>
            <w:tcBorders>
              <w:top w:val="single" w:sz="4" w:space="0" w:color="auto"/>
              <w:bottom w:val="single" w:sz="12" w:space="0" w:color="auto"/>
            </w:tcBorders>
            <w:shd w:val="clear" w:color="000000" w:fill="FFFFFF"/>
            <w:noWrap/>
            <w:vAlign w:val="bottom"/>
          </w:tcPr>
          <w:p w14:paraId="4A66EB51"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28,36</w:t>
            </w:r>
          </w:p>
        </w:tc>
        <w:tc>
          <w:tcPr>
            <w:tcW w:w="1107" w:type="dxa"/>
            <w:tcBorders>
              <w:top w:val="single" w:sz="4" w:space="0" w:color="auto"/>
              <w:bottom w:val="single" w:sz="12" w:space="0" w:color="auto"/>
            </w:tcBorders>
            <w:shd w:val="clear" w:color="000000" w:fill="FFFFFF"/>
            <w:noWrap/>
            <w:vAlign w:val="bottom"/>
          </w:tcPr>
          <w:p w14:paraId="695E6C72"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7,23</w:t>
            </w:r>
          </w:p>
        </w:tc>
        <w:tc>
          <w:tcPr>
            <w:tcW w:w="1108" w:type="dxa"/>
            <w:tcBorders>
              <w:top w:val="single" w:sz="4" w:space="0" w:color="auto"/>
              <w:bottom w:val="single" w:sz="12" w:space="0" w:color="auto"/>
            </w:tcBorders>
            <w:shd w:val="clear" w:color="000000" w:fill="FFFFFF"/>
            <w:noWrap/>
            <w:vAlign w:val="bottom"/>
          </w:tcPr>
          <w:p w14:paraId="66735270"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5,04</w:t>
            </w:r>
          </w:p>
        </w:tc>
        <w:tc>
          <w:tcPr>
            <w:tcW w:w="1107" w:type="dxa"/>
            <w:tcBorders>
              <w:top w:val="single" w:sz="4" w:space="0" w:color="auto"/>
              <w:bottom w:val="single" w:sz="12" w:space="0" w:color="auto"/>
            </w:tcBorders>
            <w:shd w:val="clear" w:color="000000" w:fill="FFFFFF"/>
            <w:noWrap/>
            <w:vAlign w:val="bottom"/>
          </w:tcPr>
          <w:p w14:paraId="712E8AA5"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0,60</w:t>
            </w:r>
          </w:p>
        </w:tc>
        <w:tc>
          <w:tcPr>
            <w:tcW w:w="1108" w:type="dxa"/>
            <w:tcBorders>
              <w:top w:val="single" w:sz="4" w:space="0" w:color="auto"/>
              <w:bottom w:val="single" w:sz="12" w:space="0" w:color="auto"/>
            </w:tcBorders>
            <w:shd w:val="clear" w:color="000000" w:fill="FFFFFF"/>
            <w:noWrap/>
            <w:vAlign w:val="bottom"/>
          </w:tcPr>
          <w:p w14:paraId="2189D4BA"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100,00</w:t>
            </w:r>
          </w:p>
        </w:tc>
      </w:tr>
    </w:tbl>
    <w:p w14:paraId="45F9C3C0" w14:textId="77777777" w:rsidR="00744544" w:rsidRPr="00A66C9F" w:rsidRDefault="00744544" w:rsidP="00744544">
      <w:pPr>
        <w:pStyle w:val="SingleTxt"/>
        <w:spacing w:after="0" w:line="120" w:lineRule="exact"/>
        <w:rPr>
          <w:sz w:val="10"/>
          <w:lang w:val="fr-FR"/>
        </w:rPr>
      </w:pPr>
    </w:p>
    <w:p w14:paraId="19D76C40" w14:textId="77777777" w:rsidR="00744544" w:rsidRPr="00A66C9F" w:rsidRDefault="00744544" w:rsidP="00744544">
      <w:pPr>
        <w:pStyle w:val="FootnoteText"/>
        <w:tabs>
          <w:tab w:val="right" w:pos="1476"/>
          <w:tab w:val="left" w:pos="1548"/>
          <w:tab w:val="right" w:pos="1836"/>
          <w:tab w:val="left" w:pos="1908"/>
        </w:tabs>
        <w:suppressAutoHyphens/>
        <w:ind w:left="1548" w:hanging="288"/>
        <w:rPr>
          <w:lang w:val="fr-FR"/>
        </w:rPr>
      </w:pPr>
      <w:r w:rsidRPr="00A66C9F">
        <w:rPr>
          <w:i/>
          <w:iCs/>
          <w:lang w:val="fr-FR"/>
        </w:rPr>
        <w:t>Note</w:t>
      </w:r>
      <w:r w:rsidRPr="00A66C9F">
        <w:rPr>
          <w:lang w:val="fr-FR"/>
        </w:rPr>
        <w:t> : Pourcentages arrondis deux chiffres après la virgule ; 0,00 % indique une valeur inférieure à 0,01 % mais différente de zéro.</w:t>
      </w:r>
    </w:p>
    <w:p w14:paraId="7860A25F" w14:textId="77777777" w:rsidR="00744544" w:rsidRPr="00A66C9F" w:rsidRDefault="00744544" w:rsidP="00744544">
      <w:pPr>
        <w:pStyle w:val="SingleTxt"/>
        <w:spacing w:after="0" w:line="120" w:lineRule="exact"/>
        <w:rPr>
          <w:sz w:val="10"/>
          <w:lang w:val="fr-FR"/>
        </w:rPr>
      </w:pPr>
    </w:p>
    <w:p w14:paraId="2E420F86" w14:textId="77777777" w:rsidR="00744544" w:rsidRPr="00A66C9F" w:rsidRDefault="00744544" w:rsidP="00744544">
      <w:pPr>
        <w:pStyle w:val="SingleTxt"/>
        <w:spacing w:after="0" w:line="120" w:lineRule="exact"/>
        <w:rPr>
          <w:sz w:val="10"/>
          <w:lang w:val="fr-FR"/>
        </w:rPr>
      </w:pPr>
    </w:p>
    <w:p w14:paraId="375A48A5" w14:textId="77777777" w:rsidR="00744544" w:rsidRPr="00A66C9F" w:rsidRDefault="00744544" w:rsidP="00744544">
      <w:pPr>
        <w:pStyle w:val="SingleTxt"/>
        <w:spacing w:after="0" w:line="120" w:lineRule="exact"/>
        <w:rPr>
          <w:sz w:val="10"/>
          <w:lang w:val="fr-FR"/>
        </w:rPr>
      </w:pPr>
    </w:p>
    <w:p w14:paraId="1DA1A7ED" w14:textId="77777777" w:rsidR="00744544" w:rsidRPr="00A66C9F" w:rsidRDefault="00744544" w:rsidP="0074454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lang w:val="fr-FR"/>
        </w:rPr>
        <w:tab/>
      </w:r>
      <w:r w:rsidRPr="00A66C9F">
        <w:rPr>
          <w:lang w:val="fr-FR"/>
        </w:rPr>
        <w:tab/>
      </w:r>
      <w:r w:rsidRPr="00A66C9F">
        <w:rPr>
          <w:sz w:val="14"/>
          <w:szCs w:val="14"/>
          <w:lang w:val="fr-FR"/>
        </w:rPr>
        <w:t>(En pourcentage)</w:t>
      </w:r>
    </w:p>
    <w:p w14:paraId="5DB3FB99" w14:textId="77777777" w:rsidR="00744544" w:rsidRPr="00A66C9F" w:rsidRDefault="00744544" w:rsidP="00744544">
      <w:pPr>
        <w:pStyle w:val="SingleTxt"/>
        <w:spacing w:after="0" w:line="120" w:lineRule="exact"/>
        <w:rPr>
          <w:sz w:val="10"/>
          <w:lang w:val="fr-FR"/>
        </w:rPr>
      </w:pPr>
    </w:p>
    <w:p w14:paraId="5CC807E1" w14:textId="77777777" w:rsidR="00744544" w:rsidRPr="00A66C9F" w:rsidRDefault="00744544" w:rsidP="00744544">
      <w:pPr>
        <w:pStyle w:val="SingleTxt"/>
        <w:spacing w:after="0" w:line="120" w:lineRule="exact"/>
        <w:rPr>
          <w:sz w:val="10"/>
          <w:lang w:val="fr-FR"/>
        </w:rPr>
      </w:pPr>
    </w:p>
    <w:tbl>
      <w:tblPr>
        <w:tblW w:w="8582" w:type="dxa"/>
        <w:tblInd w:w="1267" w:type="dxa"/>
        <w:shd w:val="clear" w:color="000000" w:fill="FFFFFF"/>
        <w:tblLayout w:type="fixed"/>
        <w:tblCellMar>
          <w:left w:w="0" w:type="dxa"/>
          <w:right w:w="0" w:type="dxa"/>
        </w:tblCellMar>
        <w:tblLook w:val="04A0" w:firstRow="1" w:lastRow="0" w:firstColumn="1" w:lastColumn="0" w:noHBand="0" w:noVBand="1"/>
      </w:tblPr>
      <w:tblGrid>
        <w:gridCol w:w="1928"/>
        <w:gridCol w:w="1109"/>
        <w:gridCol w:w="1109"/>
        <w:gridCol w:w="1109"/>
        <w:gridCol w:w="1109"/>
        <w:gridCol w:w="1109"/>
        <w:gridCol w:w="1109"/>
      </w:tblGrid>
      <w:tr w:rsidR="00744544" w:rsidRPr="00A66C9F" w14:paraId="0A126AF5" w14:textId="77777777" w:rsidTr="00107D5D">
        <w:trPr>
          <w:tblHeader/>
        </w:trPr>
        <w:tc>
          <w:tcPr>
            <w:tcW w:w="1928" w:type="dxa"/>
            <w:tcBorders>
              <w:top w:val="single" w:sz="4" w:space="0" w:color="auto"/>
            </w:tcBorders>
            <w:shd w:val="clear" w:color="000000" w:fill="FFFFFF"/>
            <w:noWrap/>
            <w:vAlign w:val="bottom"/>
          </w:tcPr>
          <w:p w14:paraId="00E320C7" w14:textId="77777777" w:rsidR="00744544" w:rsidRPr="00A66C9F" w:rsidRDefault="00744544" w:rsidP="00107D5D">
            <w:pPr>
              <w:suppressAutoHyphens/>
              <w:spacing w:before="81" w:after="81" w:line="160" w:lineRule="exact"/>
              <w:ind w:right="40"/>
              <w:rPr>
                <w:i/>
                <w:sz w:val="14"/>
                <w:lang w:val="fr-FR"/>
              </w:rPr>
            </w:pPr>
          </w:p>
        </w:tc>
        <w:tc>
          <w:tcPr>
            <w:tcW w:w="6654" w:type="dxa"/>
            <w:gridSpan w:val="6"/>
            <w:tcBorders>
              <w:top w:val="single" w:sz="4" w:space="0" w:color="auto"/>
              <w:bottom w:val="single" w:sz="4" w:space="0" w:color="auto"/>
            </w:tcBorders>
            <w:shd w:val="clear" w:color="000000" w:fill="FFFFFF"/>
            <w:noWrap/>
            <w:vAlign w:val="bottom"/>
          </w:tcPr>
          <w:p w14:paraId="246D2432" w14:textId="77777777" w:rsidR="00744544" w:rsidRPr="00A66C9F" w:rsidRDefault="00744544" w:rsidP="00107D5D">
            <w:pPr>
              <w:suppressAutoHyphens/>
              <w:spacing w:before="81" w:after="81" w:line="160" w:lineRule="exact"/>
              <w:ind w:right="43"/>
              <w:jc w:val="center"/>
              <w:rPr>
                <w:i/>
                <w:sz w:val="14"/>
                <w:lang w:val="fr-FR"/>
              </w:rPr>
            </w:pPr>
            <w:r w:rsidRPr="00A66C9F">
              <w:rPr>
                <w:i/>
                <w:sz w:val="14"/>
                <w:lang w:val="fr-FR"/>
              </w:rPr>
              <w:t>Au 31 décembre 2018</w:t>
            </w:r>
          </w:p>
        </w:tc>
      </w:tr>
      <w:tr w:rsidR="00744544" w:rsidRPr="00A66C9F" w14:paraId="5D72B383" w14:textId="77777777" w:rsidTr="00107D5D">
        <w:trPr>
          <w:tblHeader/>
        </w:trPr>
        <w:tc>
          <w:tcPr>
            <w:tcW w:w="1928" w:type="dxa"/>
            <w:tcBorders>
              <w:bottom w:val="single" w:sz="12" w:space="0" w:color="auto"/>
            </w:tcBorders>
            <w:shd w:val="clear" w:color="000000" w:fill="FFFFFF"/>
            <w:noWrap/>
            <w:vAlign w:val="bottom"/>
            <w:hideMark/>
          </w:tcPr>
          <w:p w14:paraId="7F9E0158" w14:textId="77777777" w:rsidR="00744544" w:rsidRPr="00A66C9F" w:rsidRDefault="00744544" w:rsidP="00107D5D">
            <w:pPr>
              <w:suppressAutoHyphens/>
              <w:spacing w:before="81" w:after="81" w:line="160" w:lineRule="exact"/>
              <w:ind w:right="40"/>
              <w:rPr>
                <w:i/>
                <w:sz w:val="14"/>
                <w:lang w:val="fr-FR"/>
              </w:rPr>
            </w:pPr>
            <w:r w:rsidRPr="00A66C9F">
              <w:rPr>
                <w:i/>
                <w:sz w:val="14"/>
                <w:lang w:val="fr-FR"/>
              </w:rPr>
              <w:t>Monnaie</w:t>
            </w:r>
          </w:p>
        </w:tc>
        <w:tc>
          <w:tcPr>
            <w:tcW w:w="1109" w:type="dxa"/>
            <w:tcBorders>
              <w:top w:val="single" w:sz="4" w:space="0" w:color="auto"/>
              <w:bottom w:val="single" w:sz="12" w:space="0" w:color="auto"/>
            </w:tcBorders>
            <w:shd w:val="clear" w:color="000000" w:fill="FFFFFF"/>
            <w:noWrap/>
            <w:vAlign w:val="bottom"/>
            <w:hideMark/>
          </w:tcPr>
          <w:p w14:paraId="6BA68856"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Actions</w:t>
            </w:r>
          </w:p>
        </w:tc>
        <w:tc>
          <w:tcPr>
            <w:tcW w:w="1109" w:type="dxa"/>
            <w:tcBorders>
              <w:top w:val="single" w:sz="4" w:space="0" w:color="auto"/>
              <w:bottom w:val="single" w:sz="12" w:space="0" w:color="auto"/>
            </w:tcBorders>
            <w:shd w:val="clear" w:color="000000" w:fill="FFFFFF"/>
            <w:noWrap/>
            <w:vAlign w:val="bottom"/>
            <w:hideMark/>
          </w:tcPr>
          <w:p w14:paraId="6EC93B1C"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Valeurs</w:t>
            </w:r>
            <w:r w:rsidRPr="00A66C9F">
              <w:rPr>
                <w:i/>
                <w:sz w:val="14"/>
                <w:lang w:val="fr-FR"/>
              </w:rPr>
              <w:br/>
              <w:t>à revenu fixe</w:t>
            </w:r>
          </w:p>
        </w:tc>
        <w:tc>
          <w:tcPr>
            <w:tcW w:w="1109" w:type="dxa"/>
            <w:tcBorders>
              <w:top w:val="single" w:sz="4" w:space="0" w:color="auto"/>
              <w:bottom w:val="single" w:sz="12" w:space="0" w:color="auto"/>
            </w:tcBorders>
            <w:shd w:val="clear" w:color="000000" w:fill="FFFFFF"/>
            <w:noWrap/>
            <w:vAlign w:val="bottom"/>
            <w:hideMark/>
          </w:tcPr>
          <w:p w14:paraId="38ED825B"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Titres immobiliers</w:t>
            </w:r>
          </w:p>
        </w:tc>
        <w:tc>
          <w:tcPr>
            <w:tcW w:w="1109" w:type="dxa"/>
            <w:tcBorders>
              <w:top w:val="single" w:sz="4" w:space="0" w:color="auto"/>
              <w:bottom w:val="single" w:sz="12" w:space="0" w:color="auto"/>
            </w:tcBorders>
            <w:shd w:val="clear" w:color="000000" w:fill="FFFFFF"/>
            <w:vAlign w:val="bottom"/>
            <w:hideMark/>
          </w:tcPr>
          <w:p w14:paraId="0AAEA72B"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Investissements alternatifs</w:t>
            </w:r>
            <w:r w:rsidRPr="00A66C9F">
              <w:rPr>
                <w:i/>
                <w:sz w:val="14"/>
                <w:lang w:val="fr-FR"/>
              </w:rPr>
              <w:br/>
              <w:t>et divers</w:t>
            </w:r>
          </w:p>
        </w:tc>
        <w:tc>
          <w:tcPr>
            <w:tcW w:w="1109" w:type="dxa"/>
            <w:tcBorders>
              <w:top w:val="single" w:sz="4" w:space="0" w:color="auto"/>
              <w:bottom w:val="single" w:sz="12" w:space="0" w:color="auto"/>
            </w:tcBorders>
            <w:shd w:val="clear" w:color="000000" w:fill="FFFFFF"/>
            <w:noWrap/>
            <w:vAlign w:val="bottom"/>
          </w:tcPr>
          <w:p w14:paraId="694FC262"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Trésorerie</w:t>
            </w:r>
          </w:p>
        </w:tc>
        <w:tc>
          <w:tcPr>
            <w:tcW w:w="1109" w:type="dxa"/>
            <w:tcBorders>
              <w:top w:val="single" w:sz="4" w:space="0" w:color="auto"/>
              <w:bottom w:val="single" w:sz="12" w:space="0" w:color="auto"/>
            </w:tcBorders>
            <w:shd w:val="clear" w:color="000000" w:fill="FFFFFF"/>
            <w:noWrap/>
            <w:vAlign w:val="bottom"/>
          </w:tcPr>
          <w:p w14:paraId="33E1186C"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Total</w:t>
            </w:r>
          </w:p>
        </w:tc>
      </w:tr>
      <w:tr w:rsidR="00744544" w:rsidRPr="00A66C9F" w14:paraId="777BBC8C" w14:textId="77777777" w:rsidTr="00107D5D">
        <w:trPr>
          <w:trHeight w:hRule="exact" w:val="115"/>
          <w:tblHeader/>
        </w:trPr>
        <w:tc>
          <w:tcPr>
            <w:tcW w:w="1928" w:type="dxa"/>
            <w:tcBorders>
              <w:top w:val="single" w:sz="12" w:space="0" w:color="auto"/>
            </w:tcBorders>
            <w:shd w:val="clear" w:color="000000" w:fill="FFFFFF"/>
            <w:noWrap/>
            <w:vAlign w:val="bottom"/>
          </w:tcPr>
          <w:p w14:paraId="145D7EFC" w14:textId="77777777" w:rsidR="00744544" w:rsidRPr="00A66C9F" w:rsidRDefault="00744544" w:rsidP="00107D5D">
            <w:pPr>
              <w:suppressAutoHyphens/>
              <w:spacing w:before="40" w:after="40" w:line="210" w:lineRule="exact"/>
              <w:ind w:right="40"/>
              <w:rPr>
                <w:sz w:val="17"/>
                <w:lang w:val="fr-FR"/>
              </w:rPr>
            </w:pPr>
          </w:p>
        </w:tc>
        <w:tc>
          <w:tcPr>
            <w:tcW w:w="1109" w:type="dxa"/>
            <w:tcBorders>
              <w:top w:val="single" w:sz="12" w:space="0" w:color="auto"/>
            </w:tcBorders>
            <w:shd w:val="clear" w:color="000000" w:fill="FFFFFF"/>
            <w:noWrap/>
            <w:vAlign w:val="bottom"/>
          </w:tcPr>
          <w:p w14:paraId="61DD4D94" w14:textId="77777777" w:rsidR="00744544" w:rsidRPr="00A66C9F" w:rsidRDefault="00744544" w:rsidP="00107D5D">
            <w:pPr>
              <w:suppressAutoHyphens/>
              <w:spacing w:before="40" w:after="40" w:line="210" w:lineRule="exact"/>
              <w:ind w:right="43"/>
              <w:jc w:val="right"/>
              <w:rPr>
                <w:sz w:val="17"/>
                <w:lang w:val="fr-FR"/>
              </w:rPr>
            </w:pPr>
          </w:p>
        </w:tc>
        <w:tc>
          <w:tcPr>
            <w:tcW w:w="1109" w:type="dxa"/>
            <w:tcBorders>
              <w:top w:val="single" w:sz="12" w:space="0" w:color="auto"/>
            </w:tcBorders>
            <w:shd w:val="clear" w:color="000000" w:fill="FFFFFF"/>
            <w:noWrap/>
            <w:vAlign w:val="bottom"/>
          </w:tcPr>
          <w:p w14:paraId="01F62446" w14:textId="77777777" w:rsidR="00744544" w:rsidRPr="00A66C9F" w:rsidRDefault="00744544" w:rsidP="00107D5D">
            <w:pPr>
              <w:suppressAutoHyphens/>
              <w:spacing w:before="40" w:after="40" w:line="210" w:lineRule="exact"/>
              <w:ind w:right="43"/>
              <w:jc w:val="right"/>
              <w:rPr>
                <w:sz w:val="17"/>
                <w:lang w:val="fr-FR"/>
              </w:rPr>
            </w:pPr>
          </w:p>
        </w:tc>
        <w:tc>
          <w:tcPr>
            <w:tcW w:w="1109" w:type="dxa"/>
            <w:tcBorders>
              <w:top w:val="single" w:sz="12" w:space="0" w:color="auto"/>
            </w:tcBorders>
            <w:shd w:val="clear" w:color="000000" w:fill="FFFFFF"/>
            <w:noWrap/>
            <w:vAlign w:val="bottom"/>
          </w:tcPr>
          <w:p w14:paraId="5ADA4E6C" w14:textId="77777777" w:rsidR="00744544" w:rsidRPr="00A66C9F" w:rsidRDefault="00744544" w:rsidP="00107D5D">
            <w:pPr>
              <w:suppressAutoHyphens/>
              <w:spacing w:before="40" w:after="40" w:line="210" w:lineRule="exact"/>
              <w:ind w:right="43"/>
              <w:jc w:val="right"/>
              <w:rPr>
                <w:sz w:val="17"/>
                <w:lang w:val="fr-FR"/>
              </w:rPr>
            </w:pPr>
          </w:p>
        </w:tc>
        <w:tc>
          <w:tcPr>
            <w:tcW w:w="1109" w:type="dxa"/>
            <w:tcBorders>
              <w:top w:val="single" w:sz="12" w:space="0" w:color="auto"/>
            </w:tcBorders>
            <w:shd w:val="clear" w:color="000000" w:fill="FFFFFF"/>
            <w:noWrap/>
            <w:vAlign w:val="bottom"/>
          </w:tcPr>
          <w:p w14:paraId="03FF5989" w14:textId="77777777" w:rsidR="00744544" w:rsidRPr="00A66C9F" w:rsidRDefault="00744544" w:rsidP="00107D5D">
            <w:pPr>
              <w:suppressAutoHyphens/>
              <w:spacing w:before="40" w:after="40" w:line="210" w:lineRule="exact"/>
              <w:ind w:right="43"/>
              <w:jc w:val="right"/>
              <w:rPr>
                <w:sz w:val="17"/>
                <w:lang w:val="fr-FR"/>
              </w:rPr>
            </w:pPr>
          </w:p>
        </w:tc>
        <w:tc>
          <w:tcPr>
            <w:tcW w:w="1109" w:type="dxa"/>
            <w:tcBorders>
              <w:top w:val="single" w:sz="12" w:space="0" w:color="auto"/>
            </w:tcBorders>
            <w:shd w:val="clear" w:color="000000" w:fill="FFFFFF"/>
            <w:noWrap/>
            <w:vAlign w:val="bottom"/>
          </w:tcPr>
          <w:p w14:paraId="761A8E25" w14:textId="77777777" w:rsidR="00744544" w:rsidRPr="00A66C9F" w:rsidRDefault="00744544" w:rsidP="00107D5D">
            <w:pPr>
              <w:suppressAutoHyphens/>
              <w:spacing w:before="40" w:after="40" w:line="210" w:lineRule="exact"/>
              <w:ind w:right="43"/>
              <w:jc w:val="right"/>
              <w:rPr>
                <w:sz w:val="17"/>
                <w:lang w:val="fr-FR"/>
              </w:rPr>
            </w:pPr>
          </w:p>
        </w:tc>
        <w:tc>
          <w:tcPr>
            <w:tcW w:w="1109" w:type="dxa"/>
            <w:tcBorders>
              <w:top w:val="single" w:sz="12" w:space="0" w:color="auto"/>
            </w:tcBorders>
            <w:shd w:val="clear" w:color="000000" w:fill="FFFFFF"/>
            <w:noWrap/>
            <w:vAlign w:val="bottom"/>
          </w:tcPr>
          <w:p w14:paraId="73CC162D" w14:textId="77777777" w:rsidR="00744544" w:rsidRPr="00A66C9F" w:rsidRDefault="00744544" w:rsidP="00107D5D">
            <w:pPr>
              <w:suppressAutoHyphens/>
              <w:spacing w:before="40" w:after="40" w:line="210" w:lineRule="exact"/>
              <w:ind w:right="43"/>
              <w:jc w:val="right"/>
              <w:rPr>
                <w:sz w:val="17"/>
                <w:lang w:val="fr-FR"/>
              </w:rPr>
            </w:pPr>
          </w:p>
        </w:tc>
      </w:tr>
      <w:tr w:rsidR="00744544" w:rsidRPr="00A66C9F" w14:paraId="49EB40B2" w14:textId="77777777" w:rsidTr="00107D5D">
        <w:tc>
          <w:tcPr>
            <w:tcW w:w="1928" w:type="dxa"/>
            <w:shd w:val="clear" w:color="000000" w:fill="FFFFFF"/>
            <w:noWrap/>
            <w:vAlign w:val="bottom"/>
          </w:tcPr>
          <w:p w14:paraId="60FD3EF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Dollar des États-Unis</w:t>
            </w:r>
          </w:p>
        </w:tc>
        <w:tc>
          <w:tcPr>
            <w:tcW w:w="1109" w:type="dxa"/>
            <w:shd w:val="clear" w:color="000000" w:fill="FFFFFF"/>
            <w:noWrap/>
            <w:vAlign w:val="bottom"/>
          </w:tcPr>
          <w:p w14:paraId="6E65908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34,13</w:t>
            </w:r>
          </w:p>
        </w:tc>
        <w:tc>
          <w:tcPr>
            <w:tcW w:w="1109" w:type="dxa"/>
            <w:shd w:val="clear" w:color="000000" w:fill="FFFFFF"/>
            <w:noWrap/>
            <w:vAlign w:val="bottom"/>
          </w:tcPr>
          <w:p w14:paraId="49665C1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16,62</w:t>
            </w:r>
          </w:p>
        </w:tc>
        <w:tc>
          <w:tcPr>
            <w:tcW w:w="1109" w:type="dxa"/>
            <w:shd w:val="clear" w:color="000000" w:fill="FFFFFF"/>
            <w:noWrap/>
            <w:vAlign w:val="bottom"/>
          </w:tcPr>
          <w:p w14:paraId="76E8B30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5,51</w:t>
            </w:r>
          </w:p>
        </w:tc>
        <w:tc>
          <w:tcPr>
            <w:tcW w:w="1109" w:type="dxa"/>
            <w:shd w:val="clear" w:color="000000" w:fill="FFFFFF"/>
            <w:noWrap/>
            <w:vAlign w:val="bottom"/>
          </w:tcPr>
          <w:p w14:paraId="5829F6D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3,84</w:t>
            </w:r>
          </w:p>
        </w:tc>
        <w:tc>
          <w:tcPr>
            <w:tcW w:w="1109" w:type="dxa"/>
            <w:shd w:val="clear" w:color="000000" w:fill="FFFFFF"/>
            <w:noWrap/>
            <w:vAlign w:val="bottom"/>
          </w:tcPr>
          <w:p w14:paraId="5CEFF03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0,86</w:t>
            </w:r>
          </w:p>
        </w:tc>
        <w:tc>
          <w:tcPr>
            <w:tcW w:w="1109" w:type="dxa"/>
            <w:shd w:val="clear" w:color="000000" w:fill="FFFFFF"/>
            <w:noWrap/>
            <w:vAlign w:val="bottom"/>
          </w:tcPr>
          <w:p w14:paraId="7BDF8B2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60,96</w:t>
            </w:r>
          </w:p>
        </w:tc>
      </w:tr>
      <w:tr w:rsidR="00744544" w:rsidRPr="00A66C9F" w14:paraId="2A3DD289" w14:textId="77777777" w:rsidTr="00107D5D">
        <w:tc>
          <w:tcPr>
            <w:tcW w:w="1928" w:type="dxa"/>
            <w:shd w:val="clear" w:color="000000" w:fill="FFFFFF"/>
            <w:noWrap/>
            <w:vAlign w:val="bottom"/>
          </w:tcPr>
          <w:p w14:paraId="611DD68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Euro</w:t>
            </w:r>
          </w:p>
        </w:tc>
        <w:tc>
          <w:tcPr>
            <w:tcW w:w="1109" w:type="dxa"/>
            <w:shd w:val="clear" w:color="000000" w:fill="FFFFFF"/>
            <w:noWrap/>
            <w:vAlign w:val="bottom"/>
          </w:tcPr>
          <w:p w14:paraId="50BC38D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5,04</w:t>
            </w:r>
          </w:p>
        </w:tc>
        <w:tc>
          <w:tcPr>
            <w:tcW w:w="1109" w:type="dxa"/>
            <w:shd w:val="clear" w:color="000000" w:fill="FFFFFF"/>
            <w:noWrap/>
            <w:vAlign w:val="bottom"/>
          </w:tcPr>
          <w:p w14:paraId="5FDE29C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6,31</w:t>
            </w:r>
          </w:p>
        </w:tc>
        <w:tc>
          <w:tcPr>
            <w:tcW w:w="1109" w:type="dxa"/>
            <w:shd w:val="clear" w:color="000000" w:fill="FFFFFF"/>
            <w:noWrap/>
            <w:vAlign w:val="bottom"/>
          </w:tcPr>
          <w:p w14:paraId="68F4EF8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0,70</w:t>
            </w:r>
          </w:p>
        </w:tc>
        <w:tc>
          <w:tcPr>
            <w:tcW w:w="1109" w:type="dxa"/>
            <w:shd w:val="clear" w:color="000000" w:fill="FFFFFF"/>
            <w:noWrap/>
            <w:vAlign w:val="bottom"/>
          </w:tcPr>
          <w:p w14:paraId="17954DF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0,64</w:t>
            </w:r>
          </w:p>
        </w:tc>
        <w:tc>
          <w:tcPr>
            <w:tcW w:w="1109" w:type="dxa"/>
            <w:shd w:val="clear" w:color="000000" w:fill="FFFFFF"/>
            <w:noWrap/>
            <w:vAlign w:val="bottom"/>
          </w:tcPr>
          <w:p w14:paraId="55DD646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0,02</w:t>
            </w:r>
          </w:p>
        </w:tc>
        <w:tc>
          <w:tcPr>
            <w:tcW w:w="1109" w:type="dxa"/>
            <w:shd w:val="clear" w:color="000000" w:fill="FFFFFF"/>
            <w:noWrap/>
            <w:vAlign w:val="bottom"/>
          </w:tcPr>
          <w:p w14:paraId="2961DBE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12,71</w:t>
            </w:r>
          </w:p>
        </w:tc>
      </w:tr>
      <w:tr w:rsidR="00744544" w:rsidRPr="00A66C9F" w14:paraId="458B753C" w14:textId="77777777" w:rsidTr="00107D5D">
        <w:tc>
          <w:tcPr>
            <w:tcW w:w="1928" w:type="dxa"/>
            <w:shd w:val="clear" w:color="000000" w:fill="FFFFFF"/>
            <w:noWrap/>
            <w:vAlign w:val="bottom"/>
          </w:tcPr>
          <w:p w14:paraId="20C28C4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Yen</w:t>
            </w:r>
          </w:p>
        </w:tc>
        <w:tc>
          <w:tcPr>
            <w:tcW w:w="1109" w:type="dxa"/>
            <w:shd w:val="clear" w:color="000000" w:fill="FFFFFF"/>
            <w:noWrap/>
            <w:vAlign w:val="bottom"/>
          </w:tcPr>
          <w:p w14:paraId="628CC76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4,44</w:t>
            </w:r>
          </w:p>
        </w:tc>
        <w:tc>
          <w:tcPr>
            <w:tcW w:w="1109" w:type="dxa"/>
            <w:shd w:val="clear" w:color="000000" w:fill="FFFFFF"/>
            <w:noWrap/>
            <w:vAlign w:val="bottom"/>
          </w:tcPr>
          <w:p w14:paraId="4DCA900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4,63</w:t>
            </w:r>
          </w:p>
        </w:tc>
        <w:tc>
          <w:tcPr>
            <w:tcW w:w="1109" w:type="dxa"/>
            <w:shd w:val="clear" w:color="000000" w:fill="FFFFFF"/>
            <w:noWrap/>
            <w:vAlign w:val="bottom"/>
          </w:tcPr>
          <w:p w14:paraId="6F0580E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0,22</w:t>
            </w:r>
          </w:p>
        </w:tc>
        <w:tc>
          <w:tcPr>
            <w:tcW w:w="1109" w:type="dxa"/>
            <w:shd w:val="clear" w:color="000000" w:fill="FFFFFF"/>
            <w:noWrap/>
            <w:vAlign w:val="bottom"/>
          </w:tcPr>
          <w:p w14:paraId="412E84D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30AA259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0,01</w:t>
            </w:r>
          </w:p>
        </w:tc>
        <w:tc>
          <w:tcPr>
            <w:tcW w:w="1109" w:type="dxa"/>
            <w:shd w:val="clear" w:color="000000" w:fill="FFFFFF"/>
            <w:noWrap/>
            <w:vAlign w:val="bottom"/>
          </w:tcPr>
          <w:p w14:paraId="0A71A9C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9,30</w:t>
            </w:r>
          </w:p>
        </w:tc>
      </w:tr>
      <w:tr w:rsidR="00744544" w:rsidRPr="00A66C9F" w14:paraId="38995C94" w14:textId="77777777" w:rsidTr="00107D5D">
        <w:tc>
          <w:tcPr>
            <w:tcW w:w="1928" w:type="dxa"/>
            <w:shd w:val="clear" w:color="000000" w:fill="FFFFFF"/>
            <w:noWrap/>
            <w:vAlign w:val="bottom"/>
          </w:tcPr>
          <w:p w14:paraId="121D6A3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Livre sterling</w:t>
            </w:r>
          </w:p>
        </w:tc>
        <w:tc>
          <w:tcPr>
            <w:tcW w:w="1109" w:type="dxa"/>
            <w:shd w:val="clear" w:color="000000" w:fill="FFFFFF"/>
            <w:noWrap/>
            <w:vAlign w:val="bottom"/>
          </w:tcPr>
          <w:p w14:paraId="0D81B88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3,06</w:t>
            </w:r>
          </w:p>
        </w:tc>
        <w:tc>
          <w:tcPr>
            <w:tcW w:w="1109" w:type="dxa"/>
            <w:shd w:val="clear" w:color="000000" w:fill="FFFFFF"/>
            <w:noWrap/>
            <w:vAlign w:val="bottom"/>
          </w:tcPr>
          <w:p w14:paraId="448FB02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1,25</w:t>
            </w:r>
          </w:p>
        </w:tc>
        <w:tc>
          <w:tcPr>
            <w:tcW w:w="1109" w:type="dxa"/>
            <w:shd w:val="clear" w:color="000000" w:fill="FFFFFF"/>
            <w:noWrap/>
            <w:vAlign w:val="bottom"/>
          </w:tcPr>
          <w:p w14:paraId="5765EE6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0,17</w:t>
            </w:r>
          </w:p>
        </w:tc>
        <w:tc>
          <w:tcPr>
            <w:tcW w:w="1109" w:type="dxa"/>
            <w:shd w:val="clear" w:color="000000" w:fill="FFFFFF"/>
            <w:noWrap/>
            <w:vAlign w:val="bottom"/>
          </w:tcPr>
          <w:p w14:paraId="7C78F47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0,03</w:t>
            </w:r>
          </w:p>
        </w:tc>
        <w:tc>
          <w:tcPr>
            <w:tcW w:w="1109" w:type="dxa"/>
            <w:shd w:val="clear" w:color="000000" w:fill="FFFFFF"/>
            <w:noWrap/>
            <w:vAlign w:val="bottom"/>
          </w:tcPr>
          <w:p w14:paraId="474822E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0,01</w:t>
            </w:r>
          </w:p>
        </w:tc>
        <w:tc>
          <w:tcPr>
            <w:tcW w:w="1109" w:type="dxa"/>
            <w:shd w:val="clear" w:color="000000" w:fill="FFFFFF"/>
            <w:noWrap/>
            <w:vAlign w:val="bottom"/>
          </w:tcPr>
          <w:p w14:paraId="3570848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4,52</w:t>
            </w:r>
          </w:p>
        </w:tc>
      </w:tr>
      <w:tr w:rsidR="00744544" w:rsidRPr="00A66C9F" w14:paraId="7F1E13E9" w14:textId="77777777" w:rsidTr="00107D5D">
        <w:tc>
          <w:tcPr>
            <w:tcW w:w="1928" w:type="dxa"/>
            <w:shd w:val="clear" w:color="000000" w:fill="FFFFFF"/>
            <w:noWrap/>
            <w:vAlign w:val="bottom"/>
          </w:tcPr>
          <w:p w14:paraId="6E81675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Dollar canadien</w:t>
            </w:r>
          </w:p>
        </w:tc>
        <w:tc>
          <w:tcPr>
            <w:tcW w:w="1109" w:type="dxa"/>
            <w:shd w:val="clear" w:color="000000" w:fill="FFFFFF"/>
            <w:noWrap/>
            <w:vAlign w:val="bottom"/>
          </w:tcPr>
          <w:p w14:paraId="7565683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1,56</w:t>
            </w:r>
          </w:p>
        </w:tc>
        <w:tc>
          <w:tcPr>
            <w:tcW w:w="1109" w:type="dxa"/>
            <w:shd w:val="clear" w:color="000000" w:fill="FFFFFF"/>
            <w:noWrap/>
            <w:vAlign w:val="bottom"/>
          </w:tcPr>
          <w:p w14:paraId="4E5AEAA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0,60</w:t>
            </w:r>
          </w:p>
        </w:tc>
        <w:tc>
          <w:tcPr>
            <w:tcW w:w="1109" w:type="dxa"/>
            <w:shd w:val="clear" w:color="000000" w:fill="FFFFFF"/>
            <w:noWrap/>
            <w:vAlign w:val="bottom"/>
          </w:tcPr>
          <w:p w14:paraId="10E8F43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0,24</w:t>
            </w:r>
          </w:p>
        </w:tc>
        <w:tc>
          <w:tcPr>
            <w:tcW w:w="1109" w:type="dxa"/>
            <w:shd w:val="clear" w:color="000000" w:fill="FFFFFF"/>
            <w:noWrap/>
            <w:vAlign w:val="bottom"/>
          </w:tcPr>
          <w:p w14:paraId="53ECC86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3DCFFD2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0,00</w:t>
            </w:r>
          </w:p>
        </w:tc>
        <w:tc>
          <w:tcPr>
            <w:tcW w:w="1109" w:type="dxa"/>
            <w:shd w:val="clear" w:color="000000" w:fill="FFFFFF"/>
            <w:noWrap/>
            <w:vAlign w:val="bottom"/>
          </w:tcPr>
          <w:p w14:paraId="6F2F27F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2,40</w:t>
            </w:r>
          </w:p>
        </w:tc>
      </w:tr>
      <w:tr w:rsidR="00744544" w:rsidRPr="00A66C9F" w14:paraId="5C3193F9" w14:textId="77777777" w:rsidTr="00107D5D">
        <w:tc>
          <w:tcPr>
            <w:tcW w:w="1928" w:type="dxa"/>
            <w:shd w:val="clear" w:color="000000" w:fill="FFFFFF"/>
            <w:noWrap/>
            <w:vAlign w:val="bottom"/>
          </w:tcPr>
          <w:p w14:paraId="3FEECD5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Dollar de Hong Kong</w:t>
            </w:r>
          </w:p>
        </w:tc>
        <w:tc>
          <w:tcPr>
            <w:tcW w:w="1109" w:type="dxa"/>
            <w:shd w:val="clear" w:color="000000" w:fill="FFFFFF"/>
            <w:noWrap/>
            <w:vAlign w:val="bottom"/>
          </w:tcPr>
          <w:p w14:paraId="4748CB5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2,03</w:t>
            </w:r>
          </w:p>
        </w:tc>
        <w:tc>
          <w:tcPr>
            <w:tcW w:w="1109" w:type="dxa"/>
            <w:shd w:val="clear" w:color="000000" w:fill="FFFFFF"/>
            <w:noWrap/>
            <w:vAlign w:val="bottom"/>
          </w:tcPr>
          <w:p w14:paraId="4EAD93A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74077A8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5DF5C5E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38B6BFE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0,00</w:t>
            </w:r>
          </w:p>
        </w:tc>
        <w:tc>
          <w:tcPr>
            <w:tcW w:w="1109" w:type="dxa"/>
            <w:shd w:val="clear" w:color="000000" w:fill="FFFFFF"/>
            <w:noWrap/>
            <w:vAlign w:val="bottom"/>
          </w:tcPr>
          <w:p w14:paraId="55EC101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2,03</w:t>
            </w:r>
          </w:p>
        </w:tc>
      </w:tr>
      <w:tr w:rsidR="00744544" w:rsidRPr="00A66C9F" w14:paraId="5801A6BA" w14:textId="77777777" w:rsidTr="00107D5D">
        <w:tc>
          <w:tcPr>
            <w:tcW w:w="1928" w:type="dxa"/>
            <w:shd w:val="clear" w:color="000000" w:fill="FFFFFF"/>
            <w:noWrap/>
            <w:vAlign w:val="bottom"/>
          </w:tcPr>
          <w:p w14:paraId="7506A6F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Dollar australien</w:t>
            </w:r>
          </w:p>
        </w:tc>
        <w:tc>
          <w:tcPr>
            <w:tcW w:w="1109" w:type="dxa"/>
            <w:shd w:val="clear" w:color="000000" w:fill="FFFFFF"/>
            <w:noWrap/>
            <w:vAlign w:val="bottom"/>
          </w:tcPr>
          <w:p w14:paraId="1B3F9CE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1,27</w:t>
            </w:r>
          </w:p>
        </w:tc>
        <w:tc>
          <w:tcPr>
            <w:tcW w:w="1109" w:type="dxa"/>
            <w:shd w:val="clear" w:color="000000" w:fill="FFFFFF"/>
            <w:noWrap/>
            <w:vAlign w:val="bottom"/>
          </w:tcPr>
          <w:p w14:paraId="7273480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0,26</w:t>
            </w:r>
          </w:p>
        </w:tc>
        <w:tc>
          <w:tcPr>
            <w:tcW w:w="1109" w:type="dxa"/>
            <w:shd w:val="clear" w:color="000000" w:fill="FFFFFF"/>
            <w:noWrap/>
            <w:vAlign w:val="bottom"/>
          </w:tcPr>
          <w:p w14:paraId="4B9EDC8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0,29</w:t>
            </w:r>
          </w:p>
        </w:tc>
        <w:tc>
          <w:tcPr>
            <w:tcW w:w="1109" w:type="dxa"/>
            <w:shd w:val="clear" w:color="000000" w:fill="FFFFFF"/>
            <w:noWrap/>
            <w:vAlign w:val="bottom"/>
          </w:tcPr>
          <w:p w14:paraId="28800D6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538FE04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0,01</w:t>
            </w:r>
          </w:p>
        </w:tc>
        <w:tc>
          <w:tcPr>
            <w:tcW w:w="1109" w:type="dxa"/>
            <w:shd w:val="clear" w:color="000000" w:fill="FFFFFF"/>
            <w:noWrap/>
            <w:vAlign w:val="bottom"/>
          </w:tcPr>
          <w:p w14:paraId="519B907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1,83</w:t>
            </w:r>
          </w:p>
        </w:tc>
      </w:tr>
      <w:tr w:rsidR="00744544" w:rsidRPr="00A66C9F" w14:paraId="06045461" w14:textId="77777777" w:rsidTr="00107D5D">
        <w:tc>
          <w:tcPr>
            <w:tcW w:w="1928" w:type="dxa"/>
            <w:shd w:val="clear" w:color="000000" w:fill="FFFFFF"/>
            <w:noWrap/>
            <w:vAlign w:val="bottom"/>
          </w:tcPr>
          <w:p w14:paraId="52661FA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Franc suisse</w:t>
            </w:r>
          </w:p>
        </w:tc>
        <w:tc>
          <w:tcPr>
            <w:tcW w:w="1109" w:type="dxa"/>
            <w:shd w:val="clear" w:color="000000" w:fill="FFFFFF"/>
            <w:noWrap/>
            <w:vAlign w:val="bottom"/>
          </w:tcPr>
          <w:p w14:paraId="32DA6EE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1,50</w:t>
            </w:r>
          </w:p>
        </w:tc>
        <w:tc>
          <w:tcPr>
            <w:tcW w:w="1109" w:type="dxa"/>
            <w:shd w:val="clear" w:color="000000" w:fill="FFFFFF"/>
            <w:noWrap/>
            <w:vAlign w:val="bottom"/>
          </w:tcPr>
          <w:p w14:paraId="00DDE7E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5C15EA5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4FCC2DF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670CA65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0,01</w:t>
            </w:r>
          </w:p>
        </w:tc>
        <w:tc>
          <w:tcPr>
            <w:tcW w:w="1109" w:type="dxa"/>
            <w:shd w:val="clear" w:color="000000" w:fill="FFFFFF"/>
            <w:noWrap/>
            <w:vAlign w:val="bottom"/>
          </w:tcPr>
          <w:p w14:paraId="6B570FC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1,51</w:t>
            </w:r>
          </w:p>
        </w:tc>
      </w:tr>
      <w:tr w:rsidR="00744544" w:rsidRPr="00A66C9F" w14:paraId="3F74ACE2" w14:textId="77777777" w:rsidTr="00107D5D">
        <w:tc>
          <w:tcPr>
            <w:tcW w:w="1928" w:type="dxa"/>
            <w:shd w:val="clear" w:color="000000" w:fill="FFFFFF"/>
            <w:noWrap/>
            <w:vAlign w:val="bottom"/>
          </w:tcPr>
          <w:p w14:paraId="6F25CB0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Won</w:t>
            </w:r>
          </w:p>
        </w:tc>
        <w:tc>
          <w:tcPr>
            <w:tcW w:w="1109" w:type="dxa"/>
            <w:shd w:val="clear" w:color="000000" w:fill="FFFFFF"/>
            <w:noWrap/>
            <w:vAlign w:val="bottom"/>
          </w:tcPr>
          <w:p w14:paraId="17EBAC4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0,80</w:t>
            </w:r>
          </w:p>
        </w:tc>
        <w:tc>
          <w:tcPr>
            <w:tcW w:w="1109" w:type="dxa"/>
            <w:shd w:val="clear" w:color="000000" w:fill="FFFFFF"/>
            <w:noWrap/>
            <w:vAlign w:val="bottom"/>
          </w:tcPr>
          <w:p w14:paraId="473E0C7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0,34</w:t>
            </w:r>
          </w:p>
        </w:tc>
        <w:tc>
          <w:tcPr>
            <w:tcW w:w="1109" w:type="dxa"/>
            <w:shd w:val="clear" w:color="000000" w:fill="FFFFFF"/>
            <w:noWrap/>
            <w:vAlign w:val="bottom"/>
          </w:tcPr>
          <w:p w14:paraId="3271332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3BC45E0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7757D38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7F5A1F6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1,14</w:t>
            </w:r>
          </w:p>
        </w:tc>
      </w:tr>
      <w:tr w:rsidR="00744544" w:rsidRPr="00A66C9F" w14:paraId="06AD99E9" w14:textId="77777777" w:rsidTr="00107D5D">
        <w:tc>
          <w:tcPr>
            <w:tcW w:w="1928" w:type="dxa"/>
            <w:shd w:val="clear" w:color="000000" w:fill="FFFFFF"/>
            <w:noWrap/>
            <w:vAlign w:val="bottom"/>
          </w:tcPr>
          <w:p w14:paraId="7A191F8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Couronne suédoise</w:t>
            </w:r>
          </w:p>
        </w:tc>
        <w:tc>
          <w:tcPr>
            <w:tcW w:w="1109" w:type="dxa"/>
            <w:shd w:val="clear" w:color="000000" w:fill="FFFFFF"/>
            <w:noWrap/>
            <w:vAlign w:val="bottom"/>
          </w:tcPr>
          <w:p w14:paraId="30DC996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0,47</w:t>
            </w:r>
          </w:p>
        </w:tc>
        <w:tc>
          <w:tcPr>
            <w:tcW w:w="1109" w:type="dxa"/>
            <w:shd w:val="clear" w:color="000000" w:fill="FFFFFF"/>
            <w:noWrap/>
            <w:vAlign w:val="bottom"/>
          </w:tcPr>
          <w:p w14:paraId="19F5BFF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0,14</w:t>
            </w:r>
          </w:p>
        </w:tc>
        <w:tc>
          <w:tcPr>
            <w:tcW w:w="1109" w:type="dxa"/>
            <w:shd w:val="clear" w:color="000000" w:fill="FFFFFF"/>
            <w:noWrap/>
            <w:vAlign w:val="bottom"/>
          </w:tcPr>
          <w:p w14:paraId="03D30FE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5315ACD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019590F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0,00</w:t>
            </w:r>
          </w:p>
        </w:tc>
        <w:tc>
          <w:tcPr>
            <w:tcW w:w="1109" w:type="dxa"/>
            <w:shd w:val="clear" w:color="000000" w:fill="FFFFFF"/>
            <w:noWrap/>
            <w:vAlign w:val="bottom"/>
          </w:tcPr>
          <w:p w14:paraId="61E76F8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0,61</w:t>
            </w:r>
          </w:p>
        </w:tc>
      </w:tr>
      <w:tr w:rsidR="00744544" w:rsidRPr="00A66C9F" w14:paraId="070DD0C4" w14:textId="77777777" w:rsidTr="00107D5D">
        <w:tc>
          <w:tcPr>
            <w:tcW w:w="1928" w:type="dxa"/>
            <w:shd w:val="clear" w:color="000000" w:fill="FFFFFF"/>
            <w:noWrap/>
            <w:vAlign w:val="bottom"/>
          </w:tcPr>
          <w:p w14:paraId="4CF629C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Roupie indienne</w:t>
            </w:r>
          </w:p>
        </w:tc>
        <w:tc>
          <w:tcPr>
            <w:tcW w:w="1109" w:type="dxa"/>
            <w:shd w:val="clear" w:color="000000" w:fill="FFFFFF"/>
            <w:noWrap/>
            <w:vAlign w:val="bottom"/>
          </w:tcPr>
          <w:p w14:paraId="1AACAE1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0,49</w:t>
            </w:r>
          </w:p>
        </w:tc>
        <w:tc>
          <w:tcPr>
            <w:tcW w:w="1109" w:type="dxa"/>
            <w:shd w:val="clear" w:color="000000" w:fill="FFFFFF"/>
            <w:noWrap/>
            <w:vAlign w:val="bottom"/>
          </w:tcPr>
          <w:p w14:paraId="6D9FDEE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293649D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22BC5AF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2EFA414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0,00</w:t>
            </w:r>
          </w:p>
        </w:tc>
        <w:tc>
          <w:tcPr>
            <w:tcW w:w="1109" w:type="dxa"/>
            <w:shd w:val="clear" w:color="000000" w:fill="FFFFFF"/>
            <w:noWrap/>
            <w:vAlign w:val="bottom"/>
          </w:tcPr>
          <w:p w14:paraId="51A6CCD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0,49</w:t>
            </w:r>
          </w:p>
        </w:tc>
      </w:tr>
      <w:tr w:rsidR="00744544" w:rsidRPr="00A66C9F" w14:paraId="0FC5704E" w14:textId="77777777" w:rsidTr="00107D5D">
        <w:tc>
          <w:tcPr>
            <w:tcW w:w="1928" w:type="dxa"/>
            <w:shd w:val="clear" w:color="000000" w:fill="FFFFFF"/>
            <w:noWrap/>
            <w:vAlign w:val="bottom"/>
          </w:tcPr>
          <w:p w14:paraId="380EB59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Real</w:t>
            </w:r>
          </w:p>
        </w:tc>
        <w:tc>
          <w:tcPr>
            <w:tcW w:w="1109" w:type="dxa"/>
            <w:shd w:val="clear" w:color="000000" w:fill="FFFFFF"/>
            <w:noWrap/>
            <w:vAlign w:val="bottom"/>
          </w:tcPr>
          <w:p w14:paraId="27581E4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0,38</w:t>
            </w:r>
          </w:p>
        </w:tc>
        <w:tc>
          <w:tcPr>
            <w:tcW w:w="1109" w:type="dxa"/>
            <w:shd w:val="clear" w:color="000000" w:fill="FFFFFF"/>
            <w:noWrap/>
            <w:vAlign w:val="bottom"/>
          </w:tcPr>
          <w:p w14:paraId="7A8EF9E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5A174C1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4ACF21B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074E348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0,00</w:t>
            </w:r>
          </w:p>
        </w:tc>
        <w:tc>
          <w:tcPr>
            <w:tcW w:w="1109" w:type="dxa"/>
            <w:shd w:val="clear" w:color="000000" w:fill="FFFFFF"/>
            <w:noWrap/>
            <w:vAlign w:val="bottom"/>
          </w:tcPr>
          <w:p w14:paraId="5E41722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0,38</w:t>
            </w:r>
          </w:p>
        </w:tc>
      </w:tr>
      <w:tr w:rsidR="00744544" w:rsidRPr="00A66C9F" w14:paraId="3398ABFB" w14:textId="77777777" w:rsidTr="00107D5D">
        <w:tc>
          <w:tcPr>
            <w:tcW w:w="1928" w:type="dxa"/>
            <w:shd w:val="clear" w:color="000000" w:fill="FFFFFF"/>
            <w:noWrap/>
            <w:vAlign w:val="bottom"/>
          </w:tcPr>
          <w:p w14:paraId="247218E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Rand</w:t>
            </w:r>
          </w:p>
        </w:tc>
        <w:tc>
          <w:tcPr>
            <w:tcW w:w="1109" w:type="dxa"/>
            <w:shd w:val="clear" w:color="000000" w:fill="FFFFFF"/>
            <w:noWrap/>
            <w:vAlign w:val="bottom"/>
          </w:tcPr>
          <w:p w14:paraId="48325B7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0,35</w:t>
            </w:r>
          </w:p>
        </w:tc>
        <w:tc>
          <w:tcPr>
            <w:tcW w:w="1109" w:type="dxa"/>
            <w:shd w:val="clear" w:color="000000" w:fill="FFFFFF"/>
            <w:noWrap/>
            <w:vAlign w:val="bottom"/>
          </w:tcPr>
          <w:p w14:paraId="4EEACBC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20976C7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6C28609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640ED23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0,00</w:t>
            </w:r>
          </w:p>
        </w:tc>
        <w:tc>
          <w:tcPr>
            <w:tcW w:w="1109" w:type="dxa"/>
            <w:shd w:val="clear" w:color="000000" w:fill="FFFFFF"/>
            <w:noWrap/>
            <w:vAlign w:val="bottom"/>
          </w:tcPr>
          <w:p w14:paraId="27A3023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0,35</w:t>
            </w:r>
          </w:p>
        </w:tc>
      </w:tr>
      <w:tr w:rsidR="00744544" w:rsidRPr="00A66C9F" w14:paraId="428D2611" w14:textId="77777777" w:rsidTr="00107D5D">
        <w:tc>
          <w:tcPr>
            <w:tcW w:w="1928" w:type="dxa"/>
            <w:shd w:val="clear" w:color="000000" w:fill="FFFFFF"/>
            <w:noWrap/>
            <w:vAlign w:val="bottom"/>
          </w:tcPr>
          <w:p w14:paraId="030A984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Dollar singapourien</w:t>
            </w:r>
          </w:p>
        </w:tc>
        <w:tc>
          <w:tcPr>
            <w:tcW w:w="1109" w:type="dxa"/>
            <w:shd w:val="clear" w:color="000000" w:fill="FFFFFF"/>
            <w:noWrap/>
            <w:vAlign w:val="bottom"/>
          </w:tcPr>
          <w:p w14:paraId="488071F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0,24</w:t>
            </w:r>
          </w:p>
        </w:tc>
        <w:tc>
          <w:tcPr>
            <w:tcW w:w="1109" w:type="dxa"/>
            <w:shd w:val="clear" w:color="000000" w:fill="FFFFFF"/>
            <w:noWrap/>
            <w:vAlign w:val="bottom"/>
          </w:tcPr>
          <w:p w14:paraId="02A12E5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0,08</w:t>
            </w:r>
          </w:p>
        </w:tc>
        <w:tc>
          <w:tcPr>
            <w:tcW w:w="1109" w:type="dxa"/>
            <w:shd w:val="clear" w:color="000000" w:fill="FFFFFF"/>
            <w:noWrap/>
            <w:vAlign w:val="bottom"/>
          </w:tcPr>
          <w:p w14:paraId="7C7A56C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7C60E8F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2CD62B4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0,00</w:t>
            </w:r>
          </w:p>
        </w:tc>
        <w:tc>
          <w:tcPr>
            <w:tcW w:w="1109" w:type="dxa"/>
            <w:shd w:val="clear" w:color="000000" w:fill="FFFFFF"/>
            <w:noWrap/>
            <w:vAlign w:val="bottom"/>
          </w:tcPr>
          <w:p w14:paraId="2F4699F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0,32</w:t>
            </w:r>
          </w:p>
        </w:tc>
      </w:tr>
      <w:tr w:rsidR="00744544" w:rsidRPr="00A66C9F" w14:paraId="79EC82A9" w14:textId="77777777" w:rsidTr="00107D5D">
        <w:tc>
          <w:tcPr>
            <w:tcW w:w="1928" w:type="dxa"/>
            <w:shd w:val="clear" w:color="000000" w:fill="FFFFFF"/>
            <w:noWrap/>
            <w:vAlign w:val="bottom"/>
          </w:tcPr>
          <w:p w14:paraId="3BFA40C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Couronne danoise</w:t>
            </w:r>
          </w:p>
        </w:tc>
        <w:tc>
          <w:tcPr>
            <w:tcW w:w="1109" w:type="dxa"/>
            <w:shd w:val="clear" w:color="000000" w:fill="FFFFFF"/>
            <w:noWrap/>
            <w:vAlign w:val="bottom"/>
          </w:tcPr>
          <w:p w14:paraId="0A92F92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0,25</w:t>
            </w:r>
          </w:p>
        </w:tc>
        <w:tc>
          <w:tcPr>
            <w:tcW w:w="1109" w:type="dxa"/>
            <w:shd w:val="clear" w:color="000000" w:fill="FFFFFF"/>
            <w:noWrap/>
            <w:vAlign w:val="bottom"/>
          </w:tcPr>
          <w:p w14:paraId="436CA96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3AACA22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0BD566B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14D17AC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0,00</w:t>
            </w:r>
          </w:p>
        </w:tc>
        <w:tc>
          <w:tcPr>
            <w:tcW w:w="1109" w:type="dxa"/>
            <w:shd w:val="clear" w:color="000000" w:fill="FFFFFF"/>
            <w:noWrap/>
            <w:vAlign w:val="bottom"/>
          </w:tcPr>
          <w:p w14:paraId="4360F6E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0,25</w:t>
            </w:r>
          </w:p>
        </w:tc>
      </w:tr>
      <w:tr w:rsidR="00744544" w:rsidRPr="00A66C9F" w14:paraId="2C31B49F" w14:textId="77777777" w:rsidTr="00107D5D">
        <w:tc>
          <w:tcPr>
            <w:tcW w:w="1928" w:type="dxa"/>
            <w:shd w:val="clear" w:color="000000" w:fill="FFFFFF"/>
            <w:noWrap/>
            <w:vAlign w:val="bottom"/>
          </w:tcPr>
          <w:p w14:paraId="015D749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Couronne norvégienne</w:t>
            </w:r>
          </w:p>
        </w:tc>
        <w:tc>
          <w:tcPr>
            <w:tcW w:w="1109" w:type="dxa"/>
            <w:shd w:val="clear" w:color="000000" w:fill="FFFFFF"/>
            <w:noWrap/>
            <w:vAlign w:val="bottom"/>
          </w:tcPr>
          <w:p w14:paraId="794DE38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0,05</w:t>
            </w:r>
          </w:p>
        </w:tc>
        <w:tc>
          <w:tcPr>
            <w:tcW w:w="1109" w:type="dxa"/>
            <w:shd w:val="clear" w:color="000000" w:fill="FFFFFF"/>
            <w:noWrap/>
            <w:vAlign w:val="bottom"/>
          </w:tcPr>
          <w:p w14:paraId="3C1E676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0,18</w:t>
            </w:r>
          </w:p>
        </w:tc>
        <w:tc>
          <w:tcPr>
            <w:tcW w:w="1109" w:type="dxa"/>
            <w:shd w:val="clear" w:color="000000" w:fill="FFFFFF"/>
            <w:noWrap/>
            <w:vAlign w:val="bottom"/>
          </w:tcPr>
          <w:p w14:paraId="7571594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187B76A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5383A76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0,00</w:t>
            </w:r>
          </w:p>
        </w:tc>
        <w:tc>
          <w:tcPr>
            <w:tcW w:w="1109" w:type="dxa"/>
            <w:shd w:val="clear" w:color="000000" w:fill="FFFFFF"/>
            <w:noWrap/>
            <w:vAlign w:val="bottom"/>
          </w:tcPr>
          <w:p w14:paraId="7CBAFAB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0,23</w:t>
            </w:r>
          </w:p>
        </w:tc>
      </w:tr>
      <w:tr w:rsidR="00744544" w:rsidRPr="00A66C9F" w14:paraId="57FA6B30" w14:textId="77777777" w:rsidTr="00107D5D">
        <w:tc>
          <w:tcPr>
            <w:tcW w:w="1928" w:type="dxa"/>
            <w:shd w:val="clear" w:color="000000" w:fill="FFFFFF"/>
            <w:noWrap/>
            <w:vAlign w:val="bottom"/>
          </w:tcPr>
          <w:p w14:paraId="09EB05C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lastRenderedPageBreak/>
              <w:t>Peso mexicain</w:t>
            </w:r>
          </w:p>
        </w:tc>
        <w:tc>
          <w:tcPr>
            <w:tcW w:w="1109" w:type="dxa"/>
            <w:shd w:val="clear" w:color="000000" w:fill="FFFFFF"/>
            <w:noWrap/>
            <w:vAlign w:val="bottom"/>
          </w:tcPr>
          <w:p w14:paraId="1848E70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0,19</w:t>
            </w:r>
          </w:p>
        </w:tc>
        <w:tc>
          <w:tcPr>
            <w:tcW w:w="1109" w:type="dxa"/>
            <w:shd w:val="clear" w:color="000000" w:fill="FFFFFF"/>
            <w:noWrap/>
            <w:vAlign w:val="bottom"/>
          </w:tcPr>
          <w:p w14:paraId="3FD4B61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0,02</w:t>
            </w:r>
          </w:p>
        </w:tc>
        <w:tc>
          <w:tcPr>
            <w:tcW w:w="1109" w:type="dxa"/>
            <w:shd w:val="clear" w:color="000000" w:fill="FFFFFF"/>
            <w:noWrap/>
            <w:vAlign w:val="bottom"/>
          </w:tcPr>
          <w:p w14:paraId="5E59639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264DB72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0E770D5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0,01</w:t>
            </w:r>
          </w:p>
        </w:tc>
        <w:tc>
          <w:tcPr>
            <w:tcW w:w="1109" w:type="dxa"/>
            <w:shd w:val="clear" w:color="000000" w:fill="FFFFFF"/>
            <w:noWrap/>
            <w:vAlign w:val="bottom"/>
          </w:tcPr>
          <w:p w14:paraId="084847E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0,22</w:t>
            </w:r>
          </w:p>
        </w:tc>
      </w:tr>
      <w:tr w:rsidR="00744544" w:rsidRPr="00A66C9F" w14:paraId="191951F9" w14:textId="77777777" w:rsidTr="00107D5D">
        <w:tc>
          <w:tcPr>
            <w:tcW w:w="1928" w:type="dxa"/>
            <w:shd w:val="clear" w:color="000000" w:fill="FFFFFF"/>
            <w:noWrap/>
            <w:vAlign w:val="bottom"/>
          </w:tcPr>
          <w:p w14:paraId="3CEEF23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Ringgit</w:t>
            </w:r>
          </w:p>
        </w:tc>
        <w:tc>
          <w:tcPr>
            <w:tcW w:w="1109" w:type="dxa"/>
            <w:shd w:val="clear" w:color="000000" w:fill="FFFFFF"/>
            <w:noWrap/>
            <w:vAlign w:val="bottom"/>
          </w:tcPr>
          <w:p w14:paraId="35CF29C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0,12</w:t>
            </w:r>
          </w:p>
        </w:tc>
        <w:tc>
          <w:tcPr>
            <w:tcW w:w="1109" w:type="dxa"/>
            <w:shd w:val="clear" w:color="000000" w:fill="FFFFFF"/>
            <w:noWrap/>
            <w:vAlign w:val="bottom"/>
          </w:tcPr>
          <w:p w14:paraId="6781C20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0,05</w:t>
            </w:r>
          </w:p>
        </w:tc>
        <w:tc>
          <w:tcPr>
            <w:tcW w:w="1109" w:type="dxa"/>
            <w:shd w:val="clear" w:color="000000" w:fill="FFFFFF"/>
            <w:noWrap/>
            <w:vAlign w:val="bottom"/>
          </w:tcPr>
          <w:p w14:paraId="77FD7C7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529D50C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7830B0E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7EFF096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0,17</w:t>
            </w:r>
          </w:p>
        </w:tc>
      </w:tr>
      <w:tr w:rsidR="00744544" w:rsidRPr="00A66C9F" w14:paraId="57C36700" w14:textId="77777777" w:rsidTr="00107D5D">
        <w:tc>
          <w:tcPr>
            <w:tcW w:w="1928" w:type="dxa"/>
            <w:shd w:val="clear" w:color="000000" w:fill="FFFFFF"/>
            <w:noWrap/>
            <w:vAlign w:val="bottom"/>
          </w:tcPr>
          <w:p w14:paraId="7B6A79E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Dollar néo-zélandais</w:t>
            </w:r>
          </w:p>
        </w:tc>
        <w:tc>
          <w:tcPr>
            <w:tcW w:w="1109" w:type="dxa"/>
            <w:shd w:val="clear" w:color="000000" w:fill="FFFFFF"/>
            <w:noWrap/>
            <w:vAlign w:val="bottom"/>
          </w:tcPr>
          <w:p w14:paraId="3ED442F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0,01</w:t>
            </w:r>
          </w:p>
        </w:tc>
        <w:tc>
          <w:tcPr>
            <w:tcW w:w="1109" w:type="dxa"/>
            <w:shd w:val="clear" w:color="000000" w:fill="FFFFFF"/>
            <w:noWrap/>
            <w:vAlign w:val="bottom"/>
          </w:tcPr>
          <w:p w14:paraId="701A4E8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0,11</w:t>
            </w:r>
          </w:p>
        </w:tc>
        <w:tc>
          <w:tcPr>
            <w:tcW w:w="1109" w:type="dxa"/>
            <w:shd w:val="clear" w:color="000000" w:fill="FFFFFF"/>
            <w:noWrap/>
            <w:vAlign w:val="bottom"/>
          </w:tcPr>
          <w:p w14:paraId="3C44805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2AFC730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31D5C33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0,00</w:t>
            </w:r>
          </w:p>
        </w:tc>
        <w:tc>
          <w:tcPr>
            <w:tcW w:w="1109" w:type="dxa"/>
            <w:shd w:val="clear" w:color="000000" w:fill="FFFFFF"/>
            <w:noWrap/>
            <w:vAlign w:val="bottom"/>
          </w:tcPr>
          <w:p w14:paraId="70ADD4A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0,12</w:t>
            </w:r>
          </w:p>
        </w:tc>
      </w:tr>
      <w:tr w:rsidR="00744544" w:rsidRPr="00A66C9F" w14:paraId="47D480DB" w14:textId="77777777" w:rsidTr="00107D5D">
        <w:tc>
          <w:tcPr>
            <w:tcW w:w="1928" w:type="dxa"/>
            <w:shd w:val="clear" w:color="000000" w:fill="FFFFFF"/>
            <w:noWrap/>
            <w:vAlign w:val="bottom"/>
          </w:tcPr>
          <w:p w14:paraId="7E53598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Baht</w:t>
            </w:r>
          </w:p>
        </w:tc>
        <w:tc>
          <w:tcPr>
            <w:tcW w:w="1109" w:type="dxa"/>
            <w:shd w:val="clear" w:color="000000" w:fill="FFFFFF"/>
            <w:noWrap/>
            <w:vAlign w:val="bottom"/>
          </w:tcPr>
          <w:p w14:paraId="5E9E1A1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725B7EA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0,08</w:t>
            </w:r>
          </w:p>
        </w:tc>
        <w:tc>
          <w:tcPr>
            <w:tcW w:w="1109" w:type="dxa"/>
            <w:shd w:val="clear" w:color="000000" w:fill="FFFFFF"/>
            <w:noWrap/>
            <w:vAlign w:val="bottom"/>
          </w:tcPr>
          <w:p w14:paraId="3B16C38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735708F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6D01165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0,00</w:t>
            </w:r>
          </w:p>
        </w:tc>
        <w:tc>
          <w:tcPr>
            <w:tcW w:w="1109" w:type="dxa"/>
            <w:shd w:val="clear" w:color="000000" w:fill="FFFFFF"/>
            <w:noWrap/>
            <w:vAlign w:val="bottom"/>
          </w:tcPr>
          <w:p w14:paraId="5DC41E8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0,08</w:t>
            </w:r>
          </w:p>
        </w:tc>
      </w:tr>
      <w:tr w:rsidR="00744544" w:rsidRPr="00A66C9F" w14:paraId="35713B13" w14:textId="77777777" w:rsidTr="00107D5D">
        <w:tc>
          <w:tcPr>
            <w:tcW w:w="1928" w:type="dxa"/>
            <w:shd w:val="clear" w:color="000000" w:fill="FFFFFF"/>
            <w:noWrap/>
            <w:vAlign w:val="bottom"/>
          </w:tcPr>
          <w:p w14:paraId="3E601A8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Couronne tchèque</w:t>
            </w:r>
          </w:p>
        </w:tc>
        <w:tc>
          <w:tcPr>
            <w:tcW w:w="1109" w:type="dxa"/>
            <w:shd w:val="clear" w:color="000000" w:fill="FFFFFF"/>
            <w:noWrap/>
            <w:vAlign w:val="bottom"/>
          </w:tcPr>
          <w:p w14:paraId="07E6F6D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4297DC9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0,08</w:t>
            </w:r>
          </w:p>
        </w:tc>
        <w:tc>
          <w:tcPr>
            <w:tcW w:w="1109" w:type="dxa"/>
            <w:shd w:val="clear" w:color="000000" w:fill="FFFFFF"/>
            <w:noWrap/>
            <w:vAlign w:val="bottom"/>
          </w:tcPr>
          <w:p w14:paraId="56F546F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1AB07CF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7FB63C7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0D3B427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0,08</w:t>
            </w:r>
          </w:p>
        </w:tc>
      </w:tr>
      <w:tr w:rsidR="00744544" w:rsidRPr="00A66C9F" w14:paraId="3505D9BC" w14:textId="77777777" w:rsidTr="00107D5D">
        <w:tc>
          <w:tcPr>
            <w:tcW w:w="1928" w:type="dxa"/>
            <w:shd w:val="clear" w:color="000000" w:fill="FFFFFF"/>
            <w:noWrap/>
            <w:vAlign w:val="bottom"/>
          </w:tcPr>
          <w:p w14:paraId="53F4270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Peso philippin</w:t>
            </w:r>
          </w:p>
        </w:tc>
        <w:tc>
          <w:tcPr>
            <w:tcW w:w="1109" w:type="dxa"/>
            <w:shd w:val="clear" w:color="000000" w:fill="FFFFFF"/>
            <w:noWrap/>
            <w:vAlign w:val="bottom"/>
          </w:tcPr>
          <w:p w14:paraId="588B5E8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0,07</w:t>
            </w:r>
          </w:p>
        </w:tc>
        <w:tc>
          <w:tcPr>
            <w:tcW w:w="1109" w:type="dxa"/>
            <w:shd w:val="clear" w:color="000000" w:fill="FFFFFF"/>
            <w:noWrap/>
            <w:vAlign w:val="bottom"/>
          </w:tcPr>
          <w:p w14:paraId="75B5AF4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561292B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2193081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20AA282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3AD268A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0,07</w:t>
            </w:r>
          </w:p>
        </w:tc>
      </w:tr>
      <w:tr w:rsidR="00744544" w:rsidRPr="00A66C9F" w14:paraId="6668EF2B" w14:textId="77777777" w:rsidTr="00107D5D">
        <w:tc>
          <w:tcPr>
            <w:tcW w:w="1928" w:type="dxa"/>
            <w:shd w:val="clear" w:color="000000" w:fill="FFFFFF"/>
            <w:noWrap/>
            <w:vAlign w:val="bottom"/>
          </w:tcPr>
          <w:p w14:paraId="3C7EDFE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Zloty</w:t>
            </w:r>
          </w:p>
        </w:tc>
        <w:tc>
          <w:tcPr>
            <w:tcW w:w="1109" w:type="dxa"/>
            <w:shd w:val="clear" w:color="000000" w:fill="FFFFFF"/>
            <w:noWrap/>
            <w:vAlign w:val="bottom"/>
          </w:tcPr>
          <w:p w14:paraId="6A61971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3CEEEB5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0,07</w:t>
            </w:r>
          </w:p>
        </w:tc>
        <w:tc>
          <w:tcPr>
            <w:tcW w:w="1109" w:type="dxa"/>
            <w:shd w:val="clear" w:color="000000" w:fill="FFFFFF"/>
            <w:noWrap/>
            <w:vAlign w:val="bottom"/>
          </w:tcPr>
          <w:p w14:paraId="34C7E84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742622E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7615426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28A1E8B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0,07</w:t>
            </w:r>
          </w:p>
        </w:tc>
      </w:tr>
      <w:tr w:rsidR="00744544" w:rsidRPr="00A66C9F" w14:paraId="2C41DB68" w14:textId="77777777" w:rsidTr="00107D5D">
        <w:tc>
          <w:tcPr>
            <w:tcW w:w="1928" w:type="dxa"/>
            <w:shd w:val="clear" w:color="000000" w:fill="FFFFFF"/>
            <w:noWrap/>
            <w:vAlign w:val="bottom"/>
          </w:tcPr>
          <w:p w14:paraId="62AC442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Peso chilien</w:t>
            </w:r>
          </w:p>
        </w:tc>
        <w:tc>
          <w:tcPr>
            <w:tcW w:w="1109" w:type="dxa"/>
            <w:shd w:val="clear" w:color="000000" w:fill="FFFFFF"/>
            <w:noWrap/>
            <w:vAlign w:val="bottom"/>
          </w:tcPr>
          <w:p w14:paraId="05BF457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15D9A48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0,06</w:t>
            </w:r>
          </w:p>
        </w:tc>
        <w:tc>
          <w:tcPr>
            <w:tcW w:w="1109" w:type="dxa"/>
            <w:shd w:val="clear" w:color="000000" w:fill="FFFFFF"/>
            <w:noWrap/>
            <w:vAlign w:val="bottom"/>
          </w:tcPr>
          <w:p w14:paraId="598999E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0EE1D1A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0834463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0,00</w:t>
            </w:r>
          </w:p>
        </w:tc>
        <w:tc>
          <w:tcPr>
            <w:tcW w:w="1109" w:type="dxa"/>
            <w:shd w:val="clear" w:color="000000" w:fill="FFFFFF"/>
            <w:noWrap/>
            <w:vAlign w:val="bottom"/>
          </w:tcPr>
          <w:p w14:paraId="58756F7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0,06</w:t>
            </w:r>
          </w:p>
        </w:tc>
      </w:tr>
      <w:tr w:rsidR="00744544" w:rsidRPr="00A66C9F" w14:paraId="0F572C58" w14:textId="77777777" w:rsidTr="00107D5D">
        <w:tc>
          <w:tcPr>
            <w:tcW w:w="1928" w:type="dxa"/>
            <w:shd w:val="clear" w:color="000000" w:fill="FFFFFF"/>
            <w:noWrap/>
            <w:vAlign w:val="bottom"/>
          </w:tcPr>
          <w:p w14:paraId="758B00F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Livre turque</w:t>
            </w:r>
          </w:p>
        </w:tc>
        <w:tc>
          <w:tcPr>
            <w:tcW w:w="1109" w:type="dxa"/>
            <w:shd w:val="clear" w:color="000000" w:fill="FFFFFF"/>
            <w:noWrap/>
            <w:vAlign w:val="bottom"/>
          </w:tcPr>
          <w:p w14:paraId="70B0076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0,06</w:t>
            </w:r>
          </w:p>
        </w:tc>
        <w:tc>
          <w:tcPr>
            <w:tcW w:w="1109" w:type="dxa"/>
            <w:shd w:val="clear" w:color="000000" w:fill="FFFFFF"/>
            <w:noWrap/>
            <w:vAlign w:val="bottom"/>
          </w:tcPr>
          <w:p w14:paraId="2C19AD6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701E02E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4A6385B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670D466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0,00</w:t>
            </w:r>
          </w:p>
        </w:tc>
        <w:tc>
          <w:tcPr>
            <w:tcW w:w="1109" w:type="dxa"/>
            <w:shd w:val="clear" w:color="000000" w:fill="FFFFFF"/>
            <w:noWrap/>
            <w:vAlign w:val="bottom"/>
          </w:tcPr>
          <w:p w14:paraId="0352822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0,06</w:t>
            </w:r>
          </w:p>
        </w:tc>
      </w:tr>
      <w:tr w:rsidR="00744544" w:rsidRPr="00A66C9F" w14:paraId="37CC2241" w14:textId="77777777" w:rsidTr="00107D5D">
        <w:tc>
          <w:tcPr>
            <w:tcW w:w="1928" w:type="dxa"/>
            <w:shd w:val="clear" w:color="000000" w:fill="FFFFFF"/>
            <w:noWrap/>
            <w:vAlign w:val="bottom"/>
          </w:tcPr>
          <w:p w14:paraId="1E4CE53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Forint</w:t>
            </w:r>
          </w:p>
        </w:tc>
        <w:tc>
          <w:tcPr>
            <w:tcW w:w="1109" w:type="dxa"/>
            <w:shd w:val="clear" w:color="000000" w:fill="FFFFFF"/>
            <w:noWrap/>
            <w:vAlign w:val="bottom"/>
          </w:tcPr>
          <w:p w14:paraId="0702572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7FD5794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0,03</w:t>
            </w:r>
          </w:p>
        </w:tc>
        <w:tc>
          <w:tcPr>
            <w:tcW w:w="1109" w:type="dxa"/>
            <w:shd w:val="clear" w:color="000000" w:fill="FFFFFF"/>
            <w:noWrap/>
            <w:vAlign w:val="bottom"/>
          </w:tcPr>
          <w:p w14:paraId="3B99C4E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15228E6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69BEEF9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5CFB828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0,03</w:t>
            </w:r>
          </w:p>
        </w:tc>
      </w:tr>
      <w:tr w:rsidR="00744544" w:rsidRPr="00A66C9F" w14:paraId="552ACC87" w14:textId="77777777" w:rsidTr="00107D5D">
        <w:tc>
          <w:tcPr>
            <w:tcW w:w="1928" w:type="dxa"/>
            <w:shd w:val="clear" w:color="000000" w:fill="FFFFFF"/>
            <w:noWrap/>
            <w:vAlign w:val="bottom"/>
          </w:tcPr>
          <w:p w14:paraId="2D4AF8F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Rouble</w:t>
            </w:r>
          </w:p>
        </w:tc>
        <w:tc>
          <w:tcPr>
            <w:tcW w:w="1109" w:type="dxa"/>
            <w:shd w:val="clear" w:color="000000" w:fill="FFFFFF"/>
            <w:noWrap/>
            <w:vAlign w:val="bottom"/>
          </w:tcPr>
          <w:p w14:paraId="303D33E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36FC220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0,01</w:t>
            </w:r>
          </w:p>
        </w:tc>
        <w:tc>
          <w:tcPr>
            <w:tcW w:w="1109" w:type="dxa"/>
            <w:shd w:val="clear" w:color="000000" w:fill="FFFFFF"/>
            <w:noWrap/>
            <w:vAlign w:val="bottom"/>
          </w:tcPr>
          <w:p w14:paraId="01B1E72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20FD3B4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2DD8D00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71B2030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0,01</w:t>
            </w:r>
          </w:p>
        </w:tc>
      </w:tr>
      <w:tr w:rsidR="00744544" w:rsidRPr="00A66C9F" w14:paraId="776737DE" w14:textId="77777777" w:rsidTr="00107D5D">
        <w:tc>
          <w:tcPr>
            <w:tcW w:w="1928" w:type="dxa"/>
            <w:shd w:val="clear" w:color="000000" w:fill="FFFFFF"/>
            <w:noWrap/>
            <w:vAlign w:val="bottom"/>
          </w:tcPr>
          <w:p w14:paraId="65F53EA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Roupie pakistanaise</w:t>
            </w:r>
          </w:p>
        </w:tc>
        <w:tc>
          <w:tcPr>
            <w:tcW w:w="1109" w:type="dxa"/>
            <w:shd w:val="clear" w:color="000000" w:fill="FFFFFF"/>
            <w:noWrap/>
            <w:vAlign w:val="bottom"/>
          </w:tcPr>
          <w:p w14:paraId="0C7207F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0DA8E43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2347655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0506F11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09" w:type="dxa"/>
            <w:shd w:val="clear" w:color="000000" w:fill="FFFFFF"/>
            <w:noWrap/>
            <w:vAlign w:val="bottom"/>
          </w:tcPr>
          <w:p w14:paraId="765C450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0,00</w:t>
            </w:r>
          </w:p>
        </w:tc>
        <w:tc>
          <w:tcPr>
            <w:tcW w:w="1109" w:type="dxa"/>
            <w:shd w:val="clear" w:color="000000" w:fill="FFFFFF"/>
            <w:noWrap/>
            <w:vAlign w:val="bottom"/>
          </w:tcPr>
          <w:p w14:paraId="4CD08AB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0,00</w:t>
            </w:r>
          </w:p>
        </w:tc>
      </w:tr>
      <w:tr w:rsidR="00744544" w:rsidRPr="00A66C9F" w14:paraId="3D280BFB" w14:textId="77777777" w:rsidTr="00107D5D">
        <w:tc>
          <w:tcPr>
            <w:tcW w:w="1928" w:type="dxa"/>
            <w:tcBorders>
              <w:bottom w:val="single" w:sz="4" w:space="0" w:color="auto"/>
            </w:tcBorders>
            <w:shd w:val="clear" w:color="000000" w:fill="FFFFFF"/>
            <w:noWrap/>
            <w:vAlign w:val="bottom"/>
          </w:tcPr>
          <w:p w14:paraId="4DD73D3A" w14:textId="77777777" w:rsidR="00744544" w:rsidRPr="00A66C9F" w:rsidRDefault="00744544" w:rsidP="00107D5D">
            <w:pPr>
              <w:tabs>
                <w:tab w:val="left" w:pos="288"/>
                <w:tab w:val="left" w:pos="576"/>
                <w:tab w:val="left" w:pos="864"/>
                <w:tab w:val="left" w:pos="1152"/>
              </w:tabs>
              <w:suppressAutoHyphens/>
              <w:spacing w:before="40" w:after="81" w:line="210" w:lineRule="exact"/>
              <w:ind w:right="40"/>
              <w:rPr>
                <w:sz w:val="17"/>
                <w:lang w:val="fr-FR"/>
              </w:rPr>
            </w:pPr>
            <w:r w:rsidRPr="00A66C9F">
              <w:rPr>
                <w:sz w:val="17"/>
                <w:lang w:val="fr-FR"/>
              </w:rPr>
              <w:t>Franc CFA</w:t>
            </w:r>
          </w:p>
        </w:tc>
        <w:tc>
          <w:tcPr>
            <w:tcW w:w="1109" w:type="dxa"/>
            <w:tcBorders>
              <w:bottom w:val="single" w:sz="4" w:space="0" w:color="auto"/>
            </w:tcBorders>
            <w:shd w:val="clear" w:color="000000" w:fill="FFFFFF"/>
            <w:noWrap/>
            <w:vAlign w:val="bottom"/>
          </w:tcPr>
          <w:p w14:paraId="5554C465"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w:t>
            </w:r>
          </w:p>
        </w:tc>
        <w:tc>
          <w:tcPr>
            <w:tcW w:w="1109" w:type="dxa"/>
            <w:tcBorders>
              <w:bottom w:val="single" w:sz="4" w:space="0" w:color="auto"/>
            </w:tcBorders>
            <w:shd w:val="clear" w:color="000000" w:fill="FFFFFF"/>
            <w:noWrap/>
            <w:vAlign w:val="bottom"/>
          </w:tcPr>
          <w:p w14:paraId="2FFF26DE"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w:t>
            </w:r>
          </w:p>
        </w:tc>
        <w:tc>
          <w:tcPr>
            <w:tcW w:w="1109" w:type="dxa"/>
            <w:tcBorders>
              <w:bottom w:val="single" w:sz="4" w:space="0" w:color="auto"/>
            </w:tcBorders>
            <w:shd w:val="clear" w:color="000000" w:fill="FFFFFF"/>
            <w:noWrap/>
            <w:vAlign w:val="bottom"/>
          </w:tcPr>
          <w:p w14:paraId="6A82D3C2"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w:t>
            </w:r>
          </w:p>
        </w:tc>
        <w:tc>
          <w:tcPr>
            <w:tcW w:w="1109" w:type="dxa"/>
            <w:tcBorders>
              <w:bottom w:val="single" w:sz="4" w:space="0" w:color="auto"/>
            </w:tcBorders>
            <w:shd w:val="clear" w:color="000000" w:fill="FFFFFF"/>
            <w:noWrap/>
            <w:vAlign w:val="bottom"/>
          </w:tcPr>
          <w:p w14:paraId="3802B3C3"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w:t>
            </w:r>
          </w:p>
        </w:tc>
        <w:tc>
          <w:tcPr>
            <w:tcW w:w="1109" w:type="dxa"/>
            <w:tcBorders>
              <w:bottom w:val="single" w:sz="4" w:space="0" w:color="auto"/>
            </w:tcBorders>
            <w:shd w:val="clear" w:color="000000" w:fill="FFFFFF"/>
            <w:noWrap/>
            <w:vAlign w:val="bottom"/>
          </w:tcPr>
          <w:p w14:paraId="5AB70419"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0,00</w:t>
            </w:r>
          </w:p>
        </w:tc>
        <w:tc>
          <w:tcPr>
            <w:tcW w:w="1109" w:type="dxa"/>
            <w:tcBorders>
              <w:bottom w:val="single" w:sz="4" w:space="0" w:color="auto"/>
            </w:tcBorders>
            <w:shd w:val="clear" w:color="000000" w:fill="FFFFFF"/>
            <w:noWrap/>
            <w:vAlign w:val="bottom"/>
          </w:tcPr>
          <w:p w14:paraId="3A251F21"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0,00</w:t>
            </w:r>
          </w:p>
        </w:tc>
      </w:tr>
      <w:tr w:rsidR="00744544" w:rsidRPr="00A66C9F" w14:paraId="69F52BA3" w14:textId="77777777" w:rsidTr="00107D5D">
        <w:tc>
          <w:tcPr>
            <w:tcW w:w="1928" w:type="dxa"/>
            <w:tcBorders>
              <w:top w:val="single" w:sz="4" w:space="0" w:color="auto"/>
              <w:bottom w:val="single" w:sz="12" w:space="0" w:color="auto"/>
            </w:tcBorders>
            <w:shd w:val="clear" w:color="000000" w:fill="FFFFFF"/>
            <w:noWrap/>
            <w:vAlign w:val="bottom"/>
          </w:tcPr>
          <w:p w14:paraId="4460719A" w14:textId="77777777" w:rsidR="00744544" w:rsidRPr="00A66C9F" w:rsidRDefault="00744544" w:rsidP="00107D5D">
            <w:pPr>
              <w:tabs>
                <w:tab w:val="left" w:pos="288"/>
                <w:tab w:val="left" w:pos="576"/>
                <w:tab w:val="left" w:pos="864"/>
                <w:tab w:val="left" w:pos="1152"/>
              </w:tabs>
              <w:suppressAutoHyphens/>
              <w:spacing w:before="81" w:after="81" w:line="210" w:lineRule="exact"/>
              <w:ind w:right="40"/>
              <w:rPr>
                <w:b/>
                <w:sz w:val="17"/>
                <w:lang w:val="fr-FR"/>
              </w:rPr>
            </w:pPr>
            <w:r w:rsidRPr="00A66C9F">
              <w:rPr>
                <w:b/>
                <w:sz w:val="17"/>
                <w:lang w:val="fr-FR"/>
              </w:rPr>
              <w:tab/>
              <w:t>Total</w:t>
            </w:r>
          </w:p>
        </w:tc>
        <w:tc>
          <w:tcPr>
            <w:tcW w:w="1109" w:type="dxa"/>
            <w:tcBorders>
              <w:top w:val="single" w:sz="4" w:space="0" w:color="auto"/>
              <w:bottom w:val="single" w:sz="12" w:space="0" w:color="auto"/>
            </w:tcBorders>
            <w:shd w:val="clear" w:color="000000" w:fill="FFFFFF"/>
            <w:noWrap/>
            <w:vAlign w:val="bottom"/>
          </w:tcPr>
          <w:p w14:paraId="42F2FD7B"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56,51</w:t>
            </w:r>
          </w:p>
        </w:tc>
        <w:tc>
          <w:tcPr>
            <w:tcW w:w="1109" w:type="dxa"/>
            <w:tcBorders>
              <w:top w:val="single" w:sz="4" w:space="0" w:color="auto"/>
              <w:bottom w:val="single" w:sz="12" w:space="0" w:color="auto"/>
            </w:tcBorders>
            <w:shd w:val="clear" w:color="000000" w:fill="FFFFFF"/>
            <w:noWrap/>
            <w:vAlign w:val="bottom"/>
          </w:tcPr>
          <w:p w14:paraId="7EF33E08"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30,92</w:t>
            </w:r>
          </w:p>
        </w:tc>
        <w:tc>
          <w:tcPr>
            <w:tcW w:w="1109" w:type="dxa"/>
            <w:tcBorders>
              <w:top w:val="single" w:sz="4" w:space="0" w:color="auto"/>
              <w:bottom w:val="single" w:sz="12" w:space="0" w:color="auto"/>
            </w:tcBorders>
            <w:shd w:val="clear" w:color="000000" w:fill="FFFFFF"/>
            <w:noWrap/>
            <w:vAlign w:val="bottom"/>
          </w:tcPr>
          <w:p w14:paraId="549FBDC1"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7,13</w:t>
            </w:r>
          </w:p>
        </w:tc>
        <w:tc>
          <w:tcPr>
            <w:tcW w:w="1109" w:type="dxa"/>
            <w:tcBorders>
              <w:top w:val="single" w:sz="4" w:space="0" w:color="auto"/>
              <w:bottom w:val="single" w:sz="12" w:space="0" w:color="auto"/>
            </w:tcBorders>
            <w:shd w:val="clear" w:color="000000" w:fill="FFFFFF"/>
            <w:noWrap/>
            <w:vAlign w:val="bottom"/>
          </w:tcPr>
          <w:p w14:paraId="0F3F70E7"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4,51</w:t>
            </w:r>
          </w:p>
        </w:tc>
        <w:tc>
          <w:tcPr>
            <w:tcW w:w="1109" w:type="dxa"/>
            <w:tcBorders>
              <w:top w:val="single" w:sz="4" w:space="0" w:color="auto"/>
              <w:bottom w:val="single" w:sz="12" w:space="0" w:color="auto"/>
            </w:tcBorders>
            <w:shd w:val="clear" w:color="000000" w:fill="FFFFFF"/>
            <w:noWrap/>
            <w:vAlign w:val="bottom"/>
          </w:tcPr>
          <w:p w14:paraId="0FDB14F4"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0,93</w:t>
            </w:r>
          </w:p>
        </w:tc>
        <w:tc>
          <w:tcPr>
            <w:tcW w:w="1109" w:type="dxa"/>
            <w:tcBorders>
              <w:top w:val="single" w:sz="4" w:space="0" w:color="auto"/>
              <w:bottom w:val="single" w:sz="12" w:space="0" w:color="auto"/>
            </w:tcBorders>
            <w:shd w:val="clear" w:color="000000" w:fill="FFFFFF"/>
            <w:noWrap/>
            <w:vAlign w:val="bottom"/>
          </w:tcPr>
          <w:p w14:paraId="62BF8F9B"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100,00</w:t>
            </w:r>
          </w:p>
        </w:tc>
      </w:tr>
    </w:tbl>
    <w:p w14:paraId="7D97EF7E" w14:textId="77777777" w:rsidR="00744544" w:rsidRPr="00A66C9F" w:rsidRDefault="00744544" w:rsidP="00744544">
      <w:pPr>
        <w:pStyle w:val="SingleTxt"/>
        <w:spacing w:after="0" w:line="120" w:lineRule="exact"/>
        <w:rPr>
          <w:sz w:val="10"/>
          <w:lang w:val="fr-FR"/>
        </w:rPr>
      </w:pPr>
    </w:p>
    <w:p w14:paraId="48CBA876" w14:textId="77777777" w:rsidR="00744544" w:rsidRPr="00A66C9F" w:rsidRDefault="00744544" w:rsidP="00744544">
      <w:pPr>
        <w:pStyle w:val="FootnoteText"/>
        <w:tabs>
          <w:tab w:val="right" w:pos="1476"/>
          <w:tab w:val="left" w:pos="1548"/>
          <w:tab w:val="right" w:pos="1836"/>
          <w:tab w:val="left" w:pos="1908"/>
        </w:tabs>
        <w:suppressAutoHyphens/>
        <w:ind w:left="1548" w:hanging="288"/>
        <w:rPr>
          <w:lang w:val="fr-FR"/>
        </w:rPr>
      </w:pPr>
      <w:r w:rsidRPr="00A66C9F">
        <w:rPr>
          <w:i/>
          <w:iCs/>
          <w:lang w:val="fr-FR"/>
        </w:rPr>
        <w:t>Note</w:t>
      </w:r>
      <w:r w:rsidRPr="00A66C9F">
        <w:rPr>
          <w:lang w:val="fr-FR"/>
        </w:rPr>
        <w:t> : Pourcentages arrondis deux chiffres après la virgule ; 0,00 % indique une valeur inférieure à 0,01 % mais différente de zéro.</w:t>
      </w:r>
    </w:p>
    <w:p w14:paraId="480AA217" w14:textId="77777777" w:rsidR="00744544" w:rsidRPr="00A66C9F" w:rsidRDefault="00744544" w:rsidP="00744544">
      <w:pPr>
        <w:pStyle w:val="SingleTxt"/>
        <w:spacing w:after="0" w:line="120" w:lineRule="exact"/>
        <w:rPr>
          <w:sz w:val="10"/>
          <w:lang w:val="fr-FR"/>
        </w:rPr>
      </w:pPr>
    </w:p>
    <w:p w14:paraId="5AF9236C" w14:textId="77777777" w:rsidR="00744544" w:rsidRPr="00A66C9F" w:rsidRDefault="00744544" w:rsidP="00744544">
      <w:pPr>
        <w:pStyle w:val="SingleTxt"/>
        <w:spacing w:after="0" w:line="120" w:lineRule="exact"/>
        <w:rPr>
          <w:sz w:val="10"/>
          <w:lang w:val="fr-FR"/>
        </w:rPr>
      </w:pPr>
    </w:p>
    <w:p w14:paraId="22D0C2A0" w14:textId="77777777" w:rsidR="00744544" w:rsidRPr="00A66C9F" w:rsidRDefault="00744544" w:rsidP="00744544">
      <w:pPr>
        <w:pStyle w:val="SingleTxt"/>
        <w:spacing w:after="0" w:line="120" w:lineRule="exact"/>
        <w:rPr>
          <w:sz w:val="10"/>
          <w:lang w:val="fr-FR"/>
        </w:rPr>
      </w:pPr>
    </w:p>
    <w:p w14:paraId="3DC7262D" w14:textId="77777777" w:rsidR="00744544" w:rsidRPr="00A66C9F" w:rsidRDefault="00744544" w:rsidP="0074454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Risque de taux d’intérêt</w:t>
      </w:r>
    </w:p>
    <w:p w14:paraId="1C107314" w14:textId="77777777" w:rsidR="00744544" w:rsidRPr="00A66C9F" w:rsidRDefault="00744544" w:rsidP="00744544">
      <w:pPr>
        <w:pStyle w:val="SingleTxt"/>
        <w:spacing w:after="0" w:line="120" w:lineRule="exact"/>
        <w:rPr>
          <w:sz w:val="10"/>
          <w:lang w:val="fr-FR"/>
        </w:rPr>
      </w:pPr>
    </w:p>
    <w:p w14:paraId="3E1B7ADE" w14:textId="77777777" w:rsidR="00744544" w:rsidRPr="00A66C9F" w:rsidRDefault="00744544" w:rsidP="00753AB8">
      <w:pPr>
        <w:pStyle w:val="SingleTxt"/>
        <w:numPr>
          <w:ilvl w:val="0"/>
          <w:numId w:val="19"/>
        </w:numPr>
        <w:spacing w:line="240" w:lineRule="exact"/>
        <w:rPr>
          <w:lang w:val="fr-FR"/>
        </w:rPr>
      </w:pPr>
      <w:r w:rsidRPr="00A66C9F">
        <w:rPr>
          <w:lang w:val="fr-FR"/>
        </w:rPr>
        <w:t>Le risque de taux d’intérêt est le risque de fluctuation de la juste valeur des actifs et passifs financiers ou des flux de trésorerie futurs sous l’effet de variations des taux d’intérêt du marché. Pour la Caisse, ce risque concerne les titres à revenu fixe, les titres de dette à taux variable, la trésorerie et les équivalents de trésorerie.</w:t>
      </w:r>
    </w:p>
    <w:p w14:paraId="3F455DC1" w14:textId="77777777" w:rsidR="00744544" w:rsidRPr="00A66C9F" w:rsidRDefault="00744544" w:rsidP="00753AB8">
      <w:pPr>
        <w:pStyle w:val="SingleTxt"/>
        <w:numPr>
          <w:ilvl w:val="0"/>
          <w:numId w:val="19"/>
        </w:numPr>
        <w:spacing w:line="240" w:lineRule="exact"/>
        <w:rPr>
          <w:lang w:val="fr-FR"/>
        </w:rPr>
      </w:pPr>
      <w:r w:rsidRPr="00A66C9F">
        <w:rPr>
          <w:lang w:val="fr-FR"/>
        </w:rPr>
        <w:t>Le tableau ci-après établit une comparaison entre la sensibilité de la Caisse aux fluctuations des taux d’intérêt et celle de son indice de référence pour les valeurs à revenu fixe. Cette mesure de la duration indique la variation approximative de la valeur du portefeuille en pourcentage lorsque la fluctuation des taux d’intérêt atteint 100 points de base.</w:t>
      </w:r>
    </w:p>
    <w:p w14:paraId="632A9D69" w14:textId="77777777" w:rsidR="00744544" w:rsidRPr="00A66C9F" w:rsidRDefault="00744544" w:rsidP="00744544">
      <w:pPr>
        <w:pStyle w:val="SingleTxt"/>
        <w:spacing w:after="0" w:line="120" w:lineRule="exact"/>
        <w:rPr>
          <w:sz w:val="10"/>
          <w:lang w:val="fr-FR"/>
        </w:rPr>
      </w:pPr>
    </w:p>
    <w:tbl>
      <w:tblPr>
        <w:tblW w:w="7320" w:type="dxa"/>
        <w:tblInd w:w="1260" w:type="dxa"/>
        <w:tblLayout w:type="fixed"/>
        <w:tblCellMar>
          <w:left w:w="0" w:type="dxa"/>
          <w:right w:w="0" w:type="dxa"/>
        </w:tblCellMar>
        <w:tblLook w:val="00A0" w:firstRow="1" w:lastRow="0" w:firstColumn="1" w:lastColumn="0" w:noHBand="0" w:noVBand="0"/>
      </w:tblPr>
      <w:tblGrid>
        <w:gridCol w:w="1464"/>
        <w:gridCol w:w="1464"/>
        <w:gridCol w:w="1464"/>
        <w:gridCol w:w="117"/>
        <w:gridCol w:w="1347"/>
        <w:gridCol w:w="1464"/>
      </w:tblGrid>
      <w:tr w:rsidR="00744544" w:rsidRPr="00A66C9F" w14:paraId="7C3AC19E" w14:textId="77777777" w:rsidTr="00107D5D">
        <w:trPr>
          <w:tblHeader/>
        </w:trPr>
        <w:tc>
          <w:tcPr>
            <w:tcW w:w="1464" w:type="dxa"/>
            <w:tcBorders>
              <w:top w:val="single" w:sz="4" w:space="0" w:color="auto"/>
            </w:tcBorders>
            <w:shd w:val="clear" w:color="auto" w:fill="auto"/>
            <w:vAlign w:val="bottom"/>
          </w:tcPr>
          <w:p w14:paraId="74E5BF5A" w14:textId="77777777" w:rsidR="00744544" w:rsidRPr="00A66C9F" w:rsidRDefault="00744544" w:rsidP="00107D5D">
            <w:pPr>
              <w:suppressAutoHyphens/>
              <w:spacing w:before="81" w:after="81" w:line="160" w:lineRule="exact"/>
              <w:ind w:right="40"/>
              <w:rPr>
                <w:i/>
                <w:sz w:val="14"/>
                <w:lang w:val="fr-FR"/>
              </w:rPr>
            </w:pPr>
          </w:p>
        </w:tc>
        <w:tc>
          <w:tcPr>
            <w:tcW w:w="2928" w:type="dxa"/>
            <w:gridSpan w:val="2"/>
            <w:tcBorders>
              <w:top w:val="single" w:sz="4" w:space="0" w:color="auto"/>
              <w:bottom w:val="single" w:sz="4" w:space="0" w:color="auto"/>
            </w:tcBorders>
            <w:shd w:val="clear" w:color="auto" w:fill="auto"/>
            <w:vAlign w:val="bottom"/>
          </w:tcPr>
          <w:p w14:paraId="2CEAC35A" w14:textId="77777777" w:rsidR="00744544" w:rsidRPr="00A66C9F" w:rsidRDefault="00744544" w:rsidP="00107D5D">
            <w:pPr>
              <w:suppressAutoHyphens/>
              <w:spacing w:before="81" w:after="81" w:line="160" w:lineRule="exact"/>
              <w:ind w:right="43"/>
              <w:jc w:val="center"/>
              <w:rPr>
                <w:i/>
                <w:sz w:val="14"/>
                <w:lang w:val="fr-FR"/>
              </w:rPr>
            </w:pPr>
            <w:r w:rsidRPr="00A66C9F">
              <w:rPr>
                <w:i/>
                <w:sz w:val="14"/>
                <w:lang w:val="fr-FR"/>
              </w:rPr>
              <w:t>2019</w:t>
            </w:r>
          </w:p>
        </w:tc>
        <w:tc>
          <w:tcPr>
            <w:tcW w:w="117" w:type="dxa"/>
            <w:tcBorders>
              <w:top w:val="single" w:sz="4" w:space="0" w:color="auto"/>
            </w:tcBorders>
            <w:shd w:val="clear" w:color="auto" w:fill="auto"/>
            <w:vAlign w:val="bottom"/>
          </w:tcPr>
          <w:p w14:paraId="45551DA6" w14:textId="77777777" w:rsidR="00744544" w:rsidRPr="00A66C9F" w:rsidRDefault="00744544" w:rsidP="00107D5D">
            <w:pPr>
              <w:suppressAutoHyphens/>
              <w:spacing w:before="81" w:after="81" w:line="160" w:lineRule="exact"/>
              <w:ind w:right="43"/>
              <w:jc w:val="center"/>
              <w:rPr>
                <w:i/>
                <w:sz w:val="14"/>
                <w:lang w:val="fr-FR"/>
              </w:rPr>
            </w:pPr>
          </w:p>
        </w:tc>
        <w:tc>
          <w:tcPr>
            <w:tcW w:w="2811" w:type="dxa"/>
            <w:gridSpan w:val="2"/>
            <w:tcBorders>
              <w:top w:val="single" w:sz="4" w:space="0" w:color="auto"/>
              <w:bottom w:val="single" w:sz="4" w:space="0" w:color="auto"/>
            </w:tcBorders>
            <w:shd w:val="clear" w:color="auto" w:fill="auto"/>
            <w:vAlign w:val="bottom"/>
          </w:tcPr>
          <w:p w14:paraId="6D5F4DDB" w14:textId="77777777" w:rsidR="00744544" w:rsidRPr="00A66C9F" w:rsidRDefault="00744544" w:rsidP="00107D5D">
            <w:pPr>
              <w:suppressAutoHyphens/>
              <w:spacing w:before="81" w:after="81" w:line="160" w:lineRule="exact"/>
              <w:ind w:right="43"/>
              <w:jc w:val="center"/>
              <w:rPr>
                <w:i/>
                <w:sz w:val="14"/>
                <w:lang w:val="fr-FR"/>
              </w:rPr>
            </w:pPr>
            <w:r w:rsidRPr="00A66C9F">
              <w:rPr>
                <w:i/>
                <w:sz w:val="14"/>
                <w:lang w:val="fr-FR"/>
              </w:rPr>
              <w:t>2018</w:t>
            </w:r>
          </w:p>
        </w:tc>
      </w:tr>
      <w:tr w:rsidR="00744544" w:rsidRPr="00A66C9F" w14:paraId="780E1CFF" w14:textId="77777777" w:rsidTr="00107D5D">
        <w:trPr>
          <w:tblHeader/>
        </w:trPr>
        <w:tc>
          <w:tcPr>
            <w:tcW w:w="1464" w:type="dxa"/>
            <w:tcBorders>
              <w:bottom w:val="single" w:sz="12" w:space="0" w:color="auto"/>
            </w:tcBorders>
            <w:shd w:val="clear" w:color="auto" w:fill="auto"/>
            <w:vAlign w:val="bottom"/>
          </w:tcPr>
          <w:p w14:paraId="7522BC5D" w14:textId="77777777" w:rsidR="00744544" w:rsidRPr="00A66C9F" w:rsidRDefault="00744544" w:rsidP="00107D5D">
            <w:pPr>
              <w:suppressAutoHyphens/>
              <w:spacing w:before="81" w:after="81" w:line="160" w:lineRule="exact"/>
              <w:ind w:right="40"/>
              <w:rPr>
                <w:i/>
                <w:sz w:val="14"/>
                <w:lang w:val="fr-FR"/>
              </w:rPr>
            </w:pPr>
          </w:p>
        </w:tc>
        <w:tc>
          <w:tcPr>
            <w:tcW w:w="1464" w:type="dxa"/>
            <w:tcBorders>
              <w:top w:val="single" w:sz="4" w:space="0" w:color="auto"/>
              <w:bottom w:val="single" w:sz="12" w:space="0" w:color="auto"/>
            </w:tcBorders>
            <w:shd w:val="clear" w:color="auto" w:fill="auto"/>
            <w:vAlign w:val="bottom"/>
          </w:tcPr>
          <w:p w14:paraId="50A12043"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Caisse des pensions</w:t>
            </w:r>
          </w:p>
        </w:tc>
        <w:tc>
          <w:tcPr>
            <w:tcW w:w="1464" w:type="dxa"/>
            <w:tcBorders>
              <w:top w:val="single" w:sz="4" w:space="0" w:color="auto"/>
              <w:bottom w:val="single" w:sz="12" w:space="0" w:color="auto"/>
            </w:tcBorders>
            <w:shd w:val="clear" w:color="auto" w:fill="auto"/>
            <w:vAlign w:val="bottom"/>
          </w:tcPr>
          <w:p w14:paraId="505F9A82"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Indice de référence</w:t>
            </w:r>
          </w:p>
        </w:tc>
        <w:tc>
          <w:tcPr>
            <w:tcW w:w="1464" w:type="dxa"/>
            <w:gridSpan w:val="2"/>
            <w:tcBorders>
              <w:bottom w:val="single" w:sz="12" w:space="0" w:color="auto"/>
            </w:tcBorders>
            <w:shd w:val="clear" w:color="auto" w:fill="auto"/>
            <w:vAlign w:val="bottom"/>
          </w:tcPr>
          <w:p w14:paraId="7EB743D7"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Caisse des pensions</w:t>
            </w:r>
          </w:p>
        </w:tc>
        <w:tc>
          <w:tcPr>
            <w:tcW w:w="1464" w:type="dxa"/>
            <w:tcBorders>
              <w:bottom w:val="single" w:sz="12" w:space="0" w:color="auto"/>
            </w:tcBorders>
            <w:shd w:val="clear" w:color="auto" w:fill="auto"/>
            <w:vAlign w:val="bottom"/>
          </w:tcPr>
          <w:p w14:paraId="57B28E68"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Indice de référence</w:t>
            </w:r>
          </w:p>
        </w:tc>
      </w:tr>
      <w:tr w:rsidR="00744544" w:rsidRPr="00A66C9F" w14:paraId="77E9A3B3" w14:textId="77777777" w:rsidTr="00107D5D">
        <w:trPr>
          <w:trHeight w:hRule="exact" w:val="115"/>
          <w:tblHeader/>
        </w:trPr>
        <w:tc>
          <w:tcPr>
            <w:tcW w:w="1464" w:type="dxa"/>
            <w:tcBorders>
              <w:top w:val="single" w:sz="12" w:space="0" w:color="auto"/>
            </w:tcBorders>
            <w:shd w:val="clear" w:color="auto" w:fill="auto"/>
            <w:vAlign w:val="bottom"/>
          </w:tcPr>
          <w:p w14:paraId="507B4E15" w14:textId="77777777" w:rsidR="00744544" w:rsidRPr="00A66C9F" w:rsidRDefault="00744544" w:rsidP="00107D5D">
            <w:pPr>
              <w:suppressAutoHyphens/>
              <w:spacing w:before="40" w:after="40" w:line="210" w:lineRule="exact"/>
              <w:ind w:right="40"/>
              <w:rPr>
                <w:sz w:val="17"/>
                <w:lang w:val="fr-FR"/>
              </w:rPr>
            </w:pPr>
          </w:p>
        </w:tc>
        <w:tc>
          <w:tcPr>
            <w:tcW w:w="1464" w:type="dxa"/>
            <w:tcBorders>
              <w:top w:val="single" w:sz="12" w:space="0" w:color="auto"/>
            </w:tcBorders>
            <w:shd w:val="clear" w:color="auto" w:fill="auto"/>
            <w:vAlign w:val="bottom"/>
          </w:tcPr>
          <w:p w14:paraId="256F67C1" w14:textId="77777777" w:rsidR="00744544" w:rsidRPr="00A66C9F" w:rsidRDefault="00744544" w:rsidP="00107D5D">
            <w:pPr>
              <w:suppressAutoHyphens/>
              <w:spacing w:before="40" w:after="40" w:line="210" w:lineRule="exact"/>
              <w:ind w:right="43"/>
              <w:jc w:val="right"/>
              <w:rPr>
                <w:sz w:val="17"/>
                <w:lang w:val="fr-FR"/>
              </w:rPr>
            </w:pPr>
          </w:p>
        </w:tc>
        <w:tc>
          <w:tcPr>
            <w:tcW w:w="1464" w:type="dxa"/>
            <w:tcBorders>
              <w:top w:val="single" w:sz="12" w:space="0" w:color="auto"/>
            </w:tcBorders>
            <w:shd w:val="clear" w:color="auto" w:fill="auto"/>
            <w:vAlign w:val="bottom"/>
          </w:tcPr>
          <w:p w14:paraId="3DEC0EB6" w14:textId="77777777" w:rsidR="00744544" w:rsidRPr="00A66C9F" w:rsidRDefault="00744544" w:rsidP="00107D5D">
            <w:pPr>
              <w:suppressAutoHyphens/>
              <w:spacing w:before="40" w:after="40" w:line="210" w:lineRule="exact"/>
              <w:ind w:right="43"/>
              <w:jc w:val="right"/>
              <w:rPr>
                <w:sz w:val="17"/>
                <w:lang w:val="fr-FR"/>
              </w:rPr>
            </w:pPr>
          </w:p>
        </w:tc>
        <w:tc>
          <w:tcPr>
            <w:tcW w:w="1464" w:type="dxa"/>
            <w:gridSpan w:val="2"/>
            <w:tcBorders>
              <w:top w:val="single" w:sz="12" w:space="0" w:color="auto"/>
            </w:tcBorders>
            <w:shd w:val="clear" w:color="auto" w:fill="auto"/>
            <w:vAlign w:val="bottom"/>
          </w:tcPr>
          <w:p w14:paraId="23FD2D6B" w14:textId="77777777" w:rsidR="00744544" w:rsidRPr="00A66C9F" w:rsidRDefault="00744544" w:rsidP="00107D5D">
            <w:pPr>
              <w:suppressAutoHyphens/>
              <w:spacing w:before="40" w:after="40" w:line="210" w:lineRule="exact"/>
              <w:ind w:right="43"/>
              <w:jc w:val="right"/>
              <w:rPr>
                <w:sz w:val="17"/>
                <w:lang w:val="fr-FR"/>
              </w:rPr>
            </w:pPr>
          </w:p>
        </w:tc>
        <w:tc>
          <w:tcPr>
            <w:tcW w:w="1464" w:type="dxa"/>
            <w:tcBorders>
              <w:top w:val="single" w:sz="12" w:space="0" w:color="auto"/>
            </w:tcBorders>
            <w:shd w:val="clear" w:color="auto" w:fill="auto"/>
            <w:vAlign w:val="bottom"/>
          </w:tcPr>
          <w:p w14:paraId="42C4186B" w14:textId="77777777" w:rsidR="00744544" w:rsidRPr="00A66C9F" w:rsidRDefault="00744544" w:rsidP="00107D5D">
            <w:pPr>
              <w:suppressAutoHyphens/>
              <w:spacing w:before="40" w:after="40" w:line="210" w:lineRule="exact"/>
              <w:ind w:right="43"/>
              <w:jc w:val="right"/>
              <w:rPr>
                <w:sz w:val="17"/>
                <w:lang w:val="fr-FR"/>
              </w:rPr>
            </w:pPr>
          </w:p>
        </w:tc>
      </w:tr>
      <w:tr w:rsidR="00744544" w:rsidRPr="00A66C9F" w14:paraId="56E0C54A" w14:textId="77777777" w:rsidTr="00107D5D">
        <w:tc>
          <w:tcPr>
            <w:tcW w:w="1464" w:type="dxa"/>
            <w:tcBorders>
              <w:bottom w:val="single" w:sz="12" w:space="0" w:color="auto"/>
            </w:tcBorders>
            <w:shd w:val="clear" w:color="auto" w:fill="auto"/>
            <w:vAlign w:val="bottom"/>
          </w:tcPr>
          <w:p w14:paraId="5939FA4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 xml:space="preserve">Duration effective </w:t>
            </w:r>
          </w:p>
        </w:tc>
        <w:tc>
          <w:tcPr>
            <w:tcW w:w="1464" w:type="dxa"/>
            <w:tcBorders>
              <w:bottom w:val="single" w:sz="12" w:space="0" w:color="auto"/>
            </w:tcBorders>
            <w:shd w:val="clear" w:color="auto" w:fill="auto"/>
            <w:vAlign w:val="bottom"/>
          </w:tcPr>
          <w:p w14:paraId="204306C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5,00</w:t>
            </w:r>
          </w:p>
        </w:tc>
        <w:tc>
          <w:tcPr>
            <w:tcW w:w="1464" w:type="dxa"/>
            <w:tcBorders>
              <w:bottom w:val="single" w:sz="12" w:space="0" w:color="auto"/>
            </w:tcBorders>
            <w:shd w:val="clear" w:color="auto" w:fill="auto"/>
            <w:vAlign w:val="bottom"/>
          </w:tcPr>
          <w:p w14:paraId="4668C93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4,89</w:t>
            </w:r>
          </w:p>
        </w:tc>
        <w:tc>
          <w:tcPr>
            <w:tcW w:w="1464" w:type="dxa"/>
            <w:gridSpan w:val="2"/>
            <w:tcBorders>
              <w:bottom w:val="single" w:sz="12" w:space="0" w:color="auto"/>
            </w:tcBorders>
            <w:shd w:val="clear" w:color="auto" w:fill="auto"/>
            <w:vAlign w:val="bottom"/>
          </w:tcPr>
          <w:p w14:paraId="3CFC9F5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6,40</w:t>
            </w:r>
          </w:p>
        </w:tc>
        <w:tc>
          <w:tcPr>
            <w:tcW w:w="1464" w:type="dxa"/>
            <w:tcBorders>
              <w:bottom w:val="single" w:sz="12" w:space="0" w:color="auto"/>
            </w:tcBorders>
            <w:shd w:val="clear" w:color="auto" w:fill="auto"/>
            <w:vAlign w:val="bottom"/>
          </w:tcPr>
          <w:p w14:paraId="4279D4A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6,96</w:t>
            </w:r>
          </w:p>
        </w:tc>
      </w:tr>
    </w:tbl>
    <w:p w14:paraId="07FD9CED" w14:textId="77777777" w:rsidR="00744544" w:rsidRPr="00A66C9F" w:rsidRDefault="00744544" w:rsidP="00744544">
      <w:pPr>
        <w:pStyle w:val="SingleTxt"/>
        <w:spacing w:after="0" w:line="120" w:lineRule="exact"/>
        <w:rPr>
          <w:sz w:val="10"/>
          <w:lang w:val="fr-FR"/>
        </w:rPr>
      </w:pPr>
    </w:p>
    <w:p w14:paraId="2779D8EF" w14:textId="77777777" w:rsidR="00744544" w:rsidRPr="00A66C9F" w:rsidRDefault="00744544" w:rsidP="00744544">
      <w:pPr>
        <w:pStyle w:val="SingleTxt"/>
        <w:spacing w:after="0" w:line="120" w:lineRule="exact"/>
        <w:rPr>
          <w:sz w:val="10"/>
          <w:lang w:val="fr-FR"/>
        </w:rPr>
      </w:pPr>
    </w:p>
    <w:p w14:paraId="08842271" w14:textId="77777777" w:rsidR="00744544" w:rsidRPr="00A66C9F" w:rsidRDefault="00744544" w:rsidP="00753AB8">
      <w:pPr>
        <w:pStyle w:val="SingleTxt"/>
        <w:numPr>
          <w:ilvl w:val="0"/>
          <w:numId w:val="19"/>
        </w:numPr>
        <w:spacing w:line="240" w:lineRule="exact"/>
        <w:rPr>
          <w:lang w:val="fr-FR"/>
        </w:rPr>
      </w:pPr>
      <w:r w:rsidRPr="00A66C9F">
        <w:rPr>
          <w:lang w:val="fr-FR"/>
        </w:rPr>
        <w:t>La duration effective correspond à la sensibilité aux variations de taux d’intérêt. Dans le cas présent, si le taux d’intérêt variait de 1 %, le portefeuille de la Caisse pourrait gagner ou perdre à peu près 5,00 % de sa valeur (6,40 % en 2018), tandis que l’indice de référence avancerait ou reculerait de 4,89 % environ (6,96 % en 2018). Cela est dû principalement à l’augmentation ou à la diminution de la juste valeur des titres à taux fixes. Les titres de dette à taux variable représentent environ 1 % des investissements dans des valeurs à revenu fixe utilisés pour calculer la duration effective au 31 décembre 2019 et au 31 décembre 2018.</w:t>
      </w:r>
    </w:p>
    <w:p w14:paraId="502A05D1" w14:textId="77777777" w:rsidR="00744544" w:rsidRPr="00A66C9F" w:rsidRDefault="00744544" w:rsidP="00744544">
      <w:pPr>
        <w:pStyle w:val="SingleTxt"/>
        <w:spacing w:after="0" w:line="120" w:lineRule="exact"/>
        <w:rPr>
          <w:sz w:val="10"/>
          <w:lang w:val="fr-FR"/>
        </w:rPr>
      </w:pPr>
    </w:p>
    <w:p w14:paraId="772E08AD"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Note 21</w:t>
      </w:r>
    </w:p>
    <w:p w14:paraId="3C0FC850"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Renseignements relatifs au budget</w:t>
      </w:r>
    </w:p>
    <w:p w14:paraId="44847B74" w14:textId="77777777" w:rsidR="00744544" w:rsidRPr="00A66C9F" w:rsidRDefault="00744544" w:rsidP="00744544">
      <w:pPr>
        <w:pStyle w:val="SingleTxt"/>
        <w:spacing w:after="0" w:line="120" w:lineRule="exact"/>
        <w:rPr>
          <w:sz w:val="10"/>
          <w:lang w:val="fr-FR"/>
        </w:rPr>
      </w:pPr>
    </w:p>
    <w:p w14:paraId="2980FB8A"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lastRenderedPageBreak/>
        <w:tab/>
      </w:r>
      <w:bookmarkStart w:id="465" w:name="_Toc511808325"/>
      <w:bookmarkStart w:id="466" w:name="_Toc511808493"/>
      <w:bookmarkStart w:id="467" w:name="_Toc511808661"/>
      <w:bookmarkStart w:id="468" w:name="_Toc511813482"/>
      <w:bookmarkStart w:id="469" w:name="_Toc511813652"/>
      <w:bookmarkStart w:id="470" w:name="_Toc511831763"/>
      <w:bookmarkStart w:id="471" w:name="_Toc511903238"/>
      <w:bookmarkStart w:id="472" w:name="_Toc511920538"/>
      <w:bookmarkStart w:id="473" w:name="_Toc511808326"/>
      <w:bookmarkStart w:id="474" w:name="_Toc511808494"/>
      <w:bookmarkStart w:id="475" w:name="_Toc511808662"/>
      <w:bookmarkStart w:id="476" w:name="_Toc511813483"/>
      <w:bookmarkStart w:id="477" w:name="_Toc511813653"/>
      <w:bookmarkStart w:id="478" w:name="_Toc511831764"/>
      <w:bookmarkStart w:id="479" w:name="_Toc511903239"/>
      <w:bookmarkStart w:id="480" w:name="_Toc511920539"/>
      <w:bookmarkStart w:id="481" w:name="_Toc511808327"/>
      <w:bookmarkStart w:id="482" w:name="_Toc511808495"/>
      <w:bookmarkStart w:id="483" w:name="_Toc511808663"/>
      <w:bookmarkStart w:id="484" w:name="_Toc511813484"/>
      <w:bookmarkStart w:id="485" w:name="_Toc511813654"/>
      <w:bookmarkStart w:id="486" w:name="_Toc511831765"/>
      <w:bookmarkStart w:id="487" w:name="_Toc511903240"/>
      <w:bookmarkStart w:id="488" w:name="_Toc511920540"/>
      <w:bookmarkStart w:id="489" w:name="_Toc511808328"/>
      <w:bookmarkStart w:id="490" w:name="_Toc511808496"/>
      <w:bookmarkStart w:id="491" w:name="_Toc511808664"/>
      <w:bookmarkStart w:id="492" w:name="_Toc511813485"/>
      <w:bookmarkStart w:id="493" w:name="_Toc511813655"/>
      <w:bookmarkStart w:id="494" w:name="_Toc511831766"/>
      <w:bookmarkStart w:id="495" w:name="_Toc511903241"/>
      <w:bookmarkStart w:id="496" w:name="_Toc511920541"/>
      <w:bookmarkStart w:id="497" w:name="_Toc511808329"/>
      <w:bookmarkStart w:id="498" w:name="_Toc511808497"/>
      <w:bookmarkStart w:id="499" w:name="_Toc511808665"/>
      <w:bookmarkStart w:id="500" w:name="_Toc511813486"/>
      <w:bookmarkStart w:id="501" w:name="_Toc511813656"/>
      <w:bookmarkStart w:id="502" w:name="_Toc511831767"/>
      <w:bookmarkStart w:id="503" w:name="_Toc511903242"/>
      <w:bookmarkStart w:id="504" w:name="_Toc511920542"/>
      <w:bookmarkStart w:id="505" w:name="_Toc511808330"/>
      <w:bookmarkStart w:id="506" w:name="_Toc511808498"/>
      <w:bookmarkStart w:id="507" w:name="_Toc511808666"/>
      <w:bookmarkStart w:id="508" w:name="_Toc511813487"/>
      <w:bookmarkStart w:id="509" w:name="_Toc511813657"/>
      <w:bookmarkStart w:id="510" w:name="_Toc511831768"/>
      <w:bookmarkStart w:id="511" w:name="_Toc511903243"/>
      <w:bookmarkStart w:id="512" w:name="_Toc511920543"/>
      <w:bookmarkStart w:id="513" w:name="_Toc511808331"/>
      <w:bookmarkStart w:id="514" w:name="_Toc511808499"/>
      <w:bookmarkStart w:id="515" w:name="_Toc511808667"/>
      <w:bookmarkStart w:id="516" w:name="_Toc511813488"/>
      <w:bookmarkStart w:id="517" w:name="_Toc511813658"/>
      <w:bookmarkStart w:id="518" w:name="_Toc511831769"/>
      <w:bookmarkStart w:id="519" w:name="_Toc511903244"/>
      <w:bookmarkStart w:id="520" w:name="_Toc511920544"/>
      <w:bookmarkStart w:id="521" w:name="_Toc511808332"/>
      <w:bookmarkStart w:id="522" w:name="_Toc511808500"/>
      <w:bookmarkStart w:id="523" w:name="_Toc511808668"/>
      <w:bookmarkStart w:id="524" w:name="_Toc511813489"/>
      <w:bookmarkStart w:id="525" w:name="_Toc511813659"/>
      <w:bookmarkStart w:id="526" w:name="_Toc511831770"/>
      <w:bookmarkStart w:id="527" w:name="_Toc511903245"/>
      <w:bookmarkStart w:id="528" w:name="_Toc511920545"/>
      <w:bookmarkStart w:id="529" w:name="_Toc511808339"/>
      <w:bookmarkStart w:id="530" w:name="_Toc511808507"/>
      <w:bookmarkStart w:id="531" w:name="_Toc511808675"/>
      <w:bookmarkStart w:id="532" w:name="_Toc511813496"/>
      <w:bookmarkStart w:id="533" w:name="_Toc511813666"/>
      <w:bookmarkStart w:id="534" w:name="_Toc511831777"/>
      <w:bookmarkStart w:id="535" w:name="_Toc511903252"/>
      <w:bookmarkStart w:id="536" w:name="_Toc511920552"/>
      <w:bookmarkStart w:id="537" w:name="_Toc511808384"/>
      <w:bookmarkStart w:id="538" w:name="_Toc511808552"/>
      <w:bookmarkStart w:id="539" w:name="_Toc511808720"/>
      <w:bookmarkStart w:id="540" w:name="_Toc511813541"/>
      <w:bookmarkStart w:id="541" w:name="_Toc511813711"/>
      <w:bookmarkStart w:id="542" w:name="_Toc511831822"/>
      <w:bookmarkStart w:id="543" w:name="_Toc511903297"/>
      <w:bookmarkStart w:id="544" w:name="_Toc511920597"/>
      <w:bookmarkStart w:id="545" w:name="_Toc511808444"/>
      <w:bookmarkStart w:id="546" w:name="_Toc511808612"/>
      <w:bookmarkStart w:id="547" w:name="_Toc511808780"/>
      <w:bookmarkStart w:id="548" w:name="_Toc511813601"/>
      <w:bookmarkStart w:id="549" w:name="_Toc511813771"/>
      <w:bookmarkStart w:id="550" w:name="_Toc511831882"/>
      <w:bookmarkStart w:id="551" w:name="_Toc511903357"/>
      <w:bookmarkStart w:id="552" w:name="_Toc511920657"/>
      <w:bookmarkStart w:id="553" w:name="_Toc511808445"/>
      <w:bookmarkStart w:id="554" w:name="_Toc511808613"/>
      <w:bookmarkStart w:id="555" w:name="_Toc511808781"/>
      <w:bookmarkStart w:id="556" w:name="_Toc511813602"/>
      <w:bookmarkStart w:id="557" w:name="_Toc511813772"/>
      <w:bookmarkStart w:id="558" w:name="_Toc511831883"/>
      <w:bookmarkStart w:id="559" w:name="_Toc511903358"/>
      <w:bookmarkStart w:id="560" w:name="_Toc511920658"/>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sidRPr="00A66C9F">
        <w:rPr>
          <w:lang w:val="fr-FR"/>
        </w:rPr>
        <w:t>21.1</w:t>
      </w:r>
      <w:r w:rsidRPr="00A66C9F">
        <w:rPr>
          <w:lang w:val="fr-FR"/>
        </w:rPr>
        <w:tab/>
        <w:t>Écart entre les crédits initialement approuvés et les crédits définitifs</w:t>
      </w:r>
    </w:p>
    <w:p w14:paraId="543EB446" w14:textId="77777777" w:rsidR="00744544" w:rsidRPr="00A66C9F" w:rsidRDefault="00744544" w:rsidP="0074454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lang w:val="fr-FR"/>
        </w:rPr>
        <w:tab/>
      </w:r>
      <w:r w:rsidRPr="00A66C9F">
        <w:rPr>
          <w:lang w:val="fr-FR"/>
        </w:rPr>
        <w:tab/>
      </w:r>
      <w:r w:rsidRPr="00A66C9F">
        <w:rPr>
          <w:sz w:val="14"/>
          <w:szCs w:val="14"/>
          <w:lang w:val="fr-FR"/>
        </w:rPr>
        <w:t>(En milliers de dollars des États-Unis)</w:t>
      </w:r>
    </w:p>
    <w:p w14:paraId="0496C4CA" w14:textId="77777777" w:rsidR="00744544" w:rsidRPr="00A66C9F" w:rsidRDefault="00744544" w:rsidP="00744544">
      <w:pPr>
        <w:pStyle w:val="SingleTxt"/>
        <w:spacing w:after="0" w:line="120" w:lineRule="exact"/>
        <w:rPr>
          <w:sz w:val="10"/>
          <w:lang w:val="fr-FR"/>
        </w:rPr>
      </w:pPr>
    </w:p>
    <w:p w14:paraId="27082751" w14:textId="77777777" w:rsidR="00744544" w:rsidRPr="00A66C9F" w:rsidRDefault="00744544" w:rsidP="00744544">
      <w:pPr>
        <w:pStyle w:val="SingleTxt"/>
        <w:spacing w:after="0" w:line="120" w:lineRule="exact"/>
        <w:rPr>
          <w:sz w:val="10"/>
          <w:lang w:val="fr-FR"/>
        </w:rPr>
      </w:pPr>
    </w:p>
    <w:tbl>
      <w:tblPr>
        <w:tblW w:w="7320" w:type="dxa"/>
        <w:tblInd w:w="1260" w:type="dxa"/>
        <w:tblLayout w:type="fixed"/>
        <w:tblCellMar>
          <w:left w:w="0" w:type="dxa"/>
          <w:right w:w="0" w:type="dxa"/>
        </w:tblCellMar>
        <w:tblLook w:val="00A0" w:firstRow="1" w:lastRow="0" w:firstColumn="1" w:lastColumn="0" w:noHBand="0" w:noVBand="0"/>
      </w:tblPr>
      <w:tblGrid>
        <w:gridCol w:w="2178"/>
        <w:gridCol w:w="1285"/>
        <w:gridCol w:w="1286"/>
        <w:gridCol w:w="1285"/>
        <w:gridCol w:w="1286"/>
      </w:tblGrid>
      <w:tr w:rsidR="00744544" w:rsidRPr="00A66C9F" w14:paraId="2DAAEE81" w14:textId="77777777" w:rsidTr="00107D5D">
        <w:trPr>
          <w:tblHeader/>
        </w:trPr>
        <w:tc>
          <w:tcPr>
            <w:tcW w:w="2178" w:type="dxa"/>
            <w:tcBorders>
              <w:top w:val="single" w:sz="4" w:space="0" w:color="auto"/>
              <w:bottom w:val="single" w:sz="12" w:space="0" w:color="auto"/>
            </w:tcBorders>
            <w:shd w:val="clear" w:color="auto" w:fill="auto"/>
            <w:vAlign w:val="bottom"/>
          </w:tcPr>
          <w:p w14:paraId="7ED90F29" w14:textId="77777777" w:rsidR="00744544" w:rsidRPr="00A66C9F" w:rsidRDefault="00744544" w:rsidP="00107D5D">
            <w:pPr>
              <w:suppressAutoHyphens/>
              <w:spacing w:before="81" w:after="81" w:line="160" w:lineRule="exact"/>
              <w:ind w:right="40"/>
              <w:rPr>
                <w:i/>
                <w:sz w:val="14"/>
                <w:lang w:val="fr-FR"/>
              </w:rPr>
            </w:pPr>
          </w:p>
        </w:tc>
        <w:tc>
          <w:tcPr>
            <w:tcW w:w="1285" w:type="dxa"/>
            <w:tcBorders>
              <w:top w:val="single" w:sz="4" w:space="0" w:color="auto"/>
              <w:bottom w:val="single" w:sz="12" w:space="0" w:color="auto"/>
            </w:tcBorders>
            <w:shd w:val="clear" w:color="auto" w:fill="auto"/>
            <w:vAlign w:val="bottom"/>
          </w:tcPr>
          <w:p w14:paraId="682795B2"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Crédits initialement approuvés</w:t>
            </w:r>
            <w:r w:rsidRPr="00A66C9F">
              <w:rPr>
                <w:i/>
                <w:sz w:val="14"/>
                <w:lang w:val="fr-FR"/>
              </w:rPr>
              <w:br/>
              <w:t>pour 2019</w:t>
            </w:r>
          </w:p>
        </w:tc>
        <w:tc>
          <w:tcPr>
            <w:tcW w:w="1286" w:type="dxa"/>
            <w:tcBorders>
              <w:top w:val="single" w:sz="4" w:space="0" w:color="auto"/>
              <w:bottom w:val="single" w:sz="12" w:space="0" w:color="auto"/>
            </w:tcBorders>
            <w:shd w:val="clear" w:color="auto" w:fill="auto"/>
            <w:vAlign w:val="bottom"/>
          </w:tcPr>
          <w:p w14:paraId="51A6CCF7"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Montant reporté (solde de 2018)</w:t>
            </w:r>
          </w:p>
        </w:tc>
        <w:tc>
          <w:tcPr>
            <w:tcW w:w="1285" w:type="dxa"/>
            <w:tcBorders>
              <w:top w:val="single" w:sz="4" w:space="0" w:color="auto"/>
              <w:bottom w:val="single" w:sz="12" w:space="0" w:color="auto"/>
            </w:tcBorders>
            <w:shd w:val="clear" w:color="auto" w:fill="auto"/>
            <w:vAlign w:val="bottom"/>
          </w:tcPr>
          <w:p w14:paraId="071210E0"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Augmentations/ diminutions approuvées</w:t>
            </w:r>
          </w:p>
        </w:tc>
        <w:tc>
          <w:tcPr>
            <w:tcW w:w="1286" w:type="dxa"/>
            <w:tcBorders>
              <w:top w:val="single" w:sz="4" w:space="0" w:color="auto"/>
              <w:bottom w:val="single" w:sz="12" w:space="0" w:color="auto"/>
            </w:tcBorders>
            <w:shd w:val="clear" w:color="auto" w:fill="auto"/>
            <w:vAlign w:val="bottom"/>
          </w:tcPr>
          <w:p w14:paraId="5B1E1F7D"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Crédits définitifs pour 2019</w:t>
            </w:r>
          </w:p>
        </w:tc>
      </w:tr>
      <w:tr w:rsidR="00744544" w:rsidRPr="00A66C9F" w14:paraId="15891472" w14:textId="77777777" w:rsidTr="00107D5D">
        <w:trPr>
          <w:trHeight w:hRule="exact" w:val="115"/>
          <w:tblHeader/>
        </w:trPr>
        <w:tc>
          <w:tcPr>
            <w:tcW w:w="2178" w:type="dxa"/>
            <w:tcBorders>
              <w:top w:val="single" w:sz="12" w:space="0" w:color="auto"/>
            </w:tcBorders>
            <w:shd w:val="clear" w:color="auto" w:fill="auto"/>
            <w:vAlign w:val="bottom"/>
          </w:tcPr>
          <w:p w14:paraId="118C9A84" w14:textId="77777777" w:rsidR="00744544" w:rsidRPr="00A66C9F" w:rsidRDefault="00744544" w:rsidP="00107D5D">
            <w:pPr>
              <w:suppressAutoHyphens/>
              <w:spacing w:before="40" w:after="40" w:line="210" w:lineRule="exact"/>
              <w:ind w:right="40"/>
              <w:rPr>
                <w:sz w:val="17"/>
                <w:lang w:val="fr-FR"/>
              </w:rPr>
            </w:pPr>
          </w:p>
        </w:tc>
        <w:tc>
          <w:tcPr>
            <w:tcW w:w="1285" w:type="dxa"/>
            <w:tcBorders>
              <w:top w:val="single" w:sz="12" w:space="0" w:color="auto"/>
            </w:tcBorders>
            <w:shd w:val="clear" w:color="auto" w:fill="auto"/>
            <w:vAlign w:val="bottom"/>
          </w:tcPr>
          <w:p w14:paraId="5A1070A6" w14:textId="77777777" w:rsidR="00744544" w:rsidRPr="00A66C9F" w:rsidRDefault="00744544" w:rsidP="00107D5D">
            <w:pPr>
              <w:suppressAutoHyphens/>
              <w:spacing w:before="40" w:after="40" w:line="210" w:lineRule="exact"/>
              <w:ind w:right="43"/>
              <w:jc w:val="right"/>
              <w:rPr>
                <w:sz w:val="17"/>
                <w:lang w:val="fr-FR"/>
              </w:rPr>
            </w:pPr>
          </w:p>
        </w:tc>
        <w:tc>
          <w:tcPr>
            <w:tcW w:w="1286" w:type="dxa"/>
            <w:tcBorders>
              <w:top w:val="single" w:sz="12" w:space="0" w:color="auto"/>
            </w:tcBorders>
            <w:shd w:val="clear" w:color="auto" w:fill="auto"/>
            <w:vAlign w:val="bottom"/>
          </w:tcPr>
          <w:p w14:paraId="43BE8112" w14:textId="77777777" w:rsidR="00744544" w:rsidRPr="00A66C9F" w:rsidRDefault="00744544" w:rsidP="00107D5D">
            <w:pPr>
              <w:suppressAutoHyphens/>
              <w:spacing w:before="40" w:after="40" w:line="210" w:lineRule="exact"/>
              <w:ind w:right="43"/>
              <w:jc w:val="right"/>
              <w:rPr>
                <w:sz w:val="17"/>
                <w:lang w:val="fr-FR"/>
              </w:rPr>
            </w:pPr>
          </w:p>
        </w:tc>
        <w:tc>
          <w:tcPr>
            <w:tcW w:w="1285" w:type="dxa"/>
            <w:tcBorders>
              <w:top w:val="single" w:sz="12" w:space="0" w:color="auto"/>
            </w:tcBorders>
            <w:shd w:val="clear" w:color="auto" w:fill="auto"/>
            <w:vAlign w:val="bottom"/>
          </w:tcPr>
          <w:p w14:paraId="7E6A7789" w14:textId="77777777" w:rsidR="00744544" w:rsidRPr="00A66C9F" w:rsidRDefault="00744544" w:rsidP="00107D5D">
            <w:pPr>
              <w:suppressAutoHyphens/>
              <w:spacing w:before="40" w:after="40" w:line="210" w:lineRule="exact"/>
              <w:ind w:right="43"/>
              <w:jc w:val="right"/>
              <w:rPr>
                <w:sz w:val="17"/>
                <w:lang w:val="fr-FR"/>
              </w:rPr>
            </w:pPr>
          </w:p>
        </w:tc>
        <w:tc>
          <w:tcPr>
            <w:tcW w:w="1286" w:type="dxa"/>
            <w:tcBorders>
              <w:top w:val="single" w:sz="12" w:space="0" w:color="auto"/>
            </w:tcBorders>
            <w:shd w:val="clear" w:color="auto" w:fill="auto"/>
            <w:vAlign w:val="bottom"/>
          </w:tcPr>
          <w:p w14:paraId="5578C777" w14:textId="77777777" w:rsidR="00744544" w:rsidRPr="00A66C9F" w:rsidRDefault="00744544" w:rsidP="00107D5D">
            <w:pPr>
              <w:suppressAutoHyphens/>
              <w:spacing w:before="40" w:after="40" w:line="210" w:lineRule="exact"/>
              <w:ind w:right="43"/>
              <w:jc w:val="right"/>
              <w:rPr>
                <w:sz w:val="17"/>
                <w:lang w:val="fr-FR"/>
              </w:rPr>
            </w:pPr>
          </w:p>
        </w:tc>
      </w:tr>
      <w:tr w:rsidR="00744544" w:rsidRPr="00A66C9F" w14:paraId="11444A60" w14:textId="77777777" w:rsidTr="00107D5D">
        <w:tc>
          <w:tcPr>
            <w:tcW w:w="2178" w:type="dxa"/>
            <w:shd w:val="clear" w:color="auto" w:fill="auto"/>
            <w:vAlign w:val="bottom"/>
          </w:tcPr>
          <w:p w14:paraId="46E228B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Secrétariat de la Caisse</w:t>
            </w:r>
          </w:p>
        </w:tc>
        <w:tc>
          <w:tcPr>
            <w:tcW w:w="1285" w:type="dxa"/>
            <w:shd w:val="clear" w:color="auto" w:fill="auto"/>
            <w:vAlign w:val="bottom"/>
          </w:tcPr>
          <w:p w14:paraId="6D3FC88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50 221</w:t>
            </w:r>
          </w:p>
        </w:tc>
        <w:tc>
          <w:tcPr>
            <w:tcW w:w="1286" w:type="dxa"/>
            <w:shd w:val="clear" w:color="auto" w:fill="auto"/>
            <w:vAlign w:val="bottom"/>
          </w:tcPr>
          <w:p w14:paraId="42FC755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(3 619)</w:t>
            </w:r>
          </w:p>
        </w:tc>
        <w:tc>
          <w:tcPr>
            <w:tcW w:w="1285" w:type="dxa"/>
            <w:shd w:val="clear" w:color="auto" w:fill="auto"/>
            <w:vAlign w:val="bottom"/>
          </w:tcPr>
          <w:p w14:paraId="6A2DD74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639</w:t>
            </w:r>
          </w:p>
        </w:tc>
        <w:tc>
          <w:tcPr>
            <w:tcW w:w="1286" w:type="dxa"/>
            <w:shd w:val="clear" w:color="auto" w:fill="auto"/>
            <w:vAlign w:val="bottom"/>
          </w:tcPr>
          <w:p w14:paraId="7BA8AEB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47 241</w:t>
            </w:r>
          </w:p>
        </w:tc>
      </w:tr>
      <w:tr w:rsidR="00744544" w:rsidRPr="00A66C9F" w14:paraId="105537FF" w14:textId="77777777" w:rsidTr="00107D5D">
        <w:tc>
          <w:tcPr>
            <w:tcW w:w="2178" w:type="dxa"/>
            <w:shd w:val="clear" w:color="auto" w:fill="auto"/>
            <w:vAlign w:val="bottom"/>
          </w:tcPr>
          <w:p w14:paraId="03E603E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Bureau de la gestion des investissements</w:t>
            </w:r>
          </w:p>
        </w:tc>
        <w:tc>
          <w:tcPr>
            <w:tcW w:w="1285" w:type="dxa"/>
            <w:shd w:val="clear" w:color="auto" w:fill="auto"/>
            <w:vAlign w:val="bottom"/>
          </w:tcPr>
          <w:p w14:paraId="2A30127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43 702</w:t>
            </w:r>
          </w:p>
        </w:tc>
        <w:tc>
          <w:tcPr>
            <w:tcW w:w="1286" w:type="dxa"/>
            <w:shd w:val="clear" w:color="auto" w:fill="auto"/>
            <w:vAlign w:val="bottom"/>
          </w:tcPr>
          <w:p w14:paraId="1140B0B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7 593</w:t>
            </w:r>
          </w:p>
        </w:tc>
        <w:tc>
          <w:tcPr>
            <w:tcW w:w="1285" w:type="dxa"/>
            <w:shd w:val="clear" w:color="auto" w:fill="auto"/>
            <w:vAlign w:val="bottom"/>
          </w:tcPr>
          <w:p w14:paraId="79C7A49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 (8 139)</w:t>
            </w:r>
          </w:p>
        </w:tc>
        <w:tc>
          <w:tcPr>
            <w:tcW w:w="1286" w:type="dxa"/>
            <w:shd w:val="clear" w:color="auto" w:fill="auto"/>
            <w:vAlign w:val="bottom"/>
          </w:tcPr>
          <w:p w14:paraId="7B01D4F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43 156</w:t>
            </w:r>
          </w:p>
        </w:tc>
      </w:tr>
      <w:tr w:rsidR="00744544" w:rsidRPr="00A66C9F" w14:paraId="6CF93447" w14:textId="77777777" w:rsidTr="00107D5D">
        <w:tc>
          <w:tcPr>
            <w:tcW w:w="2178" w:type="dxa"/>
            <w:shd w:val="clear" w:color="auto" w:fill="auto"/>
            <w:vAlign w:val="bottom"/>
          </w:tcPr>
          <w:p w14:paraId="3051E0C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Audit</w:t>
            </w:r>
          </w:p>
        </w:tc>
        <w:tc>
          <w:tcPr>
            <w:tcW w:w="1285" w:type="dxa"/>
            <w:shd w:val="clear" w:color="auto" w:fill="auto"/>
            <w:vAlign w:val="bottom"/>
          </w:tcPr>
          <w:p w14:paraId="5028A2B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1 458</w:t>
            </w:r>
          </w:p>
        </w:tc>
        <w:tc>
          <w:tcPr>
            <w:tcW w:w="1286" w:type="dxa"/>
            <w:shd w:val="clear" w:color="auto" w:fill="auto"/>
            <w:vAlign w:val="bottom"/>
          </w:tcPr>
          <w:p w14:paraId="41F6DBF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(145)</w:t>
            </w:r>
          </w:p>
        </w:tc>
        <w:tc>
          <w:tcPr>
            <w:tcW w:w="1285" w:type="dxa"/>
            <w:shd w:val="clear" w:color="auto" w:fill="auto"/>
            <w:vAlign w:val="bottom"/>
          </w:tcPr>
          <w:p w14:paraId="3662316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431</w:t>
            </w:r>
          </w:p>
        </w:tc>
        <w:tc>
          <w:tcPr>
            <w:tcW w:w="1286" w:type="dxa"/>
            <w:shd w:val="clear" w:color="auto" w:fill="auto"/>
            <w:vAlign w:val="bottom"/>
          </w:tcPr>
          <w:p w14:paraId="700E3AF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1 744</w:t>
            </w:r>
          </w:p>
        </w:tc>
      </w:tr>
      <w:tr w:rsidR="00744544" w:rsidRPr="00A66C9F" w14:paraId="49983282" w14:textId="77777777" w:rsidTr="00107D5D">
        <w:tc>
          <w:tcPr>
            <w:tcW w:w="2178" w:type="dxa"/>
            <w:tcBorders>
              <w:bottom w:val="single" w:sz="4" w:space="0" w:color="auto"/>
            </w:tcBorders>
            <w:shd w:val="clear" w:color="auto" w:fill="auto"/>
            <w:vAlign w:val="bottom"/>
          </w:tcPr>
          <w:p w14:paraId="2F576F1F" w14:textId="77777777" w:rsidR="00744544" w:rsidRPr="00A66C9F" w:rsidRDefault="00744544" w:rsidP="00107D5D">
            <w:pPr>
              <w:tabs>
                <w:tab w:val="left" w:pos="288"/>
                <w:tab w:val="left" w:pos="576"/>
                <w:tab w:val="left" w:pos="864"/>
                <w:tab w:val="left" w:pos="1152"/>
              </w:tabs>
              <w:suppressAutoHyphens/>
              <w:spacing w:before="40" w:after="81" w:line="210" w:lineRule="exact"/>
              <w:ind w:right="40"/>
              <w:rPr>
                <w:sz w:val="17"/>
                <w:lang w:val="fr-FR"/>
              </w:rPr>
            </w:pPr>
            <w:r w:rsidRPr="00A66C9F">
              <w:rPr>
                <w:sz w:val="17"/>
                <w:lang w:val="fr-FR"/>
              </w:rPr>
              <w:t>Comité mixte</w:t>
            </w:r>
          </w:p>
        </w:tc>
        <w:tc>
          <w:tcPr>
            <w:tcW w:w="1285" w:type="dxa"/>
            <w:tcBorders>
              <w:bottom w:val="single" w:sz="4" w:space="0" w:color="auto"/>
            </w:tcBorders>
            <w:shd w:val="clear" w:color="auto" w:fill="auto"/>
            <w:vAlign w:val="bottom"/>
          </w:tcPr>
          <w:p w14:paraId="484EBE52"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512</w:t>
            </w:r>
          </w:p>
        </w:tc>
        <w:tc>
          <w:tcPr>
            <w:tcW w:w="1286" w:type="dxa"/>
            <w:tcBorders>
              <w:bottom w:val="single" w:sz="4" w:space="0" w:color="auto"/>
            </w:tcBorders>
            <w:shd w:val="clear" w:color="auto" w:fill="auto"/>
            <w:vAlign w:val="bottom"/>
          </w:tcPr>
          <w:p w14:paraId="0FE82343"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44</w:t>
            </w:r>
          </w:p>
        </w:tc>
        <w:tc>
          <w:tcPr>
            <w:tcW w:w="1285" w:type="dxa"/>
            <w:tcBorders>
              <w:bottom w:val="single" w:sz="4" w:space="0" w:color="auto"/>
            </w:tcBorders>
            <w:shd w:val="clear" w:color="auto" w:fill="auto"/>
            <w:vAlign w:val="bottom"/>
          </w:tcPr>
          <w:p w14:paraId="579D8227"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326</w:t>
            </w:r>
          </w:p>
        </w:tc>
        <w:tc>
          <w:tcPr>
            <w:tcW w:w="1286" w:type="dxa"/>
            <w:tcBorders>
              <w:bottom w:val="single" w:sz="4" w:space="0" w:color="auto"/>
            </w:tcBorders>
            <w:shd w:val="clear" w:color="auto" w:fill="auto"/>
            <w:vAlign w:val="bottom"/>
          </w:tcPr>
          <w:p w14:paraId="5096F094"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882</w:t>
            </w:r>
          </w:p>
        </w:tc>
      </w:tr>
      <w:tr w:rsidR="00744544" w:rsidRPr="00A66C9F" w14:paraId="422EAC28" w14:textId="77777777" w:rsidTr="00107D5D">
        <w:tc>
          <w:tcPr>
            <w:tcW w:w="2178" w:type="dxa"/>
            <w:tcBorders>
              <w:top w:val="single" w:sz="4" w:space="0" w:color="auto"/>
              <w:bottom w:val="single" w:sz="12" w:space="0" w:color="auto"/>
            </w:tcBorders>
            <w:shd w:val="clear" w:color="auto" w:fill="auto"/>
            <w:vAlign w:val="bottom"/>
          </w:tcPr>
          <w:p w14:paraId="6ED68FC6" w14:textId="77777777" w:rsidR="00744544" w:rsidRPr="00A66C9F" w:rsidRDefault="00744544" w:rsidP="00107D5D">
            <w:pPr>
              <w:tabs>
                <w:tab w:val="left" w:pos="288"/>
                <w:tab w:val="left" w:pos="576"/>
                <w:tab w:val="left" w:pos="864"/>
                <w:tab w:val="left" w:pos="1152"/>
              </w:tabs>
              <w:suppressAutoHyphens/>
              <w:spacing w:before="81" w:after="81" w:line="210" w:lineRule="exact"/>
              <w:ind w:right="40"/>
              <w:rPr>
                <w:b/>
                <w:sz w:val="17"/>
                <w:lang w:val="fr-FR"/>
              </w:rPr>
            </w:pPr>
            <w:r w:rsidRPr="00A66C9F">
              <w:rPr>
                <w:b/>
                <w:sz w:val="17"/>
                <w:lang w:val="fr-FR"/>
              </w:rPr>
              <w:tab/>
              <w:t>Total</w:t>
            </w:r>
          </w:p>
        </w:tc>
        <w:tc>
          <w:tcPr>
            <w:tcW w:w="1285" w:type="dxa"/>
            <w:tcBorders>
              <w:top w:val="single" w:sz="4" w:space="0" w:color="auto"/>
              <w:bottom w:val="single" w:sz="12" w:space="0" w:color="auto"/>
            </w:tcBorders>
            <w:shd w:val="clear" w:color="auto" w:fill="auto"/>
            <w:vAlign w:val="bottom"/>
          </w:tcPr>
          <w:p w14:paraId="38568402"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95 893</w:t>
            </w:r>
          </w:p>
        </w:tc>
        <w:tc>
          <w:tcPr>
            <w:tcW w:w="1286" w:type="dxa"/>
            <w:tcBorders>
              <w:top w:val="single" w:sz="4" w:space="0" w:color="auto"/>
              <w:bottom w:val="single" w:sz="12" w:space="0" w:color="auto"/>
            </w:tcBorders>
            <w:shd w:val="clear" w:color="auto" w:fill="auto"/>
            <w:vAlign w:val="bottom"/>
          </w:tcPr>
          <w:p w14:paraId="6A131BE9"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3 873</w:t>
            </w:r>
          </w:p>
        </w:tc>
        <w:tc>
          <w:tcPr>
            <w:tcW w:w="1285" w:type="dxa"/>
            <w:tcBorders>
              <w:top w:val="single" w:sz="4" w:space="0" w:color="auto"/>
              <w:bottom w:val="single" w:sz="12" w:space="0" w:color="auto"/>
            </w:tcBorders>
            <w:shd w:val="clear" w:color="auto" w:fill="auto"/>
            <w:vAlign w:val="bottom"/>
          </w:tcPr>
          <w:p w14:paraId="7A22BC04"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(6 743)</w:t>
            </w:r>
          </w:p>
        </w:tc>
        <w:tc>
          <w:tcPr>
            <w:tcW w:w="1286" w:type="dxa"/>
            <w:tcBorders>
              <w:top w:val="single" w:sz="4" w:space="0" w:color="auto"/>
              <w:bottom w:val="single" w:sz="12" w:space="0" w:color="auto"/>
            </w:tcBorders>
            <w:shd w:val="clear" w:color="auto" w:fill="auto"/>
            <w:vAlign w:val="bottom"/>
          </w:tcPr>
          <w:p w14:paraId="2193E7C1"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93 023</w:t>
            </w:r>
          </w:p>
        </w:tc>
      </w:tr>
    </w:tbl>
    <w:p w14:paraId="138F5A98" w14:textId="77777777" w:rsidR="00744544" w:rsidRPr="00A66C9F" w:rsidRDefault="00744544" w:rsidP="00744544">
      <w:pPr>
        <w:pStyle w:val="SingleTxt"/>
        <w:spacing w:after="0" w:line="120" w:lineRule="exact"/>
        <w:rPr>
          <w:sz w:val="10"/>
          <w:lang w:val="fr-FR"/>
        </w:rPr>
      </w:pPr>
    </w:p>
    <w:p w14:paraId="7D932772" w14:textId="77777777" w:rsidR="00744544" w:rsidRPr="00A66C9F" w:rsidRDefault="00744544" w:rsidP="00744544">
      <w:pPr>
        <w:pStyle w:val="SingleTxt"/>
        <w:spacing w:after="0" w:line="120" w:lineRule="exact"/>
        <w:rPr>
          <w:sz w:val="10"/>
          <w:lang w:val="fr-FR"/>
        </w:rPr>
      </w:pPr>
    </w:p>
    <w:p w14:paraId="115D4364" w14:textId="5B58C1E2" w:rsidR="00744544" w:rsidRPr="00A66C9F" w:rsidRDefault="00744544" w:rsidP="00753AB8">
      <w:pPr>
        <w:pStyle w:val="SingleTxt"/>
        <w:numPr>
          <w:ilvl w:val="0"/>
          <w:numId w:val="19"/>
        </w:numPr>
        <w:spacing w:line="240" w:lineRule="exact"/>
        <w:rPr>
          <w:lang w:val="fr-FR"/>
        </w:rPr>
      </w:pPr>
      <w:r w:rsidRPr="00A66C9F">
        <w:rPr>
          <w:lang w:val="fr-FR"/>
        </w:rPr>
        <w:t xml:space="preserve">L’Assemblée générale a approuvé le montant initial des crédits pour l’exercice biennal 2018-2019 dans sa résolution </w:t>
      </w:r>
      <w:hyperlink r:id="rId39" w:history="1">
        <w:r w:rsidRPr="00A66C9F">
          <w:rPr>
            <w:rStyle w:val="Hyperlink"/>
            <w:lang w:val="fr-FR"/>
          </w:rPr>
          <w:t>72/262</w:t>
        </w:r>
      </w:hyperlink>
      <w:r w:rsidRPr="00A66C9F">
        <w:rPr>
          <w:lang w:val="fr-FR"/>
        </w:rPr>
        <w:t xml:space="preserve"> A et le montant définitif de ces crédits dans sa résolution </w:t>
      </w:r>
      <w:hyperlink r:id="rId40" w:history="1">
        <w:r w:rsidRPr="00A66C9F">
          <w:rPr>
            <w:rStyle w:val="Hyperlink"/>
            <w:lang w:val="fr-FR"/>
          </w:rPr>
          <w:t>74/263</w:t>
        </w:r>
      </w:hyperlink>
      <w:r w:rsidRPr="00A66C9F">
        <w:rPr>
          <w:lang w:val="fr-FR"/>
        </w:rPr>
        <w:t>.</w:t>
      </w:r>
    </w:p>
    <w:p w14:paraId="41EF1A49" w14:textId="77777777" w:rsidR="00744544" w:rsidRPr="00A66C9F" w:rsidRDefault="00744544" w:rsidP="00744544">
      <w:pPr>
        <w:pStyle w:val="SingleTxt"/>
        <w:spacing w:after="0" w:line="120" w:lineRule="exact"/>
        <w:rPr>
          <w:sz w:val="10"/>
          <w:lang w:val="fr-FR"/>
        </w:rPr>
      </w:pPr>
    </w:p>
    <w:p w14:paraId="0CD03CE3"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t>21.2</w:t>
      </w:r>
      <w:r w:rsidRPr="00A66C9F">
        <w:rPr>
          <w:lang w:val="fr-FR"/>
        </w:rPr>
        <w:tab/>
        <w:t>Rapprochement des montants effectifs, calculés sur une base comparable,</w:t>
      </w:r>
      <w:r w:rsidRPr="00A66C9F">
        <w:rPr>
          <w:lang w:val="fr-FR"/>
        </w:rPr>
        <w:br/>
        <w:t>et des montants figurant dans l’état des variations de l’actif net disponible</w:t>
      </w:r>
      <w:r w:rsidRPr="00A66C9F">
        <w:rPr>
          <w:lang w:val="fr-FR"/>
        </w:rPr>
        <w:br/>
        <w:t>pour le versement des prestations</w:t>
      </w:r>
    </w:p>
    <w:p w14:paraId="2BBC8631" w14:textId="77777777" w:rsidR="00744544" w:rsidRPr="00A66C9F" w:rsidRDefault="00744544" w:rsidP="00744544">
      <w:pPr>
        <w:pStyle w:val="SingleTxt"/>
        <w:spacing w:after="0" w:line="120" w:lineRule="exact"/>
        <w:rPr>
          <w:sz w:val="10"/>
          <w:lang w:val="fr-FR"/>
        </w:rPr>
      </w:pPr>
    </w:p>
    <w:p w14:paraId="7A74C257" w14:textId="77777777" w:rsidR="00744544" w:rsidRPr="00A66C9F" w:rsidRDefault="00744544" w:rsidP="00753AB8">
      <w:pPr>
        <w:pStyle w:val="SingleTxt"/>
        <w:numPr>
          <w:ilvl w:val="0"/>
          <w:numId w:val="19"/>
        </w:numPr>
        <w:spacing w:line="240" w:lineRule="exact"/>
        <w:rPr>
          <w:lang w:val="fr-FR"/>
        </w:rPr>
      </w:pPr>
      <w:r w:rsidRPr="00A66C9F">
        <w:rPr>
          <w:lang w:val="fr-FR"/>
        </w:rPr>
        <w:t>Les différences entre les montants effectifs calculés sur une base comparable avec les montants inscrits au budget et les montants effectifs portés sur les états financiers peuvent être rangées dans les catégories suivantes :</w:t>
      </w:r>
    </w:p>
    <w:p w14:paraId="6C507AD0" w14:textId="77777777" w:rsidR="00744544" w:rsidRPr="00A66C9F" w:rsidRDefault="00744544" w:rsidP="00744544">
      <w:pPr>
        <w:pStyle w:val="SingleTxt"/>
        <w:rPr>
          <w:lang w:val="fr-FR"/>
        </w:rPr>
      </w:pPr>
      <w:r w:rsidRPr="00A66C9F">
        <w:rPr>
          <w:lang w:val="fr-FR"/>
        </w:rPr>
        <w:tab/>
        <w:t>a)</w:t>
      </w:r>
      <w:r w:rsidRPr="00A66C9F">
        <w:rPr>
          <w:lang w:val="fr-FR"/>
        </w:rPr>
        <w:tab/>
        <w:t>Différences liées à la méthode de calcul, qui surviennent lorsque le budget approuvé est établi selon une méthode autre que la méthode de comptabilité, comme indiqué dans la note 3.14 ;</w:t>
      </w:r>
    </w:p>
    <w:p w14:paraId="66847D77" w14:textId="77777777" w:rsidR="00744544" w:rsidRPr="00A66C9F" w:rsidRDefault="00744544" w:rsidP="00744544">
      <w:pPr>
        <w:pStyle w:val="SingleTxt"/>
        <w:rPr>
          <w:lang w:val="fr-FR"/>
        </w:rPr>
      </w:pPr>
      <w:r w:rsidRPr="00A66C9F">
        <w:rPr>
          <w:lang w:val="fr-FR"/>
        </w:rPr>
        <w:tab/>
        <w:t>b)</w:t>
      </w:r>
      <w:r w:rsidRPr="00A66C9F">
        <w:rPr>
          <w:lang w:val="fr-FR"/>
        </w:rPr>
        <w:tab/>
        <w:t>Écarts de dates, qui surviennent lorsque l’exercice budgétaire diffère de la période comptable sur laquelle portent les états financiers. Ce cas de figure ne concerne pas la Caisse ;</w:t>
      </w:r>
    </w:p>
    <w:p w14:paraId="03CE1A79" w14:textId="77777777" w:rsidR="00744544" w:rsidRPr="00A66C9F" w:rsidRDefault="00744544" w:rsidP="00744544">
      <w:pPr>
        <w:pStyle w:val="SingleTxt"/>
        <w:rPr>
          <w:lang w:val="fr-FR"/>
        </w:rPr>
      </w:pPr>
      <w:r w:rsidRPr="00A66C9F">
        <w:rPr>
          <w:lang w:val="fr-FR"/>
        </w:rPr>
        <w:tab/>
        <w:t>c)</w:t>
      </w:r>
      <w:r w:rsidRPr="00A66C9F">
        <w:rPr>
          <w:lang w:val="fr-FR"/>
        </w:rPr>
        <w:tab/>
        <w:t>Différences relatives aux entités prises en compte, qui surviennent lorsque des programmes ou des entités qui relèvent de l’organisme pour lequel les états financiers sont établis ne sont pas pris en compte dans le budget. Ce cas de figure ne concerne pas la Caisse.</w:t>
      </w:r>
    </w:p>
    <w:p w14:paraId="14DA3813" w14:textId="77777777" w:rsidR="00744544" w:rsidRPr="00A66C9F" w:rsidRDefault="00744544" w:rsidP="00744544">
      <w:pPr>
        <w:pStyle w:val="SingleTxt"/>
        <w:spacing w:after="0" w:line="120" w:lineRule="exact"/>
        <w:rPr>
          <w:sz w:val="10"/>
          <w:lang w:val="fr-FR"/>
        </w:rPr>
      </w:pPr>
    </w:p>
    <w:p w14:paraId="12A5F983" w14:textId="77777777" w:rsidR="00744544" w:rsidRPr="00A66C9F" w:rsidRDefault="00744544" w:rsidP="0074454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lang w:val="fr-FR"/>
        </w:rPr>
        <w:tab/>
      </w:r>
      <w:r w:rsidRPr="00A66C9F">
        <w:rPr>
          <w:lang w:val="fr-FR"/>
        </w:rPr>
        <w:tab/>
      </w:r>
      <w:r w:rsidRPr="00A66C9F">
        <w:rPr>
          <w:sz w:val="14"/>
          <w:szCs w:val="14"/>
          <w:lang w:val="fr-FR"/>
        </w:rPr>
        <w:t>(En milliers de dollars des États-Unis)</w:t>
      </w:r>
    </w:p>
    <w:p w14:paraId="0461CA72" w14:textId="77777777" w:rsidR="00744544" w:rsidRPr="00A66C9F" w:rsidRDefault="00744544" w:rsidP="00744544">
      <w:pPr>
        <w:pStyle w:val="SingleTxt"/>
        <w:spacing w:after="0" w:line="120" w:lineRule="exact"/>
        <w:rPr>
          <w:sz w:val="10"/>
          <w:lang w:val="fr-FR"/>
        </w:rPr>
      </w:pPr>
    </w:p>
    <w:p w14:paraId="36A01F34" w14:textId="77777777" w:rsidR="00744544" w:rsidRPr="00A66C9F" w:rsidRDefault="00744544" w:rsidP="00744544">
      <w:pPr>
        <w:pStyle w:val="SingleTxt"/>
        <w:spacing w:after="0" w:line="120" w:lineRule="exact"/>
        <w:rPr>
          <w:sz w:val="10"/>
          <w:lang w:val="fr-FR"/>
        </w:rPr>
      </w:pPr>
    </w:p>
    <w:tbl>
      <w:tblPr>
        <w:tblW w:w="7320" w:type="dxa"/>
        <w:tblInd w:w="1260" w:type="dxa"/>
        <w:tblLayout w:type="fixed"/>
        <w:tblCellMar>
          <w:left w:w="0" w:type="dxa"/>
          <w:right w:w="0" w:type="dxa"/>
        </w:tblCellMar>
        <w:tblLook w:val="04A0" w:firstRow="1" w:lastRow="0" w:firstColumn="1" w:lastColumn="0" w:noHBand="0" w:noVBand="1"/>
      </w:tblPr>
      <w:tblGrid>
        <w:gridCol w:w="4167"/>
        <w:gridCol w:w="1576"/>
        <w:gridCol w:w="1577"/>
      </w:tblGrid>
      <w:tr w:rsidR="00744544" w:rsidRPr="00A66C9F" w14:paraId="4ED5D146" w14:textId="77777777" w:rsidTr="00107D5D">
        <w:trPr>
          <w:tblHeader/>
        </w:trPr>
        <w:tc>
          <w:tcPr>
            <w:tcW w:w="4167" w:type="dxa"/>
            <w:tcBorders>
              <w:top w:val="single" w:sz="4" w:space="0" w:color="auto"/>
              <w:bottom w:val="single" w:sz="12" w:space="0" w:color="auto"/>
            </w:tcBorders>
            <w:shd w:val="clear" w:color="auto" w:fill="auto"/>
            <w:vAlign w:val="bottom"/>
          </w:tcPr>
          <w:p w14:paraId="37D9D2AD" w14:textId="77777777" w:rsidR="00744544" w:rsidRPr="00A66C9F" w:rsidRDefault="00744544" w:rsidP="00107D5D">
            <w:pPr>
              <w:suppressAutoHyphens/>
              <w:spacing w:before="81" w:after="81" w:line="160" w:lineRule="exact"/>
              <w:ind w:right="40"/>
              <w:rPr>
                <w:i/>
                <w:sz w:val="14"/>
                <w:lang w:val="fr-FR"/>
              </w:rPr>
            </w:pPr>
          </w:p>
        </w:tc>
        <w:tc>
          <w:tcPr>
            <w:tcW w:w="1576" w:type="dxa"/>
            <w:tcBorders>
              <w:top w:val="single" w:sz="4" w:space="0" w:color="auto"/>
              <w:bottom w:val="single" w:sz="12" w:space="0" w:color="auto"/>
            </w:tcBorders>
            <w:shd w:val="clear" w:color="auto" w:fill="auto"/>
            <w:vAlign w:val="bottom"/>
          </w:tcPr>
          <w:p w14:paraId="3A7406F2"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2019</w:t>
            </w:r>
          </w:p>
        </w:tc>
        <w:tc>
          <w:tcPr>
            <w:tcW w:w="1577" w:type="dxa"/>
            <w:tcBorders>
              <w:top w:val="single" w:sz="4" w:space="0" w:color="auto"/>
              <w:bottom w:val="single" w:sz="12" w:space="0" w:color="auto"/>
            </w:tcBorders>
            <w:shd w:val="clear" w:color="auto" w:fill="auto"/>
            <w:vAlign w:val="bottom"/>
          </w:tcPr>
          <w:p w14:paraId="103B526D"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2018</w:t>
            </w:r>
          </w:p>
        </w:tc>
      </w:tr>
      <w:tr w:rsidR="00744544" w:rsidRPr="00A66C9F" w14:paraId="19A0F53A" w14:textId="77777777" w:rsidTr="00107D5D">
        <w:trPr>
          <w:trHeight w:hRule="exact" w:val="115"/>
          <w:tblHeader/>
        </w:trPr>
        <w:tc>
          <w:tcPr>
            <w:tcW w:w="4167" w:type="dxa"/>
            <w:tcBorders>
              <w:top w:val="single" w:sz="12" w:space="0" w:color="auto"/>
            </w:tcBorders>
            <w:shd w:val="clear" w:color="auto" w:fill="auto"/>
            <w:vAlign w:val="bottom"/>
          </w:tcPr>
          <w:p w14:paraId="7BCA54AD" w14:textId="77777777" w:rsidR="00744544" w:rsidRPr="00A66C9F" w:rsidRDefault="00744544" w:rsidP="00107D5D">
            <w:pPr>
              <w:suppressAutoHyphens/>
              <w:spacing w:before="40" w:after="81" w:line="210" w:lineRule="exact"/>
              <w:ind w:right="40"/>
              <w:rPr>
                <w:sz w:val="17"/>
                <w:lang w:val="fr-FR"/>
              </w:rPr>
            </w:pPr>
          </w:p>
        </w:tc>
        <w:tc>
          <w:tcPr>
            <w:tcW w:w="1576" w:type="dxa"/>
            <w:tcBorders>
              <w:top w:val="single" w:sz="12" w:space="0" w:color="auto"/>
            </w:tcBorders>
            <w:shd w:val="clear" w:color="auto" w:fill="auto"/>
            <w:vAlign w:val="bottom"/>
          </w:tcPr>
          <w:p w14:paraId="1C1F606B" w14:textId="77777777" w:rsidR="00744544" w:rsidRPr="00A66C9F" w:rsidRDefault="00744544" w:rsidP="00107D5D">
            <w:pPr>
              <w:suppressAutoHyphens/>
              <w:spacing w:before="40" w:after="81" w:line="210" w:lineRule="exact"/>
              <w:ind w:right="43"/>
              <w:jc w:val="right"/>
              <w:rPr>
                <w:sz w:val="17"/>
                <w:lang w:val="fr-FR"/>
              </w:rPr>
            </w:pPr>
          </w:p>
        </w:tc>
        <w:tc>
          <w:tcPr>
            <w:tcW w:w="1577" w:type="dxa"/>
            <w:tcBorders>
              <w:top w:val="single" w:sz="12" w:space="0" w:color="auto"/>
            </w:tcBorders>
            <w:shd w:val="clear" w:color="auto" w:fill="auto"/>
            <w:vAlign w:val="bottom"/>
          </w:tcPr>
          <w:p w14:paraId="7AC2AE2D" w14:textId="77777777" w:rsidR="00744544" w:rsidRPr="00A66C9F" w:rsidRDefault="00744544" w:rsidP="00107D5D">
            <w:pPr>
              <w:suppressAutoHyphens/>
              <w:spacing w:before="40" w:after="81" w:line="210" w:lineRule="exact"/>
              <w:ind w:right="43"/>
              <w:jc w:val="right"/>
              <w:rPr>
                <w:sz w:val="17"/>
                <w:lang w:val="fr-FR"/>
              </w:rPr>
            </w:pPr>
          </w:p>
        </w:tc>
      </w:tr>
      <w:tr w:rsidR="00744544" w:rsidRPr="00A66C9F" w14:paraId="1AE84322" w14:textId="77777777" w:rsidTr="00107D5D">
        <w:tc>
          <w:tcPr>
            <w:tcW w:w="4167" w:type="dxa"/>
            <w:tcBorders>
              <w:bottom w:val="single" w:sz="4" w:space="0" w:color="auto"/>
            </w:tcBorders>
            <w:shd w:val="clear" w:color="auto" w:fill="auto"/>
            <w:vAlign w:val="bottom"/>
            <w:hideMark/>
          </w:tcPr>
          <w:p w14:paraId="4EEC75BB" w14:textId="77777777" w:rsidR="00744544" w:rsidRPr="00A66C9F" w:rsidRDefault="00744544" w:rsidP="00107D5D">
            <w:pPr>
              <w:tabs>
                <w:tab w:val="left" w:pos="288"/>
                <w:tab w:val="left" w:pos="576"/>
                <w:tab w:val="left" w:pos="864"/>
                <w:tab w:val="left" w:pos="1152"/>
              </w:tabs>
              <w:suppressAutoHyphens/>
              <w:spacing w:before="40" w:after="82" w:line="210" w:lineRule="exact"/>
              <w:ind w:right="40"/>
              <w:rPr>
                <w:b/>
                <w:sz w:val="17"/>
                <w:lang w:val="fr-FR"/>
              </w:rPr>
            </w:pPr>
            <w:r w:rsidRPr="00A66C9F">
              <w:rPr>
                <w:b/>
                <w:sz w:val="17"/>
                <w:lang w:val="fr-FR"/>
              </w:rPr>
              <w:t>Montant effectif calculé sur une base comparable</w:t>
            </w:r>
            <w:r w:rsidRPr="00A66C9F">
              <w:rPr>
                <w:bCs/>
                <w:i/>
                <w:iCs/>
                <w:sz w:val="17"/>
                <w:vertAlign w:val="superscript"/>
                <w:lang w:val="fr-FR"/>
              </w:rPr>
              <w:t>a</w:t>
            </w:r>
          </w:p>
        </w:tc>
        <w:tc>
          <w:tcPr>
            <w:tcW w:w="1576" w:type="dxa"/>
            <w:tcBorders>
              <w:bottom w:val="single" w:sz="4" w:space="0" w:color="auto"/>
            </w:tcBorders>
            <w:shd w:val="clear" w:color="auto" w:fill="auto"/>
            <w:vAlign w:val="bottom"/>
          </w:tcPr>
          <w:p w14:paraId="606D6198" w14:textId="77777777" w:rsidR="00744544" w:rsidRPr="00A66C9F" w:rsidRDefault="00744544" w:rsidP="00107D5D">
            <w:pPr>
              <w:tabs>
                <w:tab w:val="left" w:pos="288"/>
                <w:tab w:val="left" w:pos="576"/>
                <w:tab w:val="left" w:pos="864"/>
                <w:tab w:val="left" w:pos="1152"/>
              </w:tabs>
              <w:suppressAutoHyphens/>
              <w:spacing w:before="40" w:after="82" w:line="210" w:lineRule="exact"/>
              <w:ind w:right="43"/>
              <w:jc w:val="right"/>
              <w:rPr>
                <w:b/>
                <w:sz w:val="17"/>
                <w:lang w:val="fr-FR"/>
              </w:rPr>
            </w:pPr>
            <w:r w:rsidRPr="00A66C9F">
              <w:rPr>
                <w:b/>
                <w:sz w:val="17"/>
                <w:lang w:val="fr-FR"/>
              </w:rPr>
              <w:t xml:space="preserve">71 763 </w:t>
            </w:r>
          </w:p>
        </w:tc>
        <w:tc>
          <w:tcPr>
            <w:tcW w:w="1577" w:type="dxa"/>
            <w:tcBorders>
              <w:bottom w:val="single" w:sz="4" w:space="0" w:color="auto"/>
            </w:tcBorders>
            <w:shd w:val="clear" w:color="auto" w:fill="auto"/>
            <w:vAlign w:val="bottom"/>
          </w:tcPr>
          <w:p w14:paraId="5F45FC2D" w14:textId="77777777" w:rsidR="00744544" w:rsidRPr="00A66C9F" w:rsidRDefault="00744544" w:rsidP="00107D5D">
            <w:pPr>
              <w:tabs>
                <w:tab w:val="left" w:pos="288"/>
                <w:tab w:val="left" w:pos="576"/>
                <w:tab w:val="left" w:pos="864"/>
                <w:tab w:val="left" w:pos="1152"/>
              </w:tabs>
              <w:suppressAutoHyphens/>
              <w:spacing w:before="40" w:after="82" w:line="210" w:lineRule="exact"/>
              <w:ind w:right="43"/>
              <w:jc w:val="right"/>
              <w:rPr>
                <w:b/>
                <w:sz w:val="17"/>
                <w:lang w:val="fr-FR"/>
              </w:rPr>
            </w:pPr>
            <w:r w:rsidRPr="00A66C9F">
              <w:rPr>
                <w:b/>
                <w:sz w:val="17"/>
                <w:lang w:val="fr-FR"/>
              </w:rPr>
              <w:t>79 835</w:t>
            </w:r>
          </w:p>
        </w:tc>
      </w:tr>
      <w:tr w:rsidR="00744544" w:rsidRPr="00A66C9F" w14:paraId="4DE49D48" w14:textId="77777777" w:rsidTr="00107D5D">
        <w:tc>
          <w:tcPr>
            <w:tcW w:w="4167" w:type="dxa"/>
            <w:tcBorders>
              <w:top w:val="single" w:sz="4" w:space="0" w:color="auto"/>
            </w:tcBorders>
            <w:shd w:val="clear" w:color="auto" w:fill="auto"/>
            <w:vAlign w:val="bottom"/>
            <w:hideMark/>
          </w:tcPr>
          <w:p w14:paraId="5B6441B2" w14:textId="77777777" w:rsidR="00744544" w:rsidRPr="00A66C9F" w:rsidRDefault="00744544" w:rsidP="00107D5D">
            <w:pPr>
              <w:tabs>
                <w:tab w:val="left" w:pos="288"/>
                <w:tab w:val="left" w:pos="576"/>
                <w:tab w:val="left" w:pos="864"/>
                <w:tab w:val="left" w:pos="1152"/>
              </w:tabs>
              <w:suppressAutoHyphens/>
              <w:spacing w:before="81" w:after="40" w:line="210" w:lineRule="exact"/>
              <w:ind w:right="40"/>
              <w:rPr>
                <w:sz w:val="17"/>
                <w:lang w:val="fr-FR"/>
              </w:rPr>
            </w:pPr>
            <w:r w:rsidRPr="00A66C9F">
              <w:rPr>
                <w:sz w:val="17"/>
                <w:lang w:val="fr-FR"/>
              </w:rPr>
              <w:t xml:space="preserve">Différences liées à la méthode de calcul </w:t>
            </w:r>
          </w:p>
        </w:tc>
        <w:tc>
          <w:tcPr>
            <w:tcW w:w="1576" w:type="dxa"/>
            <w:tcBorders>
              <w:top w:val="single" w:sz="4" w:space="0" w:color="auto"/>
            </w:tcBorders>
            <w:shd w:val="clear" w:color="auto" w:fill="auto"/>
            <w:vAlign w:val="bottom"/>
          </w:tcPr>
          <w:p w14:paraId="30393B68" w14:textId="77777777" w:rsidR="00744544" w:rsidRPr="00A66C9F" w:rsidRDefault="00744544" w:rsidP="00107D5D">
            <w:pPr>
              <w:tabs>
                <w:tab w:val="left" w:pos="288"/>
                <w:tab w:val="left" w:pos="576"/>
                <w:tab w:val="left" w:pos="864"/>
                <w:tab w:val="left" w:pos="1152"/>
              </w:tabs>
              <w:suppressAutoHyphens/>
              <w:spacing w:before="81" w:after="40" w:line="210" w:lineRule="exact"/>
              <w:ind w:right="43"/>
              <w:jc w:val="right"/>
              <w:rPr>
                <w:sz w:val="17"/>
                <w:lang w:val="fr-FR"/>
              </w:rPr>
            </w:pPr>
          </w:p>
        </w:tc>
        <w:tc>
          <w:tcPr>
            <w:tcW w:w="1577" w:type="dxa"/>
            <w:tcBorders>
              <w:top w:val="single" w:sz="4" w:space="0" w:color="auto"/>
            </w:tcBorders>
            <w:shd w:val="clear" w:color="auto" w:fill="auto"/>
            <w:vAlign w:val="bottom"/>
          </w:tcPr>
          <w:p w14:paraId="1EA8D448" w14:textId="77777777" w:rsidR="00744544" w:rsidRPr="00A66C9F" w:rsidRDefault="00744544" w:rsidP="00107D5D">
            <w:pPr>
              <w:tabs>
                <w:tab w:val="left" w:pos="288"/>
                <w:tab w:val="left" w:pos="576"/>
                <w:tab w:val="left" w:pos="864"/>
                <w:tab w:val="left" w:pos="1152"/>
              </w:tabs>
              <w:suppressAutoHyphens/>
              <w:spacing w:before="81" w:after="40" w:line="210" w:lineRule="exact"/>
              <w:ind w:right="43"/>
              <w:jc w:val="right"/>
              <w:rPr>
                <w:sz w:val="17"/>
                <w:lang w:val="fr-FR"/>
              </w:rPr>
            </w:pPr>
          </w:p>
        </w:tc>
      </w:tr>
      <w:tr w:rsidR="00744544" w:rsidRPr="00A66C9F" w14:paraId="6B20C11D" w14:textId="77777777" w:rsidTr="00107D5D">
        <w:tc>
          <w:tcPr>
            <w:tcW w:w="4167" w:type="dxa"/>
            <w:shd w:val="clear" w:color="auto" w:fill="auto"/>
            <w:vAlign w:val="bottom"/>
            <w:hideMark/>
          </w:tcPr>
          <w:p w14:paraId="5672A5CD" w14:textId="77777777" w:rsidR="00744544" w:rsidRPr="00A66C9F" w:rsidRDefault="00744544" w:rsidP="00107D5D">
            <w:pPr>
              <w:tabs>
                <w:tab w:val="left" w:pos="288"/>
                <w:tab w:val="left" w:pos="576"/>
                <w:tab w:val="left" w:pos="864"/>
                <w:tab w:val="left" w:pos="1152"/>
              </w:tabs>
              <w:suppressAutoHyphens/>
              <w:spacing w:before="40" w:after="40" w:line="210" w:lineRule="exact"/>
              <w:ind w:left="288" w:right="43"/>
              <w:rPr>
                <w:sz w:val="17"/>
                <w:lang w:val="fr-FR"/>
              </w:rPr>
            </w:pPr>
            <w:r w:rsidRPr="00A66C9F">
              <w:rPr>
                <w:sz w:val="17"/>
                <w:lang w:val="fr-FR"/>
              </w:rPr>
              <w:t>Entrées/sorties d’actifs</w:t>
            </w:r>
          </w:p>
        </w:tc>
        <w:tc>
          <w:tcPr>
            <w:tcW w:w="1576" w:type="dxa"/>
            <w:shd w:val="clear" w:color="auto" w:fill="auto"/>
            <w:vAlign w:val="bottom"/>
          </w:tcPr>
          <w:p w14:paraId="074F90B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(2 222)</w:t>
            </w:r>
          </w:p>
        </w:tc>
        <w:tc>
          <w:tcPr>
            <w:tcW w:w="1577" w:type="dxa"/>
            <w:shd w:val="clear" w:color="auto" w:fill="auto"/>
            <w:vAlign w:val="bottom"/>
          </w:tcPr>
          <w:p w14:paraId="126FEE9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(2 249)</w:t>
            </w:r>
          </w:p>
        </w:tc>
      </w:tr>
      <w:tr w:rsidR="00744544" w:rsidRPr="00A66C9F" w14:paraId="73A0A098" w14:textId="77777777" w:rsidTr="00107D5D">
        <w:tc>
          <w:tcPr>
            <w:tcW w:w="4167" w:type="dxa"/>
            <w:shd w:val="clear" w:color="auto" w:fill="auto"/>
            <w:vAlign w:val="bottom"/>
            <w:hideMark/>
          </w:tcPr>
          <w:p w14:paraId="629D6075" w14:textId="77777777" w:rsidR="00744544" w:rsidRPr="00A66C9F" w:rsidRDefault="00744544" w:rsidP="00107D5D">
            <w:pPr>
              <w:tabs>
                <w:tab w:val="left" w:pos="288"/>
                <w:tab w:val="left" w:pos="576"/>
                <w:tab w:val="left" w:pos="864"/>
                <w:tab w:val="left" w:pos="1152"/>
              </w:tabs>
              <w:suppressAutoHyphens/>
              <w:spacing w:before="40" w:after="40" w:line="210" w:lineRule="exact"/>
              <w:ind w:left="288" w:right="43"/>
              <w:rPr>
                <w:sz w:val="17"/>
                <w:lang w:val="fr-FR"/>
              </w:rPr>
            </w:pPr>
            <w:r w:rsidRPr="00A66C9F">
              <w:rPr>
                <w:sz w:val="17"/>
                <w:lang w:val="fr-FR"/>
              </w:rPr>
              <w:t>Amortissements et dépréciations</w:t>
            </w:r>
          </w:p>
        </w:tc>
        <w:tc>
          <w:tcPr>
            <w:tcW w:w="1576" w:type="dxa"/>
            <w:shd w:val="clear" w:color="auto" w:fill="auto"/>
            <w:vAlign w:val="bottom"/>
          </w:tcPr>
          <w:p w14:paraId="4A8A4A2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2 464 </w:t>
            </w:r>
          </w:p>
        </w:tc>
        <w:tc>
          <w:tcPr>
            <w:tcW w:w="1577" w:type="dxa"/>
            <w:shd w:val="clear" w:color="auto" w:fill="auto"/>
            <w:vAlign w:val="bottom"/>
          </w:tcPr>
          <w:p w14:paraId="364AEE31"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4 719</w:t>
            </w:r>
          </w:p>
        </w:tc>
      </w:tr>
      <w:tr w:rsidR="00744544" w:rsidRPr="00A66C9F" w14:paraId="6163F2C6" w14:textId="77777777" w:rsidTr="00107D5D">
        <w:tc>
          <w:tcPr>
            <w:tcW w:w="4167" w:type="dxa"/>
            <w:shd w:val="clear" w:color="auto" w:fill="auto"/>
            <w:vAlign w:val="bottom"/>
            <w:hideMark/>
          </w:tcPr>
          <w:p w14:paraId="743DDC67" w14:textId="77777777" w:rsidR="00744544" w:rsidRPr="00A66C9F" w:rsidRDefault="00744544" w:rsidP="00107D5D">
            <w:pPr>
              <w:tabs>
                <w:tab w:val="left" w:pos="288"/>
                <w:tab w:val="left" w:pos="576"/>
                <w:tab w:val="left" w:pos="864"/>
                <w:tab w:val="left" w:pos="1152"/>
              </w:tabs>
              <w:suppressAutoHyphens/>
              <w:spacing w:before="40" w:after="40" w:line="210" w:lineRule="exact"/>
              <w:ind w:left="288" w:right="43"/>
              <w:rPr>
                <w:sz w:val="17"/>
                <w:lang w:val="fr-FR"/>
              </w:rPr>
            </w:pPr>
            <w:r w:rsidRPr="00A66C9F">
              <w:rPr>
                <w:sz w:val="17"/>
                <w:lang w:val="fr-FR"/>
              </w:rPr>
              <w:t>Engagements non réglés</w:t>
            </w:r>
          </w:p>
        </w:tc>
        <w:tc>
          <w:tcPr>
            <w:tcW w:w="1576" w:type="dxa"/>
            <w:shd w:val="clear" w:color="auto" w:fill="auto"/>
            <w:vAlign w:val="bottom"/>
          </w:tcPr>
          <w:p w14:paraId="043D5EE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5 322 </w:t>
            </w:r>
          </w:p>
        </w:tc>
        <w:tc>
          <w:tcPr>
            <w:tcW w:w="1577" w:type="dxa"/>
            <w:shd w:val="clear" w:color="auto" w:fill="auto"/>
            <w:vAlign w:val="bottom"/>
          </w:tcPr>
          <w:p w14:paraId="416F2ED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(6 846)</w:t>
            </w:r>
          </w:p>
        </w:tc>
      </w:tr>
      <w:tr w:rsidR="00744544" w:rsidRPr="00A66C9F" w14:paraId="2DD4747A" w14:textId="77777777" w:rsidTr="00107D5D">
        <w:tc>
          <w:tcPr>
            <w:tcW w:w="4167" w:type="dxa"/>
            <w:shd w:val="clear" w:color="auto" w:fill="auto"/>
            <w:vAlign w:val="bottom"/>
            <w:hideMark/>
          </w:tcPr>
          <w:p w14:paraId="52657084" w14:textId="77777777" w:rsidR="00744544" w:rsidRPr="00A66C9F" w:rsidRDefault="00744544" w:rsidP="00107D5D">
            <w:pPr>
              <w:tabs>
                <w:tab w:val="left" w:pos="288"/>
                <w:tab w:val="left" w:pos="576"/>
                <w:tab w:val="left" w:pos="864"/>
                <w:tab w:val="left" w:pos="1152"/>
              </w:tabs>
              <w:suppressAutoHyphens/>
              <w:spacing w:before="40" w:after="40" w:line="210" w:lineRule="exact"/>
              <w:ind w:left="288" w:right="43"/>
              <w:rPr>
                <w:sz w:val="17"/>
                <w:lang w:val="fr-FR"/>
              </w:rPr>
            </w:pPr>
            <w:r w:rsidRPr="00A66C9F">
              <w:rPr>
                <w:sz w:val="17"/>
                <w:lang w:val="fr-FR"/>
              </w:rPr>
              <w:t>Charges comptabilisées d’avance</w:t>
            </w:r>
          </w:p>
        </w:tc>
        <w:tc>
          <w:tcPr>
            <w:tcW w:w="1576" w:type="dxa"/>
            <w:shd w:val="clear" w:color="auto" w:fill="auto"/>
            <w:vAlign w:val="bottom"/>
          </w:tcPr>
          <w:p w14:paraId="189A68F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(722)</w:t>
            </w:r>
          </w:p>
        </w:tc>
        <w:tc>
          <w:tcPr>
            <w:tcW w:w="1577" w:type="dxa"/>
            <w:shd w:val="clear" w:color="auto" w:fill="auto"/>
            <w:vAlign w:val="bottom"/>
          </w:tcPr>
          <w:p w14:paraId="76B8E27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406</w:t>
            </w:r>
          </w:p>
        </w:tc>
      </w:tr>
      <w:tr w:rsidR="00744544" w:rsidRPr="00A66C9F" w14:paraId="4E758547" w14:textId="77777777" w:rsidTr="00107D5D">
        <w:tc>
          <w:tcPr>
            <w:tcW w:w="4167" w:type="dxa"/>
            <w:shd w:val="clear" w:color="auto" w:fill="auto"/>
            <w:vAlign w:val="bottom"/>
            <w:hideMark/>
          </w:tcPr>
          <w:p w14:paraId="4A853B5F" w14:textId="77777777" w:rsidR="00744544" w:rsidRPr="00A66C9F" w:rsidRDefault="00744544" w:rsidP="00107D5D">
            <w:pPr>
              <w:tabs>
                <w:tab w:val="left" w:pos="288"/>
                <w:tab w:val="left" w:pos="576"/>
                <w:tab w:val="left" w:pos="864"/>
                <w:tab w:val="left" w:pos="1152"/>
              </w:tabs>
              <w:suppressAutoHyphens/>
              <w:spacing w:before="40" w:after="40" w:line="210" w:lineRule="exact"/>
              <w:ind w:left="288" w:right="43"/>
              <w:rPr>
                <w:sz w:val="17"/>
                <w:lang w:val="fr-FR"/>
              </w:rPr>
            </w:pPr>
            <w:r w:rsidRPr="00A66C9F">
              <w:rPr>
                <w:sz w:val="17"/>
                <w:lang w:val="fr-FR"/>
              </w:rPr>
              <w:t>Avantages du personnel</w:t>
            </w:r>
          </w:p>
        </w:tc>
        <w:tc>
          <w:tcPr>
            <w:tcW w:w="1576" w:type="dxa"/>
            <w:shd w:val="clear" w:color="auto" w:fill="auto"/>
            <w:vAlign w:val="bottom"/>
          </w:tcPr>
          <w:p w14:paraId="7443773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16 087 </w:t>
            </w:r>
          </w:p>
        </w:tc>
        <w:tc>
          <w:tcPr>
            <w:tcW w:w="1577" w:type="dxa"/>
            <w:shd w:val="clear" w:color="auto" w:fill="auto"/>
            <w:vAlign w:val="bottom"/>
          </w:tcPr>
          <w:p w14:paraId="5B4057C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(6 479)</w:t>
            </w:r>
          </w:p>
        </w:tc>
      </w:tr>
      <w:tr w:rsidR="00744544" w:rsidRPr="00A66C9F" w14:paraId="0AD52837" w14:textId="77777777" w:rsidTr="00107D5D">
        <w:tc>
          <w:tcPr>
            <w:tcW w:w="4167" w:type="dxa"/>
            <w:tcBorders>
              <w:bottom w:val="single" w:sz="4" w:space="0" w:color="auto"/>
            </w:tcBorders>
            <w:shd w:val="clear" w:color="auto" w:fill="auto"/>
            <w:vAlign w:val="bottom"/>
            <w:hideMark/>
          </w:tcPr>
          <w:p w14:paraId="0D86CFE9" w14:textId="77777777" w:rsidR="00744544" w:rsidRPr="00A66C9F" w:rsidRDefault="00744544" w:rsidP="00107D5D">
            <w:pPr>
              <w:tabs>
                <w:tab w:val="left" w:pos="288"/>
                <w:tab w:val="left" w:pos="576"/>
                <w:tab w:val="left" w:pos="864"/>
                <w:tab w:val="left" w:pos="1152"/>
              </w:tabs>
              <w:suppressAutoHyphens/>
              <w:spacing w:before="40" w:after="81" w:line="210" w:lineRule="exact"/>
              <w:ind w:left="288" w:right="43"/>
              <w:rPr>
                <w:sz w:val="17"/>
                <w:lang w:val="fr-FR"/>
              </w:rPr>
            </w:pPr>
            <w:r w:rsidRPr="00A66C9F">
              <w:rPr>
                <w:sz w:val="17"/>
                <w:lang w:val="fr-FR"/>
              </w:rPr>
              <w:t>Autres charges à payer</w:t>
            </w:r>
          </w:p>
        </w:tc>
        <w:tc>
          <w:tcPr>
            <w:tcW w:w="1576" w:type="dxa"/>
            <w:tcBorders>
              <w:bottom w:val="single" w:sz="4" w:space="0" w:color="auto"/>
            </w:tcBorders>
            <w:shd w:val="clear" w:color="auto" w:fill="auto"/>
            <w:vAlign w:val="bottom"/>
          </w:tcPr>
          <w:p w14:paraId="07E2CC54"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(927)</w:t>
            </w:r>
          </w:p>
        </w:tc>
        <w:tc>
          <w:tcPr>
            <w:tcW w:w="1577" w:type="dxa"/>
            <w:tcBorders>
              <w:bottom w:val="single" w:sz="4" w:space="0" w:color="auto"/>
            </w:tcBorders>
            <w:shd w:val="clear" w:color="auto" w:fill="auto"/>
            <w:vAlign w:val="bottom"/>
          </w:tcPr>
          <w:p w14:paraId="22C56C36"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733</w:t>
            </w:r>
          </w:p>
        </w:tc>
      </w:tr>
      <w:tr w:rsidR="00744544" w:rsidRPr="00A66C9F" w14:paraId="4ECD9A63" w14:textId="77777777" w:rsidTr="00107D5D">
        <w:tc>
          <w:tcPr>
            <w:tcW w:w="4167" w:type="dxa"/>
            <w:tcBorders>
              <w:top w:val="single" w:sz="4" w:space="0" w:color="auto"/>
              <w:bottom w:val="single" w:sz="12" w:space="0" w:color="auto"/>
            </w:tcBorders>
            <w:shd w:val="clear" w:color="auto" w:fill="auto"/>
            <w:vAlign w:val="bottom"/>
            <w:hideMark/>
          </w:tcPr>
          <w:p w14:paraId="2E747C3B" w14:textId="77777777" w:rsidR="00744544" w:rsidRPr="00A66C9F" w:rsidRDefault="00744544" w:rsidP="00107D5D">
            <w:pPr>
              <w:tabs>
                <w:tab w:val="left" w:pos="288"/>
                <w:tab w:val="left" w:pos="576"/>
                <w:tab w:val="left" w:pos="864"/>
                <w:tab w:val="left" w:pos="1152"/>
              </w:tabs>
              <w:suppressAutoHyphens/>
              <w:spacing w:before="81" w:after="81" w:line="210" w:lineRule="exact"/>
              <w:ind w:left="288" w:right="40" w:hanging="288"/>
              <w:rPr>
                <w:b/>
                <w:sz w:val="17"/>
                <w:lang w:val="fr-FR"/>
              </w:rPr>
            </w:pPr>
            <w:r w:rsidRPr="00A66C9F">
              <w:rPr>
                <w:b/>
                <w:sz w:val="17"/>
                <w:lang w:val="fr-FR"/>
              </w:rPr>
              <w:lastRenderedPageBreak/>
              <w:tab/>
              <w:t>Montant effectif des dépenses d’administration figurant dans l’état des variations de l’actif net disponible pour le versement des prestations</w:t>
            </w:r>
          </w:p>
        </w:tc>
        <w:tc>
          <w:tcPr>
            <w:tcW w:w="1576" w:type="dxa"/>
            <w:tcBorders>
              <w:top w:val="single" w:sz="4" w:space="0" w:color="auto"/>
              <w:bottom w:val="single" w:sz="12" w:space="0" w:color="auto"/>
            </w:tcBorders>
            <w:shd w:val="clear" w:color="auto" w:fill="auto"/>
            <w:vAlign w:val="bottom"/>
          </w:tcPr>
          <w:p w14:paraId="45CEAA64"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91 765 </w:t>
            </w:r>
          </w:p>
        </w:tc>
        <w:tc>
          <w:tcPr>
            <w:tcW w:w="1577" w:type="dxa"/>
            <w:tcBorders>
              <w:top w:val="single" w:sz="4" w:space="0" w:color="auto"/>
              <w:bottom w:val="single" w:sz="12" w:space="0" w:color="auto"/>
            </w:tcBorders>
            <w:shd w:val="clear" w:color="auto" w:fill="auto"/>
            <w:vAlign w:val="bottom"/>
          </w:tcPr>
          <w:p w14:paraId="246B98B2"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70 119</w:t>
            </w:r>
          </w:p>
        </w:tc>
      </w:tr>
    </w:tbl>
    <w:p w14:paraId="40A8AADF" w14:textId="77777777" w:rsidR="00744544" w:rsidRPr="00A66C9F" w:rsidRDefault="00744544" w:rsidP="00744544">
      <w:pPr>
        <w:pStyle w:val="SingleTxt"/>
        <w:spacing w:after="0" w:line="120" w:lineRule="exact"/>
        <w:rPr>
          <w:sz w:val="10"/>
          <w:lang w:val="fr-FR"/>
        </w:rPr>
      </w:pPr>
    </w:p>
    <w:p w14:paraId="21AFFDDD" w14:textId="77777777" w:rsidR="00744544" w:rsidRPr="00A66C9F" w:rsidRDefault="00744544" w:rsidP="00744544">
      <w:pPr>
        <w:pStyle w:val="FootnoteText"/>
        <w:tabs>
          <w:tab w:val="right" w:pos="1476"/>
          <w:tab w:val="left" w:pos="1548"/>
          <w:tab w:val="right" w:pos="1836"/>
          <w:tab w:val="left" w:pos="1908"/>
        </w:tabs>
        <w:suppressAutoHyphens/>
        <w:ind w:left="1548" w:right="1267" w:hanging="288"/>
        <w:rPr>
          <w:lang w:val="fr-FR"/>
        </w:rPr>
      </w:pPr>
      <w:r w:rsidRPr="00A66C9F">
        <w:rPr>
          <w:i/>
          <w:iCs/>
          <w:vertAlign w:val="superscript"/>
          <w:lang w:val="fr-FR"/>
        </w:rPr>
        <w:tab/>
        <w:t>a</w:t>
      </w:r>
      <w:r w:rsidRPr="00A66C9F">
        <w:rPr>
          <w:i/>
          <w:iCs/>
          <w:vertAlign w:val="superscript"/>
          <w:lang w:val="fr-FR"/>
        </w:rPr>
        <w:tab/>
      </w:r>
      <w:r w:rsidRPr="00A66C9F">
        <w:rPr>
          <w:lang w:val="fr-FR"/>
        </w:rPr>
        <w:t>Le montant effectif calculé sur une base comparable désigne les chiffres réels des dépenses d’administration relatives à la Caisse et ne comprend pas les dépenses liées à l’Organisation des Nations Unies.</w:t>
      </w:r>
    </w:p>
    <w:p w14:paraId="77AABA62" w14:textId="77777777" w:rsidR="00744544" w:rsidRPr="00A66C9F" w:rsidRDefault="00744544" w:rsidP="00744544">
      <w:pPr>
        <w:pStyle w:val="FootnoteText"/>
        <w:tabs>
          <w:tab w:val="right" w:pos="1476"/>
          <w:tab w:val="left" w:pos="1548"/>
          <w:tab w:val="right" w:pos="1836"/>
          <w:tab w:val="left" w:pos="1908"/>
        </w:tabs>
        <w:suppressAutoHyphens/>
        <w:spacing w:line="120" w:lineRule="exact"/>
        <w:ind w:left="1548" w:right="1267" w:hanging="288"/>
        <w:rPr>
          <w:sz w:val="10"/>
          <w:lang w:val="fr-FR"/>
        </w:rPr>
      </w:pPr>
    </w:p>
    <w:p w14:paraId="6BBD3D28" w14:textId="77777777" w:rsidR="00744544" w:rsidRPr="00A66C9F" w:rsidRDefault="00744544" w:rsidP="00744544">
      <w:pPr>
        <w:pStyle w:val="FootnoteText"/>
        <w:tabs>
          <w:tab w:val="right" w:pos="1476"/>
          <w:tab w:val="left" w:pos="1548"/>
          <w:tab w:val="right" w:pos="1836"/>
          <w:tab w:val="left" w:pos="1908"/>
        </w:tabs>
        <w:suppressAutoHyphens/>
        <w:spacing w:line="120" w:lineRule="exact"/>
        <w:ind w:left="1548" w:right="1267" w:hanging="288"/>
        <w:rPr>
          <w:sz w:val="10"/>
          <w:lang w:val="fr-FR"/>
        </w:rPr>
      </w:pPr>
    </w:p>
    <w:p w14:paraId="55E0159A" w14:textId="77777777" w:rsidR="00744544" w:rsidRPr="00A66C9F" w:rsidRDefault="00744544" w:rsidP="00744544">
      <w:pPr>
        <w:pStyle w:val="SingleTxt"/>
        <w:rPr>
          <w:lang w:val="fr-FR"/>
        </w:rPr>
      </w:pPr>
      <w:r w:rsidRPr="00A66C9F">
        <w:rPr>
          <w:lang w:val="fr-FR"/>
        </w:rPr>
        <w:t>204.</w:t>
      </w:r>
      <w:r w:rsidRPr="00A66C9F">
        <w:rPr>
          <w:lang w:val="fr-FR"/>
        </w:rPr>
        <w:tab/>
        <w:t>Le tableau qui précède fait apparaître les principales différences entre le montant total des dépenses d’administration calculées selon la méthode de la comptabilité de caisse modifiée (méthode utilisée dans le cadre de l’établissement du budget) et le montant total des dépenses calculées selon les normes IPSAS. Les principales différences sont les suivantes :</w:t>
      </w:r>
    </w:p>
    <w:p w14:paraId="10A98858" w14:textId="77777777" w:rsidR="00744544" w:rsidRPr="00A66C9F" w:rsidRDefault="00744544" w:rsidP="00744544">
      <w:pPr>
        <w:pStyle w:val="SingleTxt"/>
        <w:tabs>
          <w:tab w:val="right" w:pos="1685"/>
        </w:tabs>
        <w:ind w:left="1742" w:hanging="475"/>
        <w:rPr>
          <w:lang w:val="fr-FR"/>
        </w:rPr>
      </w:pPr>
      <w:r w:rsidRPr="00A66C9F">
        <w:rPr>
          <w:lang w:val="fr-FR"/>
        </w:rPr>
        <w:tab/>
        <w:t>•</w:t>
      </w:r>
      <w:r w:rsidRPr="00A66C9F">
        <w:rPr>
          <w:lang w:val="fr-FR"/>
        </w:rPr>
        <w:tab/>
      </w:r>
      <w:r w:rsidRPr="00A66C9F">
        <w:rPr>
          <w:i/>
          <w:iCs/>
          <w:lang w:val="fr-FR"/>
        </w:rPr>
        <w:t>Dotation aux amortissements</w:t>
      </w:r>
      <w:r w:rsidRPr="00A66C9F">
        <w:rPr>
          <w:lang w:val="fr-FR"/>
        </w:rPr>
        <w:t>. Selon les normes IPSAS, les immobilisations corporelles et incorporelles d’une valeur égale ou supérieure au seuil d’immobilisation sont amorties tout au long de leur durée d’utilité. Selon la méthode de la comptabilité de caisse modifiée, seule la dotation aux amortissements est comptabilisée sur la durée d’utilité, les charges totales l’étant au moment de l’acquisition ;</w:t>
      </w:r>
    </w:p>
    <w:p w14:paraId="52E051D0" w14:textId="77777777" w:rsidR="00744544" w:rsidRPr="00A66C9F" w:rsidRDefault="00744544" w:rsidP="00744544">
      <w:pPr>
        <w:pStyle w:val="SingleTxt"/>
        <w:tabs>
          <w:tab w:val="right" w:pos="1685"/>
        </w:tabs>
        <w:ind w:left="1742" w:hanging="475"/>
        <w:rPr>
          <w:lang w:val="fr-FR"/>
        </w:rPr>
      </w:pPr>
      <w:r w:rsidRPr="00A66C9F">
        <w:rPr>
          <w:lang w:val="fr-FR"/>
        </w:rPr>
        <w:tab/>
        <w:t>•</w:t>
      </w:r>
      <w:r w:rsidRPr="00A66C9F">
        <w:rPr>
          <w:lang w:val="fr-FR"/>
        </w:rPr>
        <w:tab/>
      </w:r>
      <w:r w:rsidRPr="00A66C9F">
        <w:rPr>
          <w:i/>
          <w:iCs/>
          <w:lang w:val="fr-FR"/>
        </w:rPr>
        <w:t>Comptabilisation des charges</w:t>
      </w:r>
      <w:r w:rsidRPr="00A66C9F">
        <w:rPr>
          <w:lang w:val="fr-FR"/>
        </w:rPr>
        <w:t>. Selon la méthode de la comptabilité de caisse modifiée, les dépenses sont comptabilisées comme engagements non réglés au moment du décaissement ou de l’engagement de dépenses. Selon les normes IPSAS, les charges sont comptabilisées au moment où les biens ou les services sont reçus. Les engagements non réglés pour des biens ou services non reçus et les paiements anticipés ne sont pas comptabilisés en charges. Les services reçus mais non réglés sont comptabilisés en charges ;</w:t>
      </w:r>
    </w:p>
    <w:p w14:paraId="02AF7B19" w14:textId="77777777" w:rsidR="00744544" w:rsidRPr="00A66C9F" w:rsidRDefault="00744544" w:rsidP="00744544">
      <w:pPr>
        <w:pStyle w:val="SingleTxt"/>
        <w:tabs>
          <w:tab w:val="right" w:pos="1685"/>
        </w:tabs>
        <w:ind w:left="1742" w:hanging="475"/>
        <w:rPr>
          <w:lang w:val="fr-FR"/>
        </w:rPr>
      </w:pPr>
      <w:r w:rsidRPr="00A66C9F">
        <w:rPr>
          <w:lang w:val="fr-FR"/>
        </w:rPr>
        <w:tab/>
        <w:t>•</w:t>
      </w:r>
      <w:r w:rsidRPr="00A66C9F">
        <w:rPr>
          <w:lang w:val="fr-FR"/>
        </w:rPr>
        <w:tab/>
      </w:r>
      <w:r w:rsidRPr="00A66C9F">
        <w:rPr>
          <w:i/>
          <w:iCs/>
          <w:lang w:val="fr-FR"/>
        </w:rPr>
        <w:t>Avantages du personnel</w:t>
      </w:r>
      <w:r w:rsidRPr="00A66C9F">
        <w:rPr>
          <w:lang w:val="fr-FR"/>
        </w:rPr>
        <w:t>. Selon la méthode de la comptabilité de caisse modifiée, les charges relatives aux avantages du personnel sont comptabilisées au moment où les prestations deviennent exigibles. Selon les normes IPSAS, les charges relatives à ces avantages doivent être rattachées à la période pendant laquelle ceux-ci ont été acquis, indépendamment du moment où intervient le paiement. On considère donc comme charges les engagements au titre des avantages postérieurs à l’emploi, tels que l’assurance maladie après la cessation de service, le paiement des jours de congé annuel accumulés et les prestations liées au rapatriement.</w:t>
      </w:r>
    </w:p>
    <w:p w14:paraId="21121C17" w14:textId="77777777" w:rsidR="00744544" w:rsidRPr="00A66C9F" w:rsidRDefault="00744544" w:rsidP="00744544">
      <w:pPr>
        <w:pStyle w:val="SingleTxt"/>
        <w:spacing w:after="0" w:line="120" w:lineRule="exact"/>
        <w:rPr>
          <w:sz w:val="10"/>
          <w:lang w:val="fr-FR"/>
        </w:rPr>
      </w:pPr>
    </w:p>
    <w:p w14:paraId="4ECC6610"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561" w:name="_Toc339633761"/>
      <w:bookmarkStart w:id="562" w:name="_Toc339634096"/>
      <w:r w:rsidRPr="00A66C9F">
        <w:rPr>
          <w:lang w:val="fr-FR"/>
        </w:rPr>
        <w:tab/>
      </w:r>
      <w:r w:rsidRPr="00A66C9F">
        <w:rPr>
          <w:lang w:val="fr-FR"/>
        </w:rPr>
        <w:tab/>
        <w:t>Note 22</w:t>
      </w:r>
    </w:p>
    <w:p w14:paraId="12745E24"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Fonds administrés par des tiers</w:t>
      </w:r>
    </w:p>
    <w:p w14:paraId="154C34E4" w14:textId="77777777" w:rsidR="00744544" w:rsidRPr="00A66C9F" w:rsidRDefault="00744544" w:rsidP="00744544">
      <w:pPr>
        <w:pStyle w:val="SingleTxt"/>
        <w:keepNext/>
        <w:spacing w:after="0" w:line="120" w:lineRule="exact"/>
        <w:rPr>
          <w:sz w:val="10"/>
          <w:lang w:val="fr-FR"/>
        </w:rPr>
      </w:pPr>
    </w:p>
    <w:bookmarkEnd w:id="561"/>
    <w:bookmarkEnd w:id="562"/>
    <w:p w14:paraId="2795CFF1" w14:textId="77777777" w:rsidR="00744544" w:rsidRPr="00A66C9F" w:rsidRDefault="00744544" w:rsidP="00753AB8">
      <w:pPr>
        <w:pStyle w:val="SingleTxt"/>
        <w:numPr>
          <w:ilvl w:val="0"/>
          <w:numId w:val="20"/>
        </w:numPr>
        <w:rPr>
          <w:lang w:val="fr-FR"/>
        </w:rPr>
      </w:pPr>
      <w:r w:rsidRPr="00A66C9F">
        <w:rPr>
          <w:lang w:val="fr-FR"/>
        </w:rPr>
        <w:t>Les fonds administrés par des tiers correspondent à des fonds dont la Caisse a confié l’administration à des gestionnaires externes.</w:t>
      </w:r>
    </w:p>
    <w:p w14:paraId="39572479" w14:textId="5ACDC944" w:rsidR="00744544" w:rsidRPr="00A66C9F" w:rsidRDefault="00744544" w:rsidP="00753AB8">
      <w:pPr>
        <w:pStyle w:val="SingleTxt"/>
        <w:numPr>
          <w:ilvl w:val="0"/>
          <w:numId w:val="20"/>
        </w:numPr>
        <w:spacing w:line="240" w:lineRule="exact"/>
        <w:rPr>
          <w:lang w:val="fr-FR"/>
        </w:rPr>
      </w:pPr>
      <w:r w:rsidRPr="00A66C9F">
        <w:rPr>
          <w:lang w:val="fr-FR"/>
        </w:rPr>
        <w:t xml:space="preserve">Conformément aux résolutions de l’Assemblée générale </w:t>
      </w:r>
      <w:hyperlink r:id="rId41" w:history="1">
        <w:r w:rsidRPr="00A66C9F">
          <w:rPr>
            <w:rStyle w:val="Hyperlink"/>
            <w:lang w:val="fr-FR"/>
          </w:rPr>
          <w:t>2951 (XXVII)</w:t>
        </w:r>
      </w:hyperlink>
      <w:r w:rsidRPr="00A66C9F">
        <w:rPr>
          <w:lang w:val="fr-FR"/>
        </w:rPr>
        <w:t xml:space="preserve"> portant création de l’Université des Nations Unies, et </w:t>
      </w:r>
      <w:hyperlink r:id="rId42" w:history="1">
        <w:r w:rsidRPr="00A66C9F">
          <w:rPr>
            <w:rStyle w:val="Hyperlink"/>
            <w:lang w:val="fr-FR"/>
          </w:rPr>
          <w:t>3081 (XXVIII)</w:t>
        </w:r>
      </w:hyperlink>
      <w:r w:rsidRPr="00A66C9F">
        <w:rPr>
          <w:lang w:val="fr-FR"/>
        </w:rPr>
        <w:t>, ainsi qu’à l’article IX de la Charte de l’Université (</w:t>
      </w:r>
      <w:hyperlink r:id="rId43" w:history="1">
        <w:r w:rsidRPr="00A66C9F">
          <w:rPr>
            <w:rStyle w:val="Hyperlink"/>
            <w:lang w:val="fr-FR"/>
          </w:rPr>
          <w:t>A/9149/Add.2</w:t>
        </w:r>
      </w:hyperlink>
      <w:r w:rsidRPr="00A66C9F">
        <w:rPr>
          <w:lang w:val="fr-FR"/>
        </w:rPr>
        <w:t xml:space="preserve">), le Bureau de la gestion des investissements assure la supervision des investissements du Fonds de dotation de l’Université des Nations Unies, qui étaient confiés à la société Nikko Asset Management jusqu’au 20 novembre 2018 et le sont dorénavant à la société BlackRock Financial Management et à une banque dépositaire distincte. Le Bureau et les responsables du Fonds de dotation ont conclu un accord formalisant les arrangements relatifs à ces services. Le produit des investissements est comptabilisé dans les états de l’Université. Il est tenu séparé des investissements de la Caisse, qui font l’objet d’arrangements distincts. Le Fonds rembourse au Bureau les frais de supervision, </w:t>
      </w:r>
      <w:r w:rsidRPr="00A66C9F">
        <w:rPr>
          <w:lang w:val="fr-FR"/>
        </w:rPr>
        <w:lastRenderedPageBreak/>
        <w:t>d’un montant annuel de 50 000 dollars, comptabilisés comme autres recettes liées aux investissements.</w:t>
      </w:r>
    </w:p>
    <w:p w14:paraId="5F1EFA37" w14:textId="77777777" w:rsidR="00744544" w:rsidRPr="00A66C9F" w:rsidRDefault="00744544" w:rsidP="00744544">
      <w:pPr>
        <w:pStyle w:val="SingleTxt"/>
        <w:spacing w:after="0" w:line="120" w:lineRule="exact"/>
        <w:rPr>
          <w:sz w:val="10"/>
          <w:lang w:val="fr-FR"/>
        </w:rPr>
      </w:pPr>
    </w:p>
    <w:p w14:paraId="4271FC07"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Note 23</w:t>
      </w:r>
    </w:p>
    <w:p w14:paraId="29DE6F89"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Opérations entre des parties liées</w:t>
      </w:r>
    </w:p>
    <w:p w14:paraId="5569B030" w14:textId="77777777" w:rsidR="00744544" w:rsidRPr="00A66C9F" w:rsidRDefault="00744544" w:rsidP="00744544">
      <w:pPr>
        <w:pStyle w:val="SingleTxt"/>
        <w:spacing w:after="0" w:line="120" w:lineRule="exact"/>
        <w:rPr>
          <w:sz w:val="10"/>
          <w:lang w:val="fr-FR"/>
        </w:rPr>
      </w:pPr>
      <w:bookmarkStart w:id="563" w:name="_Toc452735897"/>
      <w:bookmarkStart w:id="564" w:name="_Toc452735959"/>
      <w:bookmarkStart w:id="565" w:name="_Toc452736020"/>
      <w:bookmarkStart w:id="566" w:name="_Toc452736080"/>
      <w:bookmarkStart w:id="567" w:name="_Toc452739296"/>
      <w:bookmarkStart w:id="568" w:name="_Toc452740478"/>
      <w:bookmarkStart w:id="569" w:name="_Toc452740559"/>
      <w:bookmarkStart w:id="570" w:name="_Toc452740785"/>
      <w:bookmarkStart w:id="571" w:name="_Toc452735898"/>
      <w:bookmarkStart w:id="572" w:name="_Toc452735960"/>
      <w:bookmarkStart w:id="573" w:name="_Toc452736021"/>
      <w:bookmarkStart w:id="574" w:name="_Toc452736081"/>
      <w:bookmarkStart w:id="575" w:name="_Toc452739297"/>
      <w:bookmarkStart w:id="576" w:name="_Toc452740479"/>
      <w:bookmarkStart w:id="577" w:name="_Toc452740560"/>
      <w:bookmarkStart w:id="578" w:name="_Toc452740786"/>
      <w:bookmarkStart w:id="579" w:name="_Toc452735899"/>
      <w:bookmarkStart w:id="580" w:name="_Toc452735961"/>
      <w:bookmarkStart w:id="581" w:name="_Toc452736022"/>
      <w:bookmarkStart w:id="582" w:name="_Toc452736082"/>
      <w:bookmarkStart w:id="583" w:name="_Toc452739298"/>
      <w:bookmarkStart w:id="584" w:name="_Toc452740480"/>
      <w:bookmarkStart w:id="585" w:name="_Toc452740561"/>
      <w:bookmarkStart w:id="586" w:name="_Toc452740787"/>
      <w:bookmarkStart w:id="587" w:name="_Toc452735900"/>
      <w:bookmarkStart w:id="588" w:name="_Toc452735962"/>
      <w:bookmarkStart w:id="589" w:name="_Toc452736023"/>
      <w:bookmarkStart w:id="590" w:name="_Toc452736083"/>
      <w:bookmarkStart w:id="591" w:name="_Toc452739299"/>
      <w:bookmarkStart w:id="592" w:name="_Toc452740481"/>
      <w:bookmarkStart w:id="593" w:name="_Toc452740562"/>
      <w:bookmarkStart w:id="594" w:name="_Toc452740788"/>
      <w:bookmarkStart w:id="595" w:name="_Toc452735901"/>
      <w:bookmarkStart w:id="596" w:name="_Toc452735963"/>
      <w:bookmarkStart w:id="597" w:name="_Toc452736024"/>
      <w:bookmarkStart w:id="598" w:name="_Toc452736084"/>
      <w:bookmarkStart w:id="599" w:name="_Toc452739300"/>
      <w:bookmarkStart w:id="600" w:name="_Toc452740482"/>
      <w:bookmarkStart w:id="601" w:name="_Toc452740563"/>
      <w:bookmarkStart w:id="602" w:name="_Toc452740789"/>
      <w:bookmarkStart w:id="603" w:name="_Toc452735902"/>
      <w:bookmarkStart w:id="604" w:name="_Toc452735964"/>
      <w:bookmarkStart w:id="605" w:name="_Toc452736025"/>
      <w:bookmarkStart w:id="606" w:name="_Toc452736085"/>
      <w:bookmarkStart w:id="607" w:name="_Toc452739301"/>
      <w:bookmarkStart w:id="608" w:name="_Toc452740483"/>
      <w:bookmarkStart w:id="609" w:name="_Toc452740564"/>
      <w:bookmarkStart w:id="610" w:name="_Toc452740790"/>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14:paraId="5298FDF9" w14:textId="77777777" w:rsidR="00744544" w:rsidRPr="00A66C9F" w:rsidRDefault="00744544" w:rsidP="0074454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Principaux dirigeants</w:t>
      </w:r>
    </w:p>
    <w:p w14:paraId="52541FCF" w14:textId="77777777" w:rsidR="00744544" w:rsidRPr="00A66C9F" w:rsidRDefault="00744544" w:rsidP="00744544">
      <w:pPr>
        <w:pStyle w:val="SingleTxt"/>
        <w:spacing w:after="0" w:line="120" w:lineRule="exact"/>
        <w:rPr>
          <w:sz w:val="10"/>
          <w:lang w:val="fr-FR"/>
        </w:rPr>
      </w:pPr>
    </w:p>
    <w:p w14:paraId="005526B0" w14:textId="77777777" w:rsidR="00744544" w:rsidRPr="00A66C9F" w:rsidRDefault="00744544" w:rsidP="00753AB8">
      <w:pPr>
        <w:pStyle w:val="SingleTxt"/>
        <w:numPr>
          <w:ilvl w:val="0"/>
          <w:numId w:val="20"/>
        </w:numPr>
        <w:spacing w:line="240" w:lineRule="exact"/>
        <w:rPr>
          <w:lang w:val="fr-FR"/>
        </w:rPr>
      </w:pPr>
      <w:r w:rsidRPr="00A66C9F">
        <w:rPr>
          <w:lang w:val="fr-FR"/>
        </w:rPr>
        <w:t>Le tableau ci-après récapitule le nombre et la rétribution des principaux dirigeants rémunérés par la Caisse pour les années terminées le 31 décembre 2019 et le 31 décembre 2018.</w:t>
      </w:r>
    </w:p>
    <w:p w14:paraId="5DB9E349" w14:textId="77777777" w:rsidR="00744544" w:rsidRPr="00A66C9F" w:rsidRDefault="00744544" w:rsidP="00744544">
      <w:pPr>
        <w:pStyle w:val="SingleTxt"/>
        <w:spacing w:after="0" w:line="120" w:lineRule="exact"/>
        <w:rPr>
          <w:sz w:val="10"/>
          <w:lang w:val="fr-FR"/>
        </w:rPr>
      </w:pPr>
    </w:p>
    <w:tbl>
      <w:tblPr>
        <w:tblW w:w="7320" w:type="dxa"/>
        <w:tblInd w:w="1260" w:type="dxa"/>
        <w:tblLayout w:type="fixed"/>
        <w:tblCellMar>
          <w:left w:w="0" w:type="dxa"/>
          <w:right w:w="0" w:type="dxa"/>
        </w:tblCellMar>
        <w:tblLook w:val="00A0" w:firstRow="1" w:lastRow="0" w:firstColumn="1" w:lastColumn="0" w:noHBand="0" w:noVBand="0"/>
      </w:tblPr>
      <w:tblGrid>
        <w:gridCol w:w="864"/>
        <w:gridCol w:w="765"/>
        <w:gridCol w:w="948"/>
        <w:gridCol w:w="949"/>
        <w:gridCol w:w="948"/>
        <w:gridCol w:w="949"/>
        <w:gridCol w:w="948"/>
        <w:gridCol w:w="949"/>
      </w:tblGrid>
      <w:tr w:rsidR="00744544" w:rsidRPr="00A66C9F" w14:paraId="7501DE6C" w14:textId="77777777" w:rsidTr="00107D5D">
        <w:trPr>
          <w:tblHeader/>
        </w:trPr>
        <w:tc>
          <w:tcPr>
            <w:tcW w:w="864" w:type="dxa"/>
            <w:tcBorders>
              <w:top w:val="single" w:sz="4" w:space="0" w:color="auto"/>
            </w:tcBorders>
            <w:shd w:val="clear" w:color="auto" w:fill="auto"/>
            <w:vAlign w:val="bottom"/>
          </w:tcPr>
          <w:p w14:paraId="3F514DF3" w14:textId="77777777" w:rsidR="00744544" w:rsidRPr="00A66C9F" w:rsidRDefault="00744544" w:rsidP="00107D5D">
            <w:pPr>
              <w:suppressAutoHyphens/>
              <w:spacing w:before="81" w:after="81" w:line="160" w:lineRule="exact"/>
              <w:ind w:right="40"/>
              <w:rPr>
                <w:i/>
                <w:sz w:val="14"/>
                <w:lang w:val="fr-FR"/>
              </w:rPr>
            </w:pPr>
          </w:p>
        </w:tc>
        <w:tc>
          <w:tcPr>
            <w:tcW w:w="765" w:type="dxa"/>
            <w:vMerge w:val="restart"/>
            <w:tcBorders>
              <w:top w:val="single" w:sz="4" w:space="0" w:color="auto"/>
            </w:tcBorders>
            <w:shd w:val="clear" w:color="auto" w:fill="auto"/>
            <w:vAlign w:val="bottom"/>
          </w:tcPr>
          <w:p w14:paraId="2D2830C1" w14:textId="77777777" w:rsidR="00744544" w:rsidRPr="00A66C9F" w:rsidRDefault="00744544" w:rsidP="00107D5D">
            <w:pPr>
              <w:suppressAutoHyphens/>
              <w:spacing w:before="81" w:after="81" w:line="160" w:lineRule="exact"/>
              <w:ind w:right="72"/>
              <w:jc w:val="right"/>
              <w:rPr>
                <w:i/>
                <w:sz w:val="14"/>
                <w:lang w:val="fr-FR"/>
              </w:rPr>
            </w:pPr>
            <w:r w:rsidRPr="00A66C9F">
              <w:rPr>
                <w:i/>
                <w:sz w:val="14"/>
                <w:lang w:val="fr-FR"/>
              </w:rPr>
              <w:t>Nombre de personnes</w:t>
            </w:r>
          </w:p>
        </w:tc>
        <w:tc>
          <w:tcPr>
            <w:tcW w:w="948" w:type="dxa"/>
            <w:tcBorders>
              <w:top w:val="single" w:sz="4" w:space="0" w:color="auto"/>
              <w:bottom w:val="single" w:sz="4" w:space="0" w:color="auto"/>
            </w:tcBorders>
            <w:shd w:val="clear" w:color="auto" w:fill="auto"/>
            <w:vAlign w:val="bottom"/>
          </w:tcPr>
          <w:p w14:paraId="79E32EE8"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Traitement</w:t>
            </w:r>
            <w:r w:rsidRPr="00A66C9F">
              <w:rPr>
                <w:i/>
                <w:sz w:val="14"/>
                <w:lang w:val="fr-FR"/>
              </w:rPr>
              <w:br/>
              <w:t>et indemnité de poste</w:t>
            </w:r>
          </w:p>
        </w:tc>
        <w:tc>
          <w:tcPr>
            <w:tcW w:w="949" w:type="dxa"/>
            <w:tcBorders>
              <w:top w:val="single" w:sz="4" w:space="0" w:color="auto"/>
              <w:bottom w:val="single" w:sz="4" w:space="0" w:color="auto"/>
            </w:tcBorders>
            <w:shd w:val="clear" w:color="auto" w:fill="auto"/>
            <w:vAlign w:val="bottom"/>
          </w:tcPr>
          <w:p w14:paraId="1B8B6F79"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Prestations</w:t>
            </w:r>
          </w:p>
        </w:tc>
        <w:tc>
          <w:tcPr>
            <w:tcW w:w="948" w:type="dxa"/>
            <w:tcBorders>
              <w:top w:val="single" w:sz="4" w:space="0" w:color="auto"/>
              <w:bottom w:val="single" w:sz="4" w:space="0" w:color="auto"/>
            </w:tcBorders>
            <w:shd w:val="clear" w:color="auto" w:fill="auto"/>
            <w:vAlign w:val="bottom"/>
          </w:tcPr>
          <w:p w14:paraId="4F402BBB"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Pension</w:t>
            </w:r>
            <w:r w:rsidRPr="00A66C9F">
              <w:rPr>
                <w:i/>
                <w:sz w:val="14"/>
                <w:lang w:val="fr-FR"/>
              </w:rPr>
              <w:br/>
              <w:t>de retraite</w:t>
            </w:r>
            <w:r w:rsidRPr="00A66C9F">
              <w:rPr>
                <w:i/>
                <w:sz w:val="14"/>
                <w:lang w:val="fr-FR"/>
              </w:rPr>
              <w:br/>
              <w:t>et assurance maladie</w:t>
            </w:r>
          </w:p>
        </w:tc>
        <w:tc>
          <w:tcPr>
            <w:tcW w:w="949" w:type="dxa"/>
            <w:tcBorders>
              <w:top w:val="single" w:sz="4" w:space="0" w:color="auto"/>
              <w:bottom w:val="single" w:sz="4" w:space="0" w:color="auto"/>
            </w:tcBorders>
            <w:shd w:val="clear" w:color="auto" w:fill="auto"/>
            <w:vAlign w:val="bottom"/>
          </w:tcPr>
          <w:p w14:paraId="6BDA764E"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Montant total de la rémunération</w:t>
            </w:r>
          </w:p>
        </w:tc>
        <w:tc>
          <w:tcPr>
            <w:tcW w:w="948" w:type="dxa"/>
            <w:tcBorders>
              <w:top w:val="single" w:sz="4" w:space="0" w:color="auto"/>
              <w:bottom w:val="single" w:sz="4" w:space="0" w:color="auto"/>
            </w:tcBorders>
            <w:shd w:val="clear" w:color="auto" w:fill="auto"/>
            <w:vAlign w:val="bottom"/>
          </w:tcPr>
          <w:p w14:paraId="36F97237"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Avances non remboursées sur les prestations</w:t>
            </w:r>
          </w:p>
        </w:tc>
        <w:tc>
          <w:tcPr>
            <w:tcW w:w="949" w:type="dxa"/>
            <w:tcBorders>
              <w:top w:val="single" w:sz="4" w:space="0" w:color="auto"/>
              <w:bottom w:val="single" w:sz="4" w:space="0" w:color="auto"/>
            </w:tcBorders>
            <w:shd w:val="clear" w:color="auto" w:fill="auto"/>
            <w:vAlign w:val="bottom"/>
          </w:tcPr>
          <w:p w14:paraId="1A9F86C4"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Encours</w:t>
            </w:r>
            <w:r w:rsidRPr="00A66C9F">
              <w:rPr>
                <w:i/>
                <w:sz w:val="14"/>
                <w:lang w:val="fr-FR"/>
              </w:rPr>
              <w:br/>
              <w:t>des prêts</w:t>
            </w:r>
          </w:p>
        </w:tc>
      </w:tr>
      <w:tr w:rsidR="00744544" w:rsidRPr="00A66C9F" w14:paraId="4DBD0622" w14:textId="77777777" w:rsidTr="00107D5D">
        <w:trPr>
          <w:tblHeader/>
        </w:trPr>
        <w:tc>
          <w:tcPr>
            <w:tcW w:w="864" w:type="dxa"/>
            <w:tcBorders>
              <w:bottom w:val="single" w:sz="12" w:space="0" w:color="auto"/>
            </w:tcBorders>
            <w:shd w:val="clear" w:color="auto" w:fill="auto"/>
            <w:vAlign w:val="bottom"/>
          </w:tcPr>
          <w:p w14:paraId="63BED18A" w14:textId="77777777" w:rsidR="00744544" w:rsidRPr="00A66C9F" w:rsidRDefault="00744544" w:rsidP="00107D5D">
            <w:pPr>
              <w:suppressAutoHyphens/>
              <w:spacing w:before="81" w:after="81" w:line="160" w:lineRule="exact"/>
              <w:ind w:right="40"/>
              <w:rPr>
                <w:i/>
                <w:sz w:val="14"/>
                <w:lang w:val="fr-FR"/>
              </w:rPr>
            </w:pPr>
          </w:p>
        </w:tc>
        <w:tc>
          <w:tcPr>
            <w:tcW w:w="765" w:type="dxa"/>
            <w:vMerge/>
            <w:tcBorders>
              <w:bottom w:val="single" w:sz="12" w:space="0" w:color="auto"/>
            </w:tcBorders>
            <w:shd w:val="clear" w:color="auto" w:fill="auto"/>
            <w:vAlign w:val="bottom"/>
          </w:tcPr>
          <w:p w14:paraId="2A798229" w14:textId="77777777" w:rsidR="00744544" w:rsidRPr="00A66C9F" w:rsidRDefault="00744544" w:rsidP="00107D5D">
            <w:pPr>
              <w:suppressAutoHyphens/>
              <w:spacing w:before="81" w:after="81" w:line="160" w:lineRule="exact"/>
              <w:ind w:right="72"/>
              <w:jc w:val="right"/>
              <w:rPr>
                <w:i/>
                <w:sz w:val="14"/>
                <w:lang w:val="fr-FR"/>
              </w:rPr>
            </w:pPr>
          </w:p>
        </w:tc>
        <w:tc>
          <w:tcPr>
            <w:tcW w:w="5691" w:type="dxa"/>
            <w:gridSpan w:val="6"/>
            <w:tcBorders>
              <w:top w:val="single" w:sz="4" w:space="0" w:color="auto"/>
              <w:bottom w:val="single" w:sz="12" w:space="0" w:color="auto"/>
            </w:tcBorders>
            <w:shd w:val="clear" w:color="auto" w:fill="auto"/>
            <w:vAlign w:val="bottom"/>
          </w:tcPr>
          <w:p w14:paraId="12832F5F" w14:textId="77777777" w:rsidR="00744544" w:rsidRPr="00A66C9F" w:rsidRDefault="00744544" w:rsidP="00107D5D">
            <w:pPr>
              <w:suppressAutoHyphens/>
              <w:spacing w:before="81" w:after="81" w:line="160" w:lineRule="exact"/>
              <w:ind w:right="43"/>
              <w:jc w:val="center"/>
              <w:rPr>
                <w:i/>
                <w:sz w:val="14"/>
                <w:lang w:val="fr-FR"/>
              </w:rPr>
            </w:pPr>
            <w:r w:rsidRPr="00A66C9F">
              <w:rPr>
                <w:i/>
                <w:sz w:val="14"/>
                <w:lang w:val="fr-FR"/>
              </w:rPr>
              <w:t>(En milliers de dollars des États-Unis)</w:t>
            </w:r>
          </w:p>
        </w:tc>
      </w:tr>
      <w:tr w:rsidR="00744544" w:rsidRPr="00A66C9F" w14:paraId="72DD8E2D" w14:textId="77777777" w:rsidTr="00107D5D">
        <w:trPr>
          <w:trHeight w:hRule="exact" w:val="115"/>
          <w:tblHeader/>
        </w:trPr>
        <w:tc>
          <w:tcPr>
            <w:tcW w:w="864" w:type="dxa"/>
            <w:tcBorders>
              <w:top w:val="single" w:sz="12" w:space="0" w:color="auto"/>
            </w:tcBorders>
            <w:shd w:val="clear" w:color="auto" w:fill="auto"/>
            <w:vAlign w:val="bottom"/>
          </w:tcPr>
          <w:p w14:paraId="67A13026" w14:textId="77777777" w:rsidR="00744544" w:rsidRPr="00A66C9F" w:rsidRDefault="00744544" w:rsidP="00107D5D">
            <w:pPr>
              <w:suppressAutoHyphens/>
              <w:spacing w:before="40" w:after="40" w:line="210" w:lineRule="exact"/>
              <w:ind w:right="40"/>
              <w:rPr>
                <w:sz w:val="17"/>
                <w:lang w:val="fr-FR"/>
              </w:rPr>
            </w:pPr>
          </w:p>
        </w:tc>
        <w:tc>
          <w:tcPr>
            <w:tcW w:w="765" w:type="dxa"/>
            <w:tcBorders>
              <w:top w:val="single" w:sz="12" w:space="0" w:color="auto"/>
            </w:tcBorders>
            <w:shd w:val="clear" w:color="auto" w:fill="auto"/>
            <w:vAlign w:val="bottom"/>
          </w:tcPr>
          <w:p w14:paraId="2DC10DED" w14:textId="77777777" w:rsidR="00744544" w:rsidRPr="00A66C9F" w:rsidRDefault="00744544" w:rsidP="00107D5D">
            <w:pPr>
              <w:suppressAutoHyphens/>
              <w:spacing w:before="40" w:after="40" w:line="210" w:lineRule="exact"/>
              <w:ind w:right="72"/>
              <w:jc w:val="right"/>
              <w:rPr>
                <w:sz w:val="17"/>
                <w:lang w:val="fr-FR"/>
              </w:rPr>
            </w:pPr>
          </w:p>
        </w:tc>
        <w:tc>
          <w:tcPr>
            <w:tcW w:w="948" w:type="dxa"/>
            <w:tcBorders>
              <w:top w:val="single" w:sz="12" w:space="0" w:color="auto"/>
            </w:tcBorders>
            <w:shd w:val="clear" w:color="auto" w:fill="auto"/>
            <w:vAlign w:val="bottom"/>
          </w:tcPr>
          <w:p w14:paraId="62401B0E" w14:textId="77777777" w:rsidR="00744544" w:rsidRPr="00A66C9F" w:rsidRDefault="00744544" w:rsidP="00107D5D">
            <w:pPr>
              <w:suppressAutoHyphens/>
              <w:spacing w:before="40" w:after="40" w:line="210" w:lineRule="exact"/>
              <w:ind w:right="43"/>
              <w:jc w:val="right"/>
              <w:rPr>
                <w:sz w:val="17"/>
                <w:lang w:val="fr-FR"/>
              </w:rPr>
            </w:pPr>
          </w:p>
        </w:tc>
        <w:tc>
          <w:tcPr>
            <w:tcW w:w="949" w:type="dxa"/>
            <w:tcBorders>
              <w:top w:val="single" w:sz="12" w:space="0" w:color="auto"/>
            </w:tcBorders>
            <w:shd w:val="clear" w:color="auto" w:fill="auto"/>
            <w:vAlign w:val="bottom"/>
          </w:tcPr>
          <w:p w14:paraId="505ADFBF" w14:textId="77777777" w:rsidR="00744544" w:rsidRPr="00A66C9F" w:rsidRDefault="00744544" w:rsidP="00107D5D">
            <w:pPr>
              <w:suppressAutoHyphens/>
              <w:spacing w:before="40" w:after="40" w:line="210" w:lineRule="exact"/>
              <w:ind w:right="43"/>
              <w:jc w:val="right"/>
              <w:rPr>
                <w:sz w:val="17"/>
                <w:lang w:val="fr-FR"/>
              </w:rPr>
            </w:pPr>
          </w:p>
        </w:tc>
        <w:tc>
          <w:tcPr>
            <w:tcW w:w="948" w:type="dxa"/>
            <w:tcBorders>
              <w:top w:val="single" w:sz="12" w:space="0" w:color="auto"/>
            </w:tcBorders>
            <w:shd w:val="clear" w:color="auto" w:fill="auto"/>
            <w:vAlign w:val="bottom"/>
          </w:tcPr>
          <w:p w14:paraId="49467F4C" w14:textId="77777777" w:rsidR="00744544" w:rsidRPr="00A66C9F" w:rsidRDefault="00744544" w:rsidP="00107D5D">
            <w:pPr>
              <w:suppressAutoHyphens/>
              <w:spacing w:before="40" w:after="40" w:line="210" w:lineRule="exact"/>
              <w:ind w:right="43"/>
              <w:jc w:val="right"/>
              <w:rPr>
                <w:sz w:val="17"/>
                <w:lang w:val="fr-FR"/>
              </w:rPr>
            </w:pPr>
          </w:p>
        </w:tc>
        <w:tc>
          <w:tcPr>
            <w:tcW w:w="949" w:type="dxa"/>
            <w:tcBorders>
              <w:top w:val="single" w:sz="12" w:space="0" w:color="auto"/>
            </w:tcBorders>
            <w:shd w:val="clear" w:color="auto" w:fill="auto"/>
            <w:vAlign w:val="bottom"/>
          </w:tcPr>
          <w:p w14:paraId="308E6971" w14:textId="77777777" w:rsidR="00744544" w:rsidRPr="00A66C9F" w:rsidRDefault="00744544" w:rsidP="00107D5D">
            <w:pPr>
              <w:suppressAutoHyphens/>
              <w:spacing w:before="40" w:after="40" w:line="210" w:lineRule="exact"/>
              <w:ind w:right="43"/>
              <w:jc w:val="right"/>
              <w:rPr>
                <w:sz w:val="17"/>
                <w:lang w:val="fr-FR"/>
              </w:rPr>
            </w:pPr>
          </w:p>
        </w:tc>
        <w:tc>
          <w:tcPr>
            <w:tcW w:w="948" w:type="dxa"/>
            <w:tcBorders>
              <w:top w:val="single" w:sz="12" w:space="0" w:color="auto"/>
            </w:tcBorders>
            <w:shd w:val="clear" w:color="auto" w:fill="auto"/>
            <w:vAlign w:val="bottom"/>
          </w:tcPr>
          <w:p w14:paraId="626FDDEE" w14:textId="77777777" w:rsidR="00744544" w:rsidRPr="00A66C9F" w:rsidRDefault="00744544" w:rsidP="00107D5D">
            <w:pPr>
              <w:suppressAutoHyphens/>
              <w:spacing w:before="40" w:after="40" w:line="210" w:lineRule="exact"/>
              <w:ind w:right="43"/>
              <w:jc w:val="right"/>
              <w:rPr>
                <w:sz w:val="17"/>
                <w:lang w:val="fr-FR"/>
              </w:rPr>
            </w:pPr>
          </w:p>
        </w:tc>
        <w:tc>
          <w:tcPr>
            <w:tcW w:w="949" w:type="dxa"/>
            <w:tcBorders>
              <w:top w:val="single" w:sz="12" w:space="0" w:color="auto"/>
            </w:tcBorders>
            <w:shd w:val="clear" w:color="auto" w:fill="auto"/>
            <w:vAlign w:val="bottom"/>
          </w:tcPr>
          <w:p w14:paraId="78A1D10B" w14:textId="77777777" w:rsidR="00744544" w:rsidRPr="00A66C9F" w:rsidRDefault="00744544" w:rsidP="00107D5D">
            <w:pPr>
              <w:suppressAutoHyphens/>
              <w:spacing w:before="40" w:after="40" w:line="210" w:lineRule="exact"/>
              <w:ind w:right="43"/>
              <w:jc w:val="right"/>
              <w:rPr>
                <w:sz w:val="17"/>
                <w:lang w:val="fr-FR"/>
              </w:rPr>
            </w:pPr>
          </w:p>
        </w:tc>
      </w:tr>
      <w:tr w:rsidR="00744544" w:rsidRPr="00A66C9F" w14:paraId="3EF60F8A" w14:textId="77777777" w:rsidTr="00107D5D">
        <w:tc>
          <w:tcPr>
            <w:tcW w:w="864" w:type="dxa"/>
            <w:shd w:val="clear" w:color="auto" w:fill="auto"/>
            <w:vAlign w:val="bottom"/>
          </w:tcPr>
          <w:p w14:paraId="38A445D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2019</w:t>
            </w:r>
          </w:p>
        </w:tc>
        <w:tc>
          <w:tcPr>
            <w:tcW w:w="765" w:type="dxa"/>
            <w:shd w:val="clear" w:color="auto" w:fill="auto"/>
            <w:vAlign w:val="bottom"/>
          </w:tcPr>
          <w:p w14:paraId="11191052" w14:textId="77777777" w:rsidR="00744544" w:rsidRPr="00A66C9F" w:rsidRDefault="00744544" w:rsidP="00107D5D">
            <w:pPr>
              <w:tabs>
                <w:tab w:val="left" w:pos="288"/>
                <w:tab w:val="left" w:pos="576"/>
                <w:tab w:val="left" w:pos="864"/>
                <w:tab w:val="left" w:pos="1152"/>
              </w:tabs>
              <w:suppressAutoHyphens/>
              <w:spacing w:before="40" w:after="40" w:line="210" w:lineRule="exact"/>
              <w:ind w:right="72"/>
              <w:jc w:val="right"/>
              <w:rPr>
                <w:sz w:val="17"/>
                <w:lang w:val="fr-FR"/>
              </w:rPr>
            </w:pPr>
            <w:r w:rsidRPr="00A66C9F">
              <w:rPr>
                <w:sz w:val="17"/>
                <w:lang w:val="fr-FR"/>
              </w:rPr>
              <w:t>4</w:t>
            </w:r>
          </w:p>
        </w:tc>
        <w:tc>
          <w:tcPr>
            <w:tcW w:w="948" w:type="dxa"/>
            <w:shd w:val="clear" w:color="auto" w:fill="auto"/>
            <w:vAlign w:val="bottom"/>
          </w:tcPr>
          <w:p w14:paraId="0993D5E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857</w:t>
            </w:r>
          </w:p>
        </w:tc>
        <w:tc>
          <w:tcPr>
            <w:tcW w:w="949" w:type="dxa"/>
            <w:shd w:val="clear" w:color="auto" w:fill="auto"/>
            <w:vAlign w:val="bottom"/>
          </w:tcPr>
          <w:p w14:paraId="07810C8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343</w:t>
            </w:r>
          </w:p>
        </w:tc>
        <w:tc>
          <w:tcPr>
            <w:tcW w:w="948" w:type="dxa"/>
            <w:shd w:val="clear" w:color="auto" w:fill="auto"/>
            <w:vAlign w:val="bottom"/>
          </w:tcPr>
          <w:p w14:paraId="7CC97CB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204</w:t>
            </w:r>
          </w:p>
        </w:tc>
        <w:tc>
          <w:tcPr>
            <w:tcW w:w="949" w:type="dxa"/>
            <w:shd w:val="clear" w:color="auto" w:fill="auto"/>
            <w:vAlign w:val="bottom"/>
          </w:tcPr>
          <w:p w14:paraId="58C1653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1 404</w:t>
            </w:r>
          </w:p>
        </w:tc>
        <w:tc>
          <w:tcPr>
            <w:tcW w:w="948" w:type="dxa"/>
            <w:shd w:val="clear" w:color="auto" w:fill="auto"/>
            <w:vAlign w:val="bottom"/>
          </w:tcPr>
          <w:p w14:paraId="0E55FEB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949" w:type="dxa"/>
            <w:shd w:val="clear" w:color="auto" w:fill="auto"/>
            <w:vAlign w:val="bottom"/>
          </w:tcPr>
          <w:p w14:paraId="1419DB1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r>
      <w:tr w:rsidR="00744544" w:rsidRPr="00A66C9F" w14:paraId="7EEC149B" w14:textId="77777777" w:rsidTr="00107D5D">
        <w:tc>
          <w:tcPr>
            <w:tcW w:w="864" w:type="dxa"/>
            <w:tcBorders>
              <w:bottom w:val="single" w:sz="12" w:space="0" w:color="auto"/>
            </w:tcBorders>
            <w:shd w:val="clear" w:color="auto" w:fill="auto"/>
            <w:vAlign w:val="bottom"/>
          </w:tcPr>
          <w:p w14:paraId="00BEFE5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2018</w:t>
            </w:r>
          </w:p>
        </w:tc>
        <w:tc>
          <w:tcPr>
            <w:tcW w:w="765" w:type="dxa"/>
            <w:tcBorders>
              <w:bottom w:val="single" w:sz="12" w:space="0" w:color="auto"/>
            </w:tcBorders>
            <w:shd w:val="clear" w:color="auto" w:fill="auto"/>
            <w:vAlign w:val="bottom"/>
          </w:tcPr>
          <w:p w14:paraId="3A304E4F" w14:textId="77777777" w:rsidR="00744544" w:rsidRPr="00A66C9F" w:rsidRDefault="00744544" w:rsidP="00107D5D">
            <w:pPr>
              <w:tabs>
                <w:tab w:val="left" w:pos="288"/>
                <w:tab w:val="left" w:pos="576"/>
                <w:tab w:val="left" w:pos="864"/>
                <w:tab w:val="left" w:pos="1152"/>
              </w:tabs>
              <w:suppressAutoHyphens/>
              <w:spacing w:before="40" w:after="40" w:line="210" w:lineRule="exact"/>
              <w:ind w:right="72"/>
              <w:jc w:val="right"/>
              <w:rPr>
                <w:sz w:val="17"/>
                <w:lang w:val="fr-FR"/>
              </w:rPr>
            </w:pPr>
            <w:r w:rsidRPr="00A66C9F">
              <w:rPr>
                <w:sz w:val="17"/>
                <w:lang w:val="fr-FR"/>
              </w:rPr>
              <w:t>5</w:t>
            </w:r>
          </w:p>
        </w:tc>
        <w:tc>
          <w:tcPr>
            <w:tcW w:w="948" w:type="dxa"/>
            <w:tcBorders>
              <w:bottom w:val="single" w:sz="12" w:space="0" w:color="auto"/>
            </w:tcBorders>
            <w:shd w:val="clear" w:color="auto" w:fill="auto"/>
            <w:vAlign w:val="bottom"/>
          </w:tcPr>
          <w:p w14:paraId="6A390C7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1 046</w:t>
            </w:r>
          </w:p>
        </w:tc>
        <w:tc>
          <w:tcPr>
            <w:tcW w:w="949" w:type="dxa"/>
            <w:tcBorders>
              <w:bottom w:val="single" w:sz="12" w:space="0" w:color="auto"/>
            </w:tcBorders>
            <w:shd w:val="clear" w:color="auto" w:fill="auto"/>
            <w:vAlign w:val="bottom"/>
          </w:tcPr>
          <w:p w14:paraId="299FCF0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370</w:t>
            </w:r>
          </w:p>
        </w:tc>
        <w:tc>
          <w:tcPr>
            <w:tcW w:w="948" w:type="dxa"/>
            <w:tcBorders>
              <w:bottom w:val="single" w:sz="12" w:space="0" w:color="auto"/>
            </w:tcBorders>
            <w:shd w:val="clear" w:color="auto" w:fill="auto"/>
            <w:vAlign w:val="bottom"/>
          </w:tcPr>
          <w:p w14:paraId="72D70AC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245</w:t>
            </w:r>
          </w:p>
        </w:tc>
        <w:tc>
          <w:tcPr>
            <w:tcW w:w="949" w:type="dxa"/>
            <w:tcBorders>
              <w:bottom w:val="single" w:sz="12" w:space="0" w:color="auto"/>
            </w:tcBorders>
            <w:shd w:val="clear" w:color="auto" w:fill="auto"/>
            <w:vAlign w:val="bottom"/>
          </w:tcPr>
          <w:p w14:paraId="3EC6359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1 661</w:t>
            </w:r>
          </w:p>
        </w:tc>
        <w:tc>
          <w:tcPr>
            <w:tcW w:w="948" w:type="dxa"/>
            <w:tcBorders>
              <w:bottom w:val="single" w:sz="12" w:space="0" w:color="auto"/>
            </w:tcBorders>
            <w:shd w:val="clear" w:color="auto" w:fill="auto"/>
            <w:vAlign w:val="bottom"/>
          </w:tcPr>
          <w:p w14:paraId="5502908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949" w:type="dxa"/>
            <w:tcBorders>
              <w:bottom w:val="single" w:sz="12" w:space="0" w:color="auto"/>
            </w:tcBorders>
            <w:shd w:val="clear" w:color="auto" w:fill="auto"/>
            <w:vAlign w:val="bottom"/>
          </w:tcPr>
          <w:p w14:paraId="5E6FB7D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r>
    </w:tbl>
    <w:p w14:paraId="41DF8149" w14:textId="77777777" w:rsidR="00744544" w:rsidRPr="00A66C9F" w:rsidRDefault="00744544" w:rsidP="00744544">
      <w:pPr>
        <w:pStyle w:val="SingleTxt"/>
        <w:spacing w:after="0" w:line="120" w:lineRule="exact"/>
        <w:rPr>
          <w:sz w:val="10"/>
          <w:lang w:val="fr-FR"/>
        </w:rPr>
      </w:pPr>
    </w:p>
    <w:p w14:paraId="366F947A" w14:textId="77777777" w:rsidR="00744544" w:rsidRPr="00A66C9F" w:rsidRDefault="00744544" w:rsidP="00744544">
      <w:pPr>
        <w:pStyle w:val="SingleTxt"/>
        <w:spacing w:after="0" w:line="120" w:lineRule="exact"/>
        <w:rPr>
          <w:sz w:val="10"/>
          <w:lang w:val="fr-FR"/>
        </w:rPr>
      </w:pPr>
    </w:p>
    <w:p w14:paraId="719FE6AE" w14:textId="77777777" w:rsidR="00744544" w:rsidRPr="00A66C9F" w:rsidRDefault="00744544" w:rsidP="00753AB8">
      <w:pPr>
        <w:pStyle w:val="SingleTxt"/>
        <w:numPr>
          <w:ilvl w:val="0"/>
          <w:numId w:val="20"/>
        </w:numPr>
        <w:spacing w:line="240" w:lineRule="exact"/>
        <w:rPr>
          <w:lang w:val="fr-FR"/>
        </w:rPr>
      </w:pPr>
      <w:r w:rsidRPr="00A66C9F">
        <w:rPr>
          <w:lang w:val="fr-FR"/>
        </w:rPr>
        <w:t>Les principaux dirigeants de la Caisse en 2018 et 2019 étaient l’Administratrice (voir note 1.2), le Représentant du Secrétaire général, l’Administrateur adjoint (poste vacant en 2019), le Directeur du Bureau de la gestion des investissements et le Directeur financier. Ils avaient pour mandat de planifier, diriger et contrôler les activités de la Caisse.</w:t>
      </w:r>
    </w:p>
    <w:p w14:paraId="1E61A3AA" w14:textId="77777777" w:rsidR="00744544" w:rsidRPr="00A66C9F" w:rsidRDefault="00744544" w:rsidP="00753AB8">
      <w:pPr>
        <w:pStyle w:val="SingleTxt"/>
        <w:numPr>
          <w:ilvl w:val="0"/>
          <w:numId w:val="20"/>
        </w:numPr>
        <w:spacing w:line="240" w:lineRule="exact"/>
        <w:rPr>
          <w:lang w:val="fr-FR"/>
        </w:rPr>
      </w:pPr>
      <w:r w:rsidRPr="00A66C9F">
        <w:rPr>
          <w:lang w:val="fr-FR"/>
        </w:rPr>
        <w:t>Le montant total de la rémunération des membres de l’équipe de direction englobe le montant net des traitements, l’indemnité de poste et des prestations telles que l’indemnité de représentation, la prime d’affectation, l’allocation-logement, le paiement des frais d’expédition d’effets personnels et la cotisation de l’employeur au régime de pensions et au régime d’assurance maladie.</w:t>
      </w:r>
    </w:p>
    <w:p w14:paraId="22D06D60" w14:textId="77777777" w:rsidR="00744544" w:rsidRPr="00A66C9F" w:rsidRDefault="00744544" w:rsidP="00753AB8">
      <w:pPr>
        <w:pStyle w:val="SingleTxt"/>
        <w:numPr>
          <w:ilvl w:val="0"/>
          <w:numId w:val="20"/>
        </w:numPr>
        <w:spacing w:line="240" w:lineRule="exact"/>
        <w:rPr>
          <w:lang w:val="fr-FR"/>
        </w:rPr>
      </w:pPr>
      <w:r w:rsidRPr="00A66C9F">
        <w:rPr>
          <w:lang w:val="fr-FR"/>
        </w:rPr>
        <w:t>Au 31 décembre 2019 et au 31 décembre 2018, la Caisse n’enregistrait aucune avance sur les prestations non régularisée pour ses principaux dirigeants.</w:t>
      </w:r>
    </w:p>
    <w:p w14:paraId="3100D3B1" w14:textId="77777777" w:rsidR="00744544" w:rsidRPr="00A66C9F" w:rsidRDefault="00744544" w:rsidP="00753AB8">
      <w:pPr>
        <w:pStyle w:val="SingleTxt"/>
        <w:numPr>
          <w:ilvl w:val="0"/>
          <w:numId w:val="20"/>
        </w:numPr>
        <w:spacing w:line="240" w:lineRule="exact"/>
        <w:rPr>
          <w:lang w:val="fr-FR"/>
        </w:rPr>
      </w:pPr>
      <w:r w:rsidRPr="00A66C9F">
        <w:rPr>
          <w:lang w:val="fr-FR"/>
        </w:rPr>
        <w:t>Les principaux dirigeants ont également droit, au même titre que les autres fonctionnaires de la Caisse, à des prestations après la cessation de service (voir la note 11). La valeur actuarielle de ces prestations au 31 décembre 2019 et au 31 décembre 2018 était la suivante :</w:t>
      </w:r>
    </w:p>
    <w:p w14:paraId="07C602A6" w14:textId="77777777" w:rsidR="00744544" w:rsidRPr="00A66C9F" w:rsidRDefault="00744544" w:rsidP="00744544">
      <w:pPr>
        <w:pStyle w:val="SingleTxt"/>
        <w:spacing w:after="0" w:line="120" w:lineRule="exact"/>
        <w:rPr>
          <w:sz w:val="10"/>
          <w:lang w:val="fr-FR"/>
        </w:rPr>
      </w:pPr>
    </w:p>
    <w:p w14:paraId="52604982" w14:textId="77777777" w:rsidR="00744544" w:rsidRPr="00A66C9F" w:rsidRDefault="00744544" w:rsidP="0074454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lang w:val="fr-FR"/>
        </w:rPr>
        <w:tab/>
      </w:r>
      <w:r w:rsidRPr="00A66C9F">
        <w:rPr>
          <w:lang w:val="fr-FR"/>
        </w:rPr>
        <w:tab/>
      </w:r>
      <w:r w:rsidRPr="00A66C9F">
        <w:rPr>
          <w:sz w:val="14"/>
          <w:szCs w:val="14"/>
          <w:lang w:val="fr-FR"/>
        </w:rPr>
        <w:t>(En milliers de dollars des États-Unis)</w:t>
      </w:r>
    </w:p>
    <w:p w14:paraId="52F0EAB3" w14:textId="77777777" w:rsidR="00744544" w:rsidRPr="00A66C9F" w:rsidRDefault="00744544" w:rsidP="00744544">
      <w:pPr>
        <w:pStyle w:val="SingleTxt"/>
        <w:spacing w:after="0" w:line="120" w:lineRule="exact"/>
        <w:rPr>
          <w:sz w:val="10"/>
          <w:lang w:val="fr-FR"/>
        </w:rPr>
      </w:pPr>
    </w:p>
    <w:p w14:paraId="7F68B322" w14:textId="77777777" w:rsidR="00744544" w:rsidRPr="00A66C9F" w:rsidRDefault="00744544" w:rsidP="00744544">
      <w:pPr>
        <w:pStyle w:val="SingleTxt"/>
        <w:spacing w:after="0" w:line="120" w:lineRule="exact"/>
        <w:rPr>
          <w:sz w:val="10"/>
          <w:lang w:val="fr-FR"/>
        </w:rPr>
      </w:pPr>
    </w:p>
    <w:tbl>
      <w:tblPr>
        <w:tblW w:w="7320" w:type="dxa"/>
        <w:tblInd w:w="1260" w:type="dxa"/>
        <w:tblLayout w:type="fixed"/>
        <w:tblCellMar>
          <w:left w:w="0" w:type="dxa"/>
          <w:right w:w="0" w:type="dxa"/>
        </w:tblCellMar>
        <w:tblLook w:val="04A0" w:firstRow="1" w:lastRow="0" w:firstColumn="1" w:lastColumn="0" w:noHBand="0" w:noVBand="1"/>
      </w:tblPr>
      <w:tblGrid>
        <w:gridCol w:w="3780"/>
        <w:gridCol w:w="1770"/>
        <w:gridCol w:w="1770"/>
      </w:tblGrid>
      <w:tr w:rsidR="00744544" w:rsidRPr="00A66C9F" w14:paraId="45FFA1BC" w14:textId="77777777" w:rsidTr="00107D5D">
        <w:trPr>
          <w:tblHeader/>
        </w:trPr>
        <w:tc>
          <w:tcPr>
            <w:tcW w:w="3780" w:type="dxa"/>
            <w:tcBorders>
              <w:top w:val="single" w:sz="4" w:space="0" w:color="auto"/>
              <w:bottom w:val="single" w:sz="12" w:space="0" w:color="auto"/>
            </w:tcBorders>
            <w:shd w:val="clear" w:color="auto" w:fill="auto"/>
            <w:vAlign w:val="bottom"/>
            <w:hideMark/>
          </w:tcPr>
          <w:p w14:paraId="6EAD24F2" w14:textId="77777777" w:rsidR="00744544" w:rsidRPr="00A66C9F" w:rsidRDefault="00744544" w:rsidP="00107D5D">
            <w:pPr>
              <w:suppressAutoHyphens/>
              <w:spacing w:before="81" w:after="81" w:line="160" w:lineRule="exact"/>
              <w:ind w:right="40"/>
              <w:rPr>
                <w:i/>
                <w:sz w:val="14"/>
                <w:lang w:val="fr-FR"/>
              </w:rPr>
            </w:pPr>
          </w:p>
        </w:tc>
        <w:tc>
          <w:tcPr>
            <w:tcW w:w="1770" w:type="dxa"/>
            <w:tcBorders>
              <w:top w:val="single" w:sz="4" w:space="0" w:color="auto"/>
              <w:bottom w:val="single" w:sz="12" w:space="0" w:color="auto"/>
            </w:tcBorders>
            <w:shd w:val="clear" w:color="auto" w:fill="auto"/>
            <w:vAlign w:val="bottom"/>
          </w:tcPr>
          <w:p w14:paraId="036F5306"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Au 31 décembre 2019</w:t>
            </w:r>
          </w:p>
        </w:tc>
        <w:tc>
          <w:tcPr>
            <w:tcW w:w="1770" w:type="dxa"/>
            <w:tcBorders>
              <w:top w:val="single" w:sz="4" w:space="0" w:color="auto"/>
              <w:bottom w:val="single" w:sz="12" w:space="0" w:color="auto"/>
            </w:tcBorders>
            <w:shd w:val="clear" w:color="auto" w:fill="auto"/>
            <w:vAlign w:val="bottom"/>
          </w:tcPr>
          <w:p w14:paraId="60D0D170"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Au 31 décembre 2018</w:t>
            </w:r>
          </w:p>
        </w:tc>
      </w:tr>
      <w:tr w:rsidR="00744544" w:rsidRPr="00A66C9F" w14:paraId="3FC43B94" w14:textId="77777777" w:rsidTr="00107D5D">
        <w:trPr>
          <w:trHeight w:hRule="exact" w:val="115"/>
          <w:tblHeader/>
        </w:trPr>
        <w:tc>
          <w:tcPr>
            <w:tcW w:w="3780" w:type="dxa"/>
            <w:tcBorders>
              <w:top w:val="single" w:sz="12" w:space="0" w:color="auto"/>
            </w:tcBorders>
            <w:shd w:val="clear" w:color="auto" w:fill="auto"/>
            <w:vAlign w:val="bottom"/>
          </w:tcPr>
          <w:p w14:paraId="7AEC8049" w14:textId="77777777" w:rsidR="00744544" w:rsidRPr="00A66C9F" w:rsidRDefault="00744544" w:rsidP="00107D5D">
            <w:pPr>
              <w:suppressAutoHyphens/>
              <w:spacing w:before="40" w:after="40" w:line="210" w:lineRule="exact"/>
              <w:ind w:right="40"/>
              <w:rPr>
                <w:sz w:val="17"/>
                <w:lang w:val="fr-FR"/>
              </w:rPr>
            </w:pPr>
          </w:p>
        </w:tc>
        <w:tc>
          <w:tcPr>
            <w:tcW w:w="1770" w:type="dxa"/>
            <w:tcBorders>
              <w:top w:val="single" w:sz="12" w:space="0" w:color="auto"/>
            </w:tcBorders>
            <w:shd w:val="clear" w:color="auto" w:fill="auto"/>
            <w:vAlign w:val="bottom"/>
          </w:tcPr>
          <w:p w14:paraId="5E026C4D" w14:textId="77777777" w:rsidR="00744544" w:rsidRPr="00A66C9F" w:rsidRDefault="00744544" w:rsidP="00107D5D">
            <w:pPr>
              <w:suppressAutoHyphens/>
              <w:spacing w:before="40" w:after="40" w:line="210" w:lineRule="exact"/>
              <w:ind w:right="43"/>
              <w:jc w:val="right"/>
              <w:rPr>
                <w:sz w:val="17"/>
                <w:lang w:val="fr-FR"/>
              </w:rPr>
            </w:pPr>
          </w:p>
        </w:tc>
        <w:tc>
          <w:tcPr>
            <w:tcW w:w="1770" w:type="dxa"/>
            <w:tcBorders>
              <w:top w:val="single" w:sz="12" w:space="0" w:color="auto"/>
            </w:tcBorders>
            <w:shd w:val="clear" w:color="auto" w:fill="auto"/>
            <w:vAlign w:val="bottom"/>
          </w:tcPr>
          <w:p w14:paraId="1E01A283" w14:textId="77777777" w:rsidR="00744544" w:rsidRPr="00A66C9F" w:rsidRDefault="00744544" w:rsidP="00107D5D">
            <w:pPr>
              <w:suppressAutoHyphens/>
              <w:spacing w:before="40" w:after="40" w:line="210" w:lineRule="exact"/>
              <w:ind w:right="43"/>
              <w:jc w:val="right"/>
              <w:rPr>
                <w:sz w:val="17"/>
                <w:lang w:val="fr-FR"/>
              </w:rPr>
            </w:pPr>
          </w:p>
        </w:tc>
      </w:tr>
      <w:tr w:rsidR="00744544" w:rsidRPr="00A66C9F" w14:paraId="73FB1132" w14:textId="77777777" w:rsidTr="00107D5D">
        <w:tc>
          <w:tcPr>
            <w:tcW w:w="3780" w:type="dxa"/>
            <w:shd w:val="clear" w:color="auto" w:fill="auto"/>
            <w:vAlign w:val="bottom"/>
            <w:hideMark/>
          </w:tcPr>
          <w:p w14:paraId="662E7B40"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Assurance maladie après la cessation de service</w:t>
            </w:r>
          </w:p>
        </w:tc>
        <w:tc>
          <w:tcPr>
            <w:tcW w:w="1770" w:type="dxa"/>
            <w:shd w:val="clear" w:color="auto" w:fill="auto"/>
            <w:vAlign w:val="bottom"/>
          </w:tcPr>
          <w:p w14:paraId="203B21F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377 </w:t>
            </w:r>
          </w:p>
        </w:tc>
        <w:tc>
          <w:tcPr>
            <w:tcW w:w="1770" w:type="dxa"/>
            <w:shd w:val="clear" w:color="auto" w:fill="auto"/>
            <w:vAlign w:val="bottom"/>
          </w:tcPr>
          <w:p w14:paraId="1792C0C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1 355</w:t>
            </w:r>
          </w:p>
        </w:tc>
      </w:tr>
      <w:tr w:rsidR="00744544" w:rsidRPr="00A66C9F" w14:paraId="4EEC1F3F" w14:textId="77777777" w:rsidTr="00107D5D">
        <w:tc>
          <w:tcPr>
            <w:tcW w:w="3780" w:type="dxa"/>
            <w:shd w:val="clear" w:color="auto" w:fill="auto"/>
            <w:vAlign w:val="bottom"/>
            <w:hideMark/>
          </w:tcPr>
          <w:p w14:paraId="01CFA91F"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Prime de rapatriement</w:t>
            </w:r>
          </w:p>
        </w:tc>
        <w:tc>
          <w:tcPr>
            <w:tcW w:w="1770" w:type="dxa"/>
            <w:shd w:val="clear" w:color="auto" w:fill="auto"/>
            <w:vAlign w:val="bottom"/>
          </w:tcPr>
          <w:p w14:paraId="1697CAC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163 </w:t>
            </w:r>
          </w:p>
        </w:tc>
        <w:tc>
          <w:tcPr>
            <w:tcW w:w="1770" w:type="dxa"/>
            <w:shd w:val="clear" w:color="auto" w:fill="auto"/>
            <w:vAlign w:val="bottom"/>
          </w:tcPr>
          <w:p w14:paraId="584AF6D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157</w:t>
            </w:r>
          </w:p>
        </w:tc>
      </w:tr>
      <w:tr w:rsidR="00744544" w:rsidRPr="00A66C9F" w14:paraId="74FC00DB" w14:textId="77777777" w:rsidTr="00107D5D">
        <w:tc>
          <w:tcPr>
            <w:tcW w:w="3780" w:type="dxa"/>
            <w:tcBorders>
              <w:bottom w:val="single" w:sz="4" w:space="0" w:color="auto"/>
            </w:tcBorders>
            <w:shd w:val="clear" w:color="auto" w:fill="auto"/>
            <w:vAlign w:val="bottom"/>
          </w:tcPr>
          <w:p w14:paraId="537793DE" w14:textId="77777777" w:rsidR="00744544" w:rsidRPr="00A66C9F" w:rsidRDefault="00744544" w:rsidP="00107D5D">
            <w:pPr>
              <w:tabs>
                <w:tab w:val="left" w:pos="288"/>
                <w:tab w:val="left" w:pos="576"/>
                <w:tab w:val="left" w:pos="864"/>
                <w:tab w:val="left" w:pos="1152"/>
              </w:tabs>
              <w:suppressAutoHyphens/>
              <w:spacing w:before="40" w:after="81" w:line="210" w:lineRule="exact"/>
              <w:ind w:right="40"/>
              <w:rPr>
                <w:sz w:val="17"/>
                <w:lang w:val="fr-FR"/>
              </w:rPr>
            </w:pPr>
            <w:r w:rsidRPr="00A66C9F">
              <w:rPr>
                <w:sz w:val="17"/>
                <w:lang w:val="fr-FR"/>
              </w:rPr>
              <w:t>Congé annuel</w:t>
            </w:r>
          </w:p>
        </w:tc>
        <w:tc>
          <w:tcPr>
            <w:tcW w:w="1770" w:type="dxa"/>
            <w:tcBorders>
              <w:bottom w:val="single" w:sz="4" w:space="0" w:color="auto"/>
            </w:tcBorders>
            <w:shd w:val="clear" w:color="auto" w:fill="auto"/>
            <w:vAlign w:val="bottom"/>
          </w:tcPr>
          <w:p w14:paraId="2D709FA4"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76 </w:t>
            </w:r>
          </w:p>
        </w:tc>
        <w:tc>
          <w:tcPr>
            <w:tcW w:w="1770" w:type="dxa"/>
            <w:tcBorders>
              <w:bottom w:val="single" w:sz="4" w:space="0" w:color="auto"/>
            </w:tcBorders>
            <w:shd w:val="clear" w:color="auto" w:fill="auto"/>
            <w:vAlign w:val="bottom"/>
          </w:tcPr>
          <w:p w14:paraId="54A910F2"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118</w:t>
            </w:r>
          </w:p>
        </w:tc>
      </w:tr>
      <w:tr w:rsidR="00744544" w:rsidRPr="00A66C9F" w14:paraId="37C71841" w14:textId="77777777" w:rsidTr="00107D5D">
        <w:tc>
          <w:tcPr>
            <w:tcW w:w="3780" w:type="dxa"/>
            <w:tcBorders>
              <w:top w:val="single" w:sz="4" w:space="0" w:color="auto"/>
              <w:bottom w:val="single" w:sz="12" w:space="0" w:color="auto"/>
            </w:tcBorders>
            <w:shd w:val="clear" w:color="auto" w:fill="auto"/>
            <w:vAlign w:val="bottom"/>
            <w:hideMark/>
          </w:tcPr>
          <w:p w14:paraId="02B9D5D0" w14:textId="77777777" w:rsidR="00744544" w:rsidRPr="00A66C9F" w:rsidRDefault="00744544" w:rsidP="00107D5D">
            <w:pPr>
              <w:tabs>
                <w:tab w:val="left" w:pos="288"/>
                <w:tab w:val="left" w:pos="576"/>
                <w:tab w:val="left" w:pos="864"/>
                <w:tab w:val="left" w:pos="1152"/>
              </w:tabs>
              <w:suppressAutoHyphens/>
              <w:spacing w:before="81" w:after="81" w:line="210" w:lineRule="exact"/>
              <w:ind w:right="40"/>
              <w:rPr>
                <w:b/>
                <w:sz w:val="17"/>
                <w:lang w:val="fr-FR"/>
              </w:rPr>
            </w:pPr>
            <w:r w:rsidRPr="00A66C9F">
              <w:rPr>
                <w:b/>
                <w:sz w:val="17"/>
                <w:lang w:val="fr-FR"/>
              </w:rPr>
              <w:tab/>
              <w:t>Total</w:t>
            </w:r>
          </w:p>
        </w:tc>
        <w:tc>
          <w:tcPr>
            <w:tcW w:w="1770" w:type="dxa"/>
            <w:tcBorders>
              <w:top w:val="single" w:sz="4" w:space="0" w:color="auto"/>
              <w:bottom w:val="single" w:sz="12" w:space="0" w:color="auto"/>
            </w:tcBorders>
            <w:shd w:val="clear" w:color="auto" w:fill="auto"/>
            <w:vAlign w:val="bottom"/>
          </w:tcPr>
          <w:p w14:paraId="2E4C309B"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616 </w:t>
            </w:r>
          </w:p>
        </w:tc>
        <w:tc>
          <w:tcPr>
            <w:tcW w:w="1770" w:type="dxa"/>
            <w:tcBorders>
              <w:top w:val="single" w:sz="4" w:space="0" w:color="auto"/>
              <w:bottom w:val="single" w:sz="12" w:space="0" w:color="auto"/>
            </w:tcBorders>
            <w:shd w:val="clear" w:color="auto" w:fill="auto"/>
            <w:vAlign w:val="bottom"/>
          </w:tcPr>
          <w:p w14:paraId="3BF16BF3"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1 630</w:t>
            </w:r>
          </w:p>
        </w:tc>
      </w:tr>
    </w:tbl>
    <w:p w14:paraId="6BFA3A52" w14:textId="77777777" w:rsidR="00744544" w:rsidRPr="00A66C9F" w:rsidRDefault="00744544" w:rsidP="00744544">
      <w:pPr>
        <w:pStyle w:val="SingleTxt"/>
        <w:spacing w:after="0" w:line="120" w:lineRule="exact"/>
        <w:rPr>
          <w:sz w:val="10"/>
          <w:lang w:val="fr-FR"/>
        </w:rPr>
      </w:pPr>
    </w:p>
    <w:p w14:paraId="799C4B47" w14:textId="77777777" w:rsidR="00744544" w:rsidRPr="00A66C9F" w:rsidRDefault="00744544" w:rsidP="00744544">
      <w:pPr>
        <w:pStyle w:val="SingleTxt"/>
        <w:spacing w:after="0" w:line="120" w:lineRule="exact"/>
        <w:rPr>
          <w:sz w:val="10"/>
          <w:lang w:val="fr-FR"/>
        </w:rPr>
      </w:pPr>
    </w:p>
    <w:p w14:paraId="7C00EDC8" w14:textId="77777777" w:rsidR="00744544" w:rsidRPr="00A66C9F" w:rsidRDefault="00744544" w:rsidP="00744544">
      <w:pPr>
        <w:pStyle w:val="SingleTxt"/>
        <w:spacing w:after="0" w:line="120" w:lineRule="exact"/>
        <w:rPr>
          <w:sz w:val="10"/>
          <w:lang w:val="fr-FR"/>
        </w:rPr>
      </w:pPr>
    </w:p>
    <w:p w14:paraId="4AAF0FC3" w14:textId="77777777" w:rsidR="00744544" w:rsidRPr="00A66C9F" w:rsidRDefault="00744544" w:rsidP="0074454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Autres parties liées</w:t>
      </w:r>
    </w:p>
    <w:p w14:paraId="38FC7A4A" w14:textId="77777777" w:rsidR="00744544" w:rsidRPr="00A66C9F" w:rsidRDefault="00744544" w:rsidP="00744544">
      <w:pPr>
        <w:pStyle w:val="SingleTxt"/>
        <w:spacing w:after="0" w:line="120" w:lineRule="exact"/>
        <w:rPr>
          <w:sz w:val="10"/>
          <w:lang w:val="fr-FR"/>
        </w:rPr>
      </w:pPr>
    </w:p>
    <w:p w14:paraId="48EC498A" w14:textId="77777777" w:rsidR="00744544" w:rsidRPr="00A66C9F" w:rsidRDefault="00744544" w:rsidP="00753AB8">
      <w:pPr>
        <w:pStyle w:val="SingleTxt"/>
        <w:numPr>
          <w:ilvl w:val="0"/>
          <w:numId w:val="20"/>
        </w:numPr>
        <w:spacing w:line="240" w:lineRule="exact"/>
        <w:rPr>
          <w:lang w:val="fr-FR"/>
        </w:rPr>
      </w:pPr>
      <w:r w:rsidRPr="00A66C9F">
        <w:rPr>
          <w:lang w:val="fr-FR"/>
        </w:rPr>
        <w:t>On trouvera ci-dessous un récapitulatif des relations entre la Caisse et d’autres parties, bien qu’il n’y ait pas eu d’opérations concernant celles-ci.</w:t>
      </w:r>
    </w:p>
    <w:p w14:paraId="2BCE191D" w14:textId="77777777" w:rsidR="00744544" w:rsidRPr="00A66C9F" w:rsidRDefault="00744544" w:rsidP="00744544">
      <w:pPr>
        <w:pStyle w:val="SingleTxt"/>
        <w:spacing w:after="0" w:line="120" w:lineRule="exact"/>
        <w:rPr>
          <w:i/>
          <w:sz w:val="10"/>
          <w:lang w:val="fr-FR"/>
        </w:rPr>
      </w:pPr>
    </w:p>
    <w:p w14:paraId="1CA6292E" w14:textId="77777777" w:rsidR="00744544" w:rsidRPr="00A66C9F" w:rsidRDefault="00744544" w:rsidP="0074454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Assemblée générale</w:t>
      </w:r>
    </w:p>
    <w:p w14:paraId="2D8693AB" w14:textId="77777777" w:rsidR="00744544" w:rsidRPr="00A66C9F" w:rsidRDefault="00744544" w:rsidP="00744544">
      <w:pPr>
        <w:pStyle w:val="SingleTxt"/>
        <w:spacing w:after="0" w:line="120" w:lineRule="exact"/>
        <w:rPr>
          <w:sz w:val="10"/>
          <w:lang w:val="fr-FR"/>
        </w:rPr>
      </w:pPr>
    </w:p>
    <w:p w14:paraId="1EDBC550" w14:textId="77777777" w:rsidR="00744544" w:rsidRPr="00A66C9F" w:rsidRDefault="00744544" w:rsidP="00753AB8">
      <w:pPr>
        <w:pStyle w:val="SingleTxt"/>
        <w:numPr>
          <w:ilvl w:val="0"/>
          <w:numId w:val="20"/>
        </w:numPr>
        <w:spacing w:line="240" w:lineRule="exact"/>
        <w:rPr>
          <w:lang w:val="fr-FR"/>
        </w:rPr>
      </w:pPr>
      <w:r w:rsidRPr="00A66C9F">
        <w:rPr>
          <w:lang w:val="fr-FR"/>
        </w:rPr>
        <w:lastRenderedPageBreak/>
        <w:t>L’Assemblée générale est l’organe de tutelle de la Caisse. Elle examine les rapports présentés par le Comité mixte, approuve les budgets de la Caisse, décide de l’admission de nouvelles organisations et modifie les Statuts de la Caisse.</w:t>
      </w:r>
    </w:p>
    <w:p w14:paraId="702D5EC2" w14:textId="77777777" w:rsidR="00744544" w:rsidRPr="00A66C9F" w:rsidRDefault="00744544" w:rsidP="00744544">
      <w:pPr>
        <w:pStyle w:val="SingleTxt"/>
        <w:spacing w:after="0" w:line="120" w:lineRule="exact"/>
        <w:rPr>
          <w:sz w:val="10"/>
          <w:lang w:val="fr-FR"/>
        </w:rPr>
      </w:pPr>
    </w:p>
    <w:p w14:paraId="17992A5F" w14:textId="77777777" w:rsidR="00744544" w:rsidRPr="00A66C9F" w:rsidRDefault="00744544" w:rsidP="0074454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Organisations affiliées à la Caisse</w:t>
      </w:r>
    </w:p>
    <w:p w14:paraId="69FB3595" w14:textId="77777777" w:rsidR="00744544" w:rsidRPr="00A66C9F" w:rsidRDefault="00744544" w:rsidP="00744544">
      <w:pPr>
        <w:pStyle w:val="SingleTxt"/>
        <w:spacing w:after="0" w:line="120" w:lineRule="exact"/>
        <w:rPr>
          <w:sz w:val="10"/>
          <w:lang w:val="fr-FR"/>
        </w:rPr>
      </w:pPr>
    </w:p>
    <w:p w14:paraId="6543825F" w14:textId="77777777" w:rsidR="00744544" w:rsidRPr="00A66C9F" w:rsidRDefault="00744544" w:rsidP="00753AB8">
      <w:pPr>
        <w:pStyle w:val="SingleTxt"/>
        <w:numPr>
          <w:ilvl w:val="0"/>
          <w:numId w:val="20"/>
        </w:numPr>
        <w:spacing w:line="240" w:lineRule="exact"/>
        <w:rPr>
          <w:lang w:val="fr-FR"/>
        </w:rPr>
      </w:pPr>
      <w:r w:rsidRPr="00A66C9F">
        <w:rPr>
          <w:lang w:val="fr-FR"/>
        </w:rPr>
        <w:t>L’affiliation de nouvelles organisations (organisations intergouvernementales internationales) à la Caisse se fait par décision de l’Assemblée générale, après acceptation par les organisations intéressées des Statuts de la Caisse. Chaque organisation affiliée est dotée d’un comité des pensions du personnel et d’un secrétaire du comité. Ces comités et leur secrétariat font partie intégrante de l’administration de la Caisse.</w:t>
      </w:r>
    </w:p>
    <w:p w14:paraId="69ED7045" w14:textId="77777777" w:rsidR="00744544" w:rsidRPr="00A66C9F" w:rsidRDefault="00744544" w:rsidP="00744544">
      <w:pPr>
        <w:pStyle w:val="SingleTxt"/>
        <w:spacing w:after="0" w:line="120" w:lineRule="exact"/>
        <w:rPr>
          <w:sz w:val="10"/>
          <w:lang w:val="fr-FR"/>
        </w:rPr>
      </w:pPr>
    </w:p>
    <w:p w14:paraId="54F8E746" w14:textId="77777777" w:rsidR="00744544" w:rsidRPr="00A66C9F" w:rsidRDefault="00744544" w:rsidP="0074454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Centre international de calcul des Nations Unies</w:t>
      </w:r>
    </w:p>
    <w:p w14:paraId="6BCD4AF5" w14:textId="77777777" w:rsidR="00744544" w:rsidRPr="00A66C9F" w:rsidRDefault="00744544" w:rsidP="00744544">
      <w:pPr>
        <w:pStyle w:val="SingleTxt"/>
        <w:spacing w:after="0" w:line="120" w:lineRule="exact"/>
        <w:rPr>
          <w:sz w:val="10"/>
          <w:lang w:val="fr-FR"/>
        </w:rPr>
      </w:pPr>
    </w:p>
    <w:p w14:paraId="3DC193BD" w14:textId="23AF1277" w:rsidR="00744544" w:rsidRPr="00A66C9F" w:rsidRDefault="00744544" w:rsidP="00753AB8">
      <w:pPr>
        <w:pStyle w:val="SingleTxt"/>
        <w:numPr>
          <w:ilvl w:val="0"/>
          <w:numId w:val="20"/>
        </w:numPr>
        <w:spacing w:line="240" w:lineRule="exact"/>
        <w:rPr>
          <w:lang w:val="fr-FR"/>
        </w:rPr>
      </w:pPr>
      <w:r w:rsidRPr="00A66C9F">
        <w:rPr>
          <w:lang w:val="fr-FR"/>
        </w:rPr>
        <w:t xml:space="preserve">Le Centre international de calcul des Nations Unies (CIC) a été créé en janvier 1971, en application de la résolution </w:t>
      </w:r>
      <w:hyperlink r:id="rId44" w:history="1">
        <w:r w:rsidRPr="00A66C9F">
          <w:rPr>
            <w:rStyle w:val="Hyperlink"/>
            <w:lang w:val="fr-FR"/>
          </w:rPr>
          <w:t>2741 (XXV)</w:t>
        </w:r>
      </w:hyperlink>
      <w:r w:rsidRPr="00A66C9F">
        <w:rPr>
          <w:lang w:val="fr-FR"/>
        </w:rPr>
        <w:t xml:space="preserve"> de l’Assemblée générale. Il fournit des services d’informatique et de communication aux partenaires et usagers du système des Nations Unies. Tel que précisé dans le mandat du Centre, en tant que partenaire, la Caisse serait responsable, en proportion de sa participation, de toute demande d’indemnisation émanant de tiers ou de tout passif découlant des activités de service du CIC ou liés à ces dernières. Au 31 décembre 2019, on n’avait connaissance d’aucune demande d’indemnisation ayant des conséquences pour la Caisse. Le Centre est propriétaire des actifs jusqu’à sa dissolution. Lors de cette dissolution, la division de tous ses actifs et passifs entre les organisations partenaires doit être approuvée par le Comité de gestion selon une formule définie à ce moment.</w:t>
      </w:r>
    </w:p>
    <w:p w14:paraId="464D8184" w14:textId="77777777" w:rsidR="00744544" w:rsidRPr="00A66C9F" w:rsidRDefault="00744544" w:rsidP="00753AB8">
      <w:pPr>
        <w:pStyle w:val="SingleTxt"/>
        <w:numPr>
          <w:ilvl w:val="0"/>
          <w:numId w:val="20"/>
        </w:numPr>
        <w:spacing w:line="240" w:lineRule="exact"/>
        <w:rPr>
          <w:lang w:val="fr-FR"/>
        </w:rPr>
      </w:pPr>
      <w:r w:rsidRPr="00A66C9F">
        <w:rPr>
          <w:lang w:val="fr-FR"/>
        </w:rPr>
        <w:t>Le CIC est chargé de :</w:t>
      </w:r>
    </w:p>
    <w:p w14:paraId="266E8636" w14:textId="77777777" w:rsidR="00744544" w:rsidRPr="00A66C9F" w:rsidRDefault="00744544" w:rsidP="00744544">
      <w:pPr>
        <w:pStyle w:val="SingleTxt"/>
        <w:tabs>
          <w:tab w:val="right" w:pos="1685"/>
        </w:tabs>
        <w:ind w:left="1742" w:hanging="475"/>
        <w:rPr>
          <w:lang w:val="fr-FR"/>
        </w:rPr>
      </w:pPr>
      <w:r w:rsidRPr="00A66C9F">
        <w:rPr>
          <w:lang w:val="fr-FR"/>
        </w:rPr>
        <w:tab/>
        <w:t>•</w:t>
      </w:r>
      <w:r w:rsidRPr="00A66C9F">
        <w:rPr>
          <w:lang w:val="fr-FR"/>
        </w:rPr>
        <w:tab/>
        <w:t>Fournir des services informatiques sur la base du recouvrement intégral des coûts ;</w:t>
      </w:r>
    </w:p>
    <w:p w14:paraId="791F969D" w14:textId="77777777" w:rsidR="00744544" w:rsidRPr="00A66C9F" w:rsidRDefault="00744544" w:rsidP="00744544">
      <w:pPr>
        <w:pStyle w:val="SingleTxt"/>
        <w:tabs>
          <w:tab w:val="right" w:pos="1685"/>
        </w:tabs>
        <w:ind w:left="1742" w:hanging="475"/>
        <w:rPr>
          <w:lang w:val="fr-FR"/>
        </w:rPr>
      </w:pPr>
      <w:r w:rsidRPr="00A66C9F">
        <w:rPr>
          <w:lang w:val="fr-FR"/>
        </w:rPr>
        <w:tab/>
        <w:t>•</w:t>
      </w:r>
      <w:r w:rsidRPr="00A66C9F">
        <w:rPr>
          <w:lang w:val="fr-FR"/>
        </w:rPr>
        <w:tab/>
        <w:t>Aider ses clients à exploiter les réseaux et la technologie informatique ;</w:t>
      </w:r>
    </w:p>
    <w:p w14:paraId="4BE1EC70" w14:textId="77777777" w:rsidR="00744544" w:rsidRPr="00A66C9F" w:rsidRDefault="00744544" w:rsidP="00744544">
      <w:pPr>
        <w:pStyle w:val="SingleTxt"/>
        <w:tabs>
          <w:tab w:val="right" w:pos="1685"/>
        </w:tabs>
        <w:ind w:left="1742" w:hanging="475"/>
        <w:rPr>
          <w:lang w:val="fr-FR"/>
        </w:rPr>
      </w:pPr>
      <w:r w:rsidRPr="00A66C9F">
        <w:rPr>
          <w:lang w:val="fr-FR"/>
        </w:rPr>
        <w:tab/>
        <w:t>•</w:t>
      </w:r>
      <w:r w:rsidRPr="00A66C9F">
        <w:rPr>
          <w:lang w:val="fr-FR"/>
        </w:rPr>
        <w:tab/>
        <w:t>Fournir des services de gestion de l’information ;</w:t>
      </w:r>
    </w:p>
    <w:p w14:paraId="353851A4" w14:textId="77777777" w:rsidR="00744544" w:rsidRPr="00A66C9F" w:rsidRDefault="00744544" w:rsidP="00744544">
      <w:pPr>
        <w:pStyle w:val="SingleTxt"/>
        <w:tabs>
          <w:tab w:val="right" w:pos="1685"/>
        </w:tabs>
        <w:ind w:left="1742" w:hanging="475"/>
        <w:rPr>
          <w:lang w:val="fr-FR"/>
        </w:rPr>
      </w:pPr>
      <w:r w:rsidRPr="00A66C9F">
        <w:rPr>
          <w:lang w:val="fr-FR"/>
        </w:rPr>
        <w:tab/>
        <w:t>•</w:t>
      </w:r>
      <w:r w:rsidRPr="00A66C9F">
        <w:rPr>
          <w:lang w:val="fr-FR"/>
        </w:rPr>
        <w:tab/>
        <w:t>Conseiller les organisations sur les questions liées à la gestion de l’information ;</w:t>
      </w:r>
    </w:p>
    <w:p w14:paraId="4CA0C8F5" w14:textId="77777777" w:rsidR="00744544" w:rsidRPr="00A66C9F" w:rsidRDefault="00744544" w:rsidP="00744544">
      <w:pPr>
        <w:pStyle w:val="SingleTxt"/>
        <w:tabs>
          <w:tab w:val="right" w:pos="1685"/>
        </w:tabs>
        <w:ind w:left="1742" w:hanging="475"/>
        <w:rPr>
          <w:lang w:val="fr-FR"/>
        </w:rPr>
      </w:pPr>
      <w:r w:rsidRPr="00A66C9F">
        <w:rPr>
          <w:lang w:val="fr-FR"/>
        </w:rPr>
        <w:tab/>
        <w:t>•</w:t>
      </w:r>
      <w:r w:rsidRPr="00A66C9F">
        <w:rPr>
          <w:lang w:val="fr-FR"/>
        </w:rPr>
        <w:tab/>
        <w:t>Offrir des formations spécialisées.</w:t>
      </w:r>
    </w:p>
    <w:p w14:paraId="4F4A4AAD" w14:textId="77777777" w:rsidR="00744544" w:rsidRPr="00A66C9F" w:rsidRDefault="00744544" w:rsidP="00744544">
      <w:pPr>
        <w:pStyle w:val="SingleTxt"/>
        <w:spacing w:after="0" w:line="120" w:lineRule="exact"/>
        <w:rPr>
          <w:sz w:val="10"/>
          <w:lang w:val="fr-FR"/>
        </w:rPr>
      </w:pPr>
    </w:p>
    <w:p w14:paraId="701FA95C"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Note 24</w:t>
      </w:r>
    </w:p>
    <w:p w14:paraId="09B11873"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Retraitement et comparaison des montants</w:t>
      </w:r>
    </w:p>
    <w:p w14:paraId="6A03A826" w14:textId="77777777" w:rsidR="00744544" w:rsidRPr="00A66C9F" w:rsidRDefault="00744544" w:rsidP="00744544">
      <w:pPr>
        <w:pStyle w:val="SingleTxt"/>
        <w:keepNext/>
        <w:spacing w:after="0" w:line="120" w:lineRule="exact"/>
        <w:rPr>
          <w:sz w:val="10"/>
          <w:lang w:val="fr-FR"/>
        </w:rPr>
      </w:pPr>
    </w:p>
    <w:p w14:paraId="2956B8BC" w14:textId="77777777" w:rsidR="00744544" w:rsidRPr="00A66C9F" w:rsidRDefault="00744544" w:rsidP="00753AB8">
      <w:pPr>
        <w:pStyle w:val="SingleTxt"/>
        <w:numPr>
          <w:ilvl w:val="0"/>
          <w:numId w:val="20"/>
        </w:numPr>
        <w:spacing w:line="240" w:lineRule="exact"/>
        <w:rPr>
          <w:lang w:val="fr-FR"/>
        </w:rPr>
      </w:pPr>
      <w:r w:rsidRPr="00A66C9F">
        <w:rPr>
          <w:lang w:val="fr-FR"/>
        </w:rPr>
        <w:t>À partir de 2019, la Caisse a actualisé la présentation de l’état de l’actif net disponible pour le versement des prestations en regroupant les placements à revenu fixe et les placements à court terme et en fournissant, dans la note 20.1 des présents états financiers, une analyse des échéances des titres à revenu fixe au 31 décembre 2019 et au 31 décembre 2018. Ce changement vise à fournir des renseignements plus utiles aux utilisateurs des états financiers, conformément à la politique d’investissement arrêtée pour 2019, et à améliorer la lisibilité en présentant l’ensemble des instruments à revenu fixe dans un même tableau.</w:t>
      </w:r>
    </w:p>
    <w:p w14:paraId="7EF9D298" w14:textId="77777777" w:rsidR="00744544" w:rsidRPr="00A66C9F" w:rsidRDefault="00744544" w:rsidP="00753AB8">
      <w:pPr>
        <w:pStyle w:val="SingleTxt"/>
        <w:numPr>
          <w:ilvl w:val="0"/>
          <w:numId w:val="20"/>
        </w:numPr>
        <w:spacing w:line="240" w:lineRule="exact"/>
        <w:rPr>
          <w:lang w:val="fr-FR"/>
        </w:rPr>
      </w:pPr>
      <w:r w:rsidRPr="00A66C9F">
        <w:rPr>
          <w:lang w:val="fr-FR"/>
        </w:rPr>
        <w:t>En conséquence, certaines rubriques ont été modifiées dans l’état de l’actif net disponible pour le versement des prestations et dans les notes des états financiers correspondantes. Tous les chiffres indiqués à des fins de comparaison ont été retraités conformément à la classification de l’année courante. Le retraitement n’a pas eu d’incidence sur l’actif net disponible pour le versement des prestations.</w:t>
      </w:r>
    </w:p>
    <w:p w14:paraId="51110A4D" w14:textId="77777777" w:rsidR="00744544" w:rsidRPr="00A66C9F" w:rsidRDefault="00744544" w:rsidP="00753AB8">
      <w:pPr>
        <w:pStyle w:val="SingleTxt"/>
        <w:numPr>
          <w:ilvl w:val="0"/>
          <w:numId w:val="20"/>
        </w:numPr>
        <w:spacing w:line="240" w:lineRule="exact"/>
        <w:rPr>
          <w:lang w:val="fr-FR"/>
        </w:rPr>
      </w:pPr>
      <w:r w:rsidRPr="00A66C9F">
        <w:rPr>
          <w:lang w:val="fr-FR"/>
        </w:rPr>
        <w:lastRenderedPageBreak/>
        <w:t>Le regroupement des placements à court terme et des placements à revenu fixe a un effet net nul sur l’état de l’actif net disponible pour le versement des prestations, qui se présente comme suit :</w:t>
      </w:r>
    </w:p>
    <w:p w14:paraId="15C51A32" w14:textId="77777777" w:rsidR="00744544" w:rsidRPr="00A66C9F" w:rsidRDefault="00744544" w:rsidP="00744544">
      <w:pPr>
        <w:pStyle w:val="SingleTxt"/>
        <w:spacing w:after="0" w:line="120" w:lineRule="exact"/>
        <w:rPr>
          <w:sz w:val="10"/>
          <w:lang w:val="fr-FR"/>
        </w:rPr>
      </w:pPr>
    </w:p>
    <w:p w14:paraId="458AAB0F" w14:textId="77777777" w:rsidR="00744544" w:rsidRPr="00A66C9F" w:rsidRDefault="00744544" w:rsidP="0074454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A66C9F">
        <w:rPr>
          <w:lang w:val="fr-FR"/>
        </w:rPr>
        <w:tab/>
      </w:r>
      <w:r w:rsidRPr="00A66C9F">
        <w:rPr>
          <w:lang w:val="fr-FR"/>
        </w:rPr>
        <w:tab/>
      </w:r>
      <w:r w:rsidRPr="00A66C9F">
        <w:rPr>
          <w:sz w:val="14"/>
          <w:szCs w:val="14"/>
          <w:lang w:val="fr-FR"/>
        </w:rPr>
        <w:t>(En milliers de dollars des États-Unis)</w:t>
      </w:r>
    </w:p>
    <w:p w14:paraId="73D12F72" w14:textId="77777777" w:rsidR="00744544" w:rsidRPr="00A66C9F" w:rsidRDefault="00744544" w:rsidP="00744544">
      <w:pPr>
        <w:pStyle w:val="SingleTxt"/>
        <w:spacing w:after="0" w:line="120" w:lineRule="exact"/>
        <w:rPr>
          <w:sz w:val="10"/>
          <w:lang w:val="fr-FR"/>
        </w:rPr>
      </w:pPr>
    </w:p>
    <w:p w14:paraId="3B160FD1" w14:textId="77777777" w:rsidR="00744544" w:rsidRPr="00A66C9F" w:rsidRDefault="00744544" w:rsidP="00744544">
      <w:pPr>
        <w:pStyle w:val="SingleTxt"/>
        <w:spacing w:after="0" w:line="120" w:lineRule="exact"/>
        <w:rPr>
          <w:sz w:val="10"/>
          <w:lang w:val="fr-FR"/>
        </w:rPr>
      </w:pPr>
    </w:p>
    <w:tbl>
      <w:tblPr>
        <w:tblW w:w="7320" w:type="dxa"/>
        <w:tblInd w:w="1260" w:type="dxa"/>
        <w:tblLayout w:type="fixed"/>
        <w:tblCellMar>
          <w:left w:w="0" w:type="dxa"/>
          <w:right w:w="0" w:type="dxa"/>
        </w:tblCellMar>
        <w:tblLook w:val="04A0" w:firstRow="1" w:lastRow="0" w:firstColumn="1" w:lastColumn="0" w:noHBand="0" w:noVBand="1"/>
      </w:tblPr>
      <w:tblGrid>
        <w:gridCol w:w="2880"/>
        <w:gridCol w:w="1480"/>
        <w:gridCol w:w="1480"/>
        <w:gridCol w:w="1480"/>
      </w:tblGrid>
      <w:tr w:rsidR="00744544" w:rsidRPr="00A66C9F" w14:paraId="73DF153E" w14:textId="77777777" w:rsidTr="00107D5D">
        <w:trPr>
          <w:tblHeader/>
        </w:trPr>
        <w:tc>
          <w:tcPr>
            <w:tcW w:w="2880" w:type="dxa"/>
            <w:tcBorders>
              <w:top w:val="single" w:sz="4" w:space="0" w:color="auto"/>
              <w:bottom w:val="single" w:sz="12" w:space="0" w:color="auto"/>
            </w:tcBorders>
            <w:shd w:val="clear" w:color="auto" w:fill="auto"/>
            <w:vAlign w:val="bottom"/>
          </w:tcPr>
          <w:p w14:paraId="586991E0" w14:textId="77777777" w:rsidR="00744544" w:rsidRPr="00A66C9F" w:rsidRDefault="00744544" w:rsidP="00107D5D">
            <w:pPr>
              <w:suppressAutoHyphens/>
              <w:spacing w:before="81" w:after="81" w:line="160" w:lineRule="exact"/>
              <w:ind w:right="40"/>
              <w:rPr>
                <w:i/>
                <w:sz w:val="14"/>
                <w:lang w:val="fr-FR"/>
              </w:rPr>
            </w:pPr>
          </w:p>
        </w:tc>
        <w:tc>
          <w:tcPr>
            <w:tcW w:w="1480" w:type="dxa"/>
            <w:tcBorders>
              <w:top w:val="single" w:sz="4" w:space="0" w:color="auto"/>
              <w:bottom w:val="single" w:sz="12" w:space="0" w:color="auto"/>
            </w:tcBorders>
            <w:shd w:val="clear" w:color="auto" w:fill="auto"/>
            <w:vAlign w:val="bottom"/>
          </w:tcPr>
          <w:p w14:paraId="650E2D1E"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(chiffres initiaux)</w:t>
            </w:r>
            <w:r w:rsidRPr="00A66C9F">
              <w:rPr>
                <w:i/>
                <w:sz w:val="14"/>
                <w:lang w:val="fr-FR"/>
              </w:rPr>
              <w:br/>
              <w:t>31 décembre 2018</w:t>
            </w:r>
          </w:p>
        </w:tc>
        <w:tc>
          <w:tcPr>
            <w:tcW w:w="1480" w:type="dxa"/>
            <w:tcBorders>
              <w:top w:val="single" w:sz="4" w:space="0" w:color="auto"/>
              <w:bottom w:val="single" w:sz="12" w:space="0" w:color="auto"/>
            </w:tcBorders>
            <w:shd w:val="clear" w:color="auto" w:fill="auto"/>
            <w:vAlign w:val="bottom"/>
          </w:tcPr>
          <w:p w14:paraId="6BE5C391"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Regroupement</w:t>
            </w:r>
          </w:p>
        </w:tc>
        <w:tc>
          <w:tcPr>
            <w:tcW w:w="1480" w:type="dxa"/>
            <w:tcBorders>
              <w:top w:val="single" w:sz="4" w:space="0" w:color="auto"/>
              <w:bottom w:val="single" w:sz="12" w:space="0" w:color="auto"/>
            </w:tcBorders>
            <w:shd w:val="clear" w:color="auto" w:fill="auto"/>
            <w:vAlign w:val="bottom"/>
          </w:tcPr>
          <w:p w14:paraId="688C928D" w14:textId="77777777" w:rsidR="00744544" w:rsidRPr="00A66C9F" w:rsidRDefault="00744544" w:rsidP="00107D5D">
            <w:pPr>
              <w:suppressAutoHyphens/>
              <w:spacing w:before="81" w:after="81" w:line="160" w:lineRule="exact"/>
              <w:ind w:right="43"/>
              <w:jc w:val="right"/>
              <w:rPr>
                <w:i/>
                <w:sz w:val="14"/>
                <w:lang w:val="fr-FR"/>
              </w:rPr>
            </w:pPr>
            <w:r w:rsidRPr="00A66C9F">
              <w:rPr>
                <w:i/>
                <w:sz w:val="14"/>
                <w:lang w:val="fr-FR"/>
              </w:rPr>
              <w:t xml:space="preserve">Après le regroupement 31 décembre 2018 </w:t>
            </w:r>
          </w:p>
        </w:tc>
      </w:tr>
      <w:tr w:rsidR="00744544" w:rsidRPr="00A66C9F" w14:paraId="084C7905" w14:textId="77777777" w:rsidTr="00107D5D">
        <w:trPr>
          <w:trHeight w:hRule="exact" w:val="115"/>
          <w:tblHeader/>
        </w:trPr>
        <w:tc>
          <w:tcPr>
            <w:tcW w:w="2880" w:type="dxa"/>
            <w:tcBorders>
              <w:top w:val="single" w:sz="12" w:space="0" w:color="auto"/>
            </w:tcBorders>
            <w:shd w:val="clear" w:color="auto" w:fill="auto"/>
            <w:vAlign w:val="bottom"/>
          </w:tcPr>
          <w:p w14:paraId="503EEC8D" w14:textId="77777777" w:rsidR="00744544" w:rsidRPr="00A66C9F" w:rsidRDefault="00744544" w:rsidP="00107D5D">
            <w:pPr>
              <w:suppressAutoHyphens/>
              <w:spacing w:before="40" w:after="40" w:line="210" w:lineRule="exact"/>
              <w:ind w:right="40"/>
              <w:rPr>
                <w:sz w:val="17"/>
                <w:lang w:val="fr-FR"/>
              </w:rPr>
            </w:pPr>
          </w:p>
        </w:tc>
        <w:tc>
          <w:tcPr>
            <w:tcW w:w="1480" w:type="dxa"/>
            <w:tcBorders>
              <w:top w:val="single" w:sz="12" w:space="0" w:color="auto"/>
            </w:tcBorders>
            <w:shd w:val="clear" w:color="auto" w:fill="auto"/>
            <w:vAlign w:val="bottom"/>
          </w:tcPr>
          <w:p w14:paraId="1905AEF9" w14:textId="77777777" w:rsidR="00744544" w:rsidRPr="00A66C9F" w:rsidRDefault="00744544" w:rsidP="00107D5D">
            <w:pPr>
              <w:suppressAutoHyphens/>
              <w:spacing w:before="40" w:after="40" w:line="210" w:lineRule="exact"/>
              <w:ind w:right="43"/>
              <w:jc w:val="right"/>
              <w:rPr>
                <w:sz w:val="17"/>
                <w:lang w:val="fr-FR"/>
              </w:rPr>
            </w:pPr>
          </w:p>
        </w:tc>
        <w:tc>
          <w:tcPr>
            <w:tcW w:w="1480" w:type="dxa"/>
            <w:tcBorders>
              <w:top w:val="single" w:sz="12" w:space="0" w:color="auto"/>
            </w:tcBorders>
            <w:shd w:val="clear" w:color="auto" w:fill="auto"/>
            <w:vAlign w:val="bottom"/>
          </w:tcPr>
          <w:p w14:paraId="0A164075" w14:textId="77777777" w:rsidR="00744544" w:rsidRPr="00A66C9F" w:rsidRDefault="00744544" w:rsidP="00107D5D">
            <w:pPr>
              <w:suppressAutoHyphens/>
              <w:spacing w:before="40" w:after="40" w:line="210" w:lineRule="exact"/>
              <w:ind w:right="43"/>
              <w:jc w:val="right"/>
              <w:rPr>
                <w:sz w:val="17"/>
                <w:lang w:val="fr-FR"/>
              </w:rPr>
            </w:pPr>
          </w:p>
        </w:tc>
        <w:tc>
          <w:tcPr>
            <w:tcW w:w="1480" w:type="dxa"/>
            <w:tcBorders>
              <w:top w:val="single" w:sz="12" w:space="0" w:color="auto"/>
            </w:tcBorders>
            <w:shd w:val="clear" w:color="auto" w:fill="auto"/>
            <w:vAlign w:val="bottom"/>
          </w:tcPr>
          <w:p w14:paraId="12B36C3F" w14:textId="77777777" w:rsidR="00744544" w:rsidRPr="00A66C9F" w:rsidRDefault="00744544" w:rsidP="00107D5D">
            <w:pPr>
              <w:suppressAutoHyphens/>
              <w:spacing w:before="40" w:after="40" w:line="210" w:lineRule="exact"/>
              <w:ind w:right="43"/>
              <w:jc w:val="right"/>
              <w:rPr>
                <w:sz w:val="17"/>
                <w:lang w:val="fr-FR"/>
              </w:rPr>
            </w:pPr>
          </w:p>
        </w:tc>
      </w:tr>
      <w:tr w:rsidR="00744544" w:rsidRPr="00A66C9F" w14:paraId="2704471B" w14:textId="77777777" w:rsidTr="00107D5D">
        <w:tc>
          <w:tcPr>
            <w:tcW w:w="2880" w:type="dxa"/>
            <w:shd w:val="clear" w:color="auto" w:fill="auto"/>
            <w:vAlign w:val="bottom"/>
            <w:hideMark/>
          </w:tcPr>
          <w:p w14:paraId="78CB56E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b/>
                <w:bCs/>
                <w:sz w:val="17"/>
                <w:lang w:val="fr-FR"/>
              </w:rPr>
              <w:t>Investissements</w:t>
            </w:r>
          </w:p>
        </w:tc>
        <w:tc>
          <w:tcPr>
            <w:tcW w:w="1480" w:type="dxa"/>
            <w:shd w:val="clear" w:color="auto" w:fill="auto"/>
            <w:vAlign w:val="bottom"/>
            <w:hideMark/>
          </w:tcPr>
          <w:p w14:paraId="2BD1F4E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p>
        </w:tc>
        <w:tc>
          <w:tcPr>
            <w:tcW w:w="1480" w:type="dxa"/>
            <w:shd w:val="clear" w:color="auto" w:fill="auto"/>
            <w:vAlign w:val="bottom"/>
            <w:hideMark/>
          </w:tcPr>
          <w:p w14:paraId="30ADD84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p>
        </w:tc>
        <w:tc>
          <w:tcPr>
            <w:tcW w:w="1480" w:type="dxa"/>
            <w:shd w:val="clear" w:color="auto" w:fill="auto"/>
            <w:vAlign w:val="bottom"/>
            <w:hideMark/>
          </w:tcPr>
          <w:p w14:paraId="184EEDC4"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p>
        </w:tc>
      </w:tr>
      <w:tr w:rsidR="00744544" w:rsidRPr="00A66C9F" w14:paraId="6CC3D4D8" w14:textId="77777777" w:rsidTr="00107D5D">
        <w:tc>
          <w:tcPr>
            <w:tcW w:w="2880" w:type="dxa"/>
            <w:shd w:val="clear" w:color="auto" w:fill="auto"/>
            <w:vAlign w:val="bottom"/>
            <w:hideMark/>
          </w:tcPr>
          <w:p w14:paraId="6A28948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Placements à court terme</w:t>
            </w:r>
          </w:p>
        </w:tc>
        <w:tc>
          <w:tcPr>
            <w:tcW w:w="1480" w:type="dxa"/>
            <w:shd w:val="clear" w:color="auto" w:fill="auto"/>
            <w:vAlign w:val="bottom"/>
            <w:hideMark/>
          </w:tcPr>
          <w:p w14:paraId="31D7B27A"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2 710 995</w:t>
            </w:r>
          </w:p>
        </w:tc>
        <w:tc>
          <w:tcPr>
            <w:tcW w:w="1480" w:type="dxa"/>
            <w:shd w:val="clear" w:color="auto" w:fill="auto"/>
            <w:vAlign w:val="bottom"/>
            <w:hideMark/>
          </w:tcPr>
          <w:p w14:paraId="3AE6B036"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(2 710 995)</w:t>
            </w:r>
          </w:p>
        </w:tc>
        <w:tc>
          <w:tcPr>
            <w:tcW w:w="1480" w:type="dxa"/>
            <w:shd w:val="clear" w:color="auto" w:fill="auto"/>
            <w:vAlign w:val="bottom"/>
            <w:hideMark/>
          </w:tcPr>
          <w:p w14:paraId="3F02E2CE"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r>
      <w:tr w:rsidR="00744544" w:rsidRPr="00A66C9F" w14:paraId="32D4EFA8" w14:textId="77777777" w:rsidTr="00107D5D">
        <w:tc>
          <w:tcPr>
            <w:tcW w:w="2880" w:type="dxa"/>
            <w:shd w:val="clear" w:color="auto" w:fill="auto"/>
            <w:vAlign w:val="bottom"/>
            <w:hideMark/>
          </w:tcPr>
          <w:p w14:paraId="2FC964C5"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Actions</w:t>
            </w:r>
          </w:p>
        </w:tc>
        <w:tc>
          <w:tcPr>
            <w:tcW w:w="1480" w:type="dxa"/>
            <w:shd w:val="clear" w:color="auto" w:fill="auto"/>
            <w:vAlign w:val="bottom"/>
            <w:hideMark/>
          </w:tcPr>
          <w:p w14:paraId="5C2BAE9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34 401 159</w:t>
            </w:r>
          </w:p>
        </w:tc>
        <w:tc>
          <w:tcPr>
            <w:tcW w:w="1480" w:type="dxa"/>
            <w:shd w:val="clear" w:color="auto" w:fill="auto"/>
            <w:vAlign w:val="bottom"/>
            <w:hideMark/>
          </w:tcPr>
          <w:p w14:paraId="12D676B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480" w:type="dxa"/>
            <w:shd w:val="clear" w:color="auto" w:fill="auto"/>
            <w:vAlign w:val="bottom"/>
            <w:hideMark/>
          </w:tcPr>
          <w:p w14:paraId="4895B88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34 401 159</w:t>
            </w:r>
          </w:p>
        </w:tc>
      </w:tr>
      <w:tr w:rsidR="00744544" w:rsidRPr="00A66C9F" w14:paraId="24D4E5C6" w14:textId="77777777" w:rsidTr="00107D5D">
        <w:tc>
          <w:tcPr>
            <w:tcW w:w="2880" w:type="dxa"/>
            <w:shd w:val="clear" w:color="auto" w:fill="auto"/>
            <w:vAlign w:val="bottom"/>
            <w:hideMark/>
          </w:tcPr>
          <w:p w14:paraId="2DFAC6FD"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Placements à revenu fixe</w:t>
            </w:r>
          </w:p>
        </w:tc>
        <w:tc>
          <w:tcPr>
            <w:tcW w:w="1480" w:type="dxa"/>
            <w:shd w:val="clear" w:color="auto" w:fill="auto"/>
            <w:vAlign w:val="bottom"/>
            <w:hideMark/>
          </w:tcPr>
          <w:p w14:paraId="08B0B247"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16 113 838</w:t>
            </w:r>
          </w:p>
        </w:tc>
        <w:tc>
          <w:tcPr>
            <w:tcW w:w="1480" w:type="dxa"/>
            <w:shd w:val="clear" w:color="auto" w:fill="auto"/>
            <w:vAlign w:val="bottom"/>
            <w:hideMark/>
          </w:tcPr>
          <w:p w14:paraId="7DB40383"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2 710 995</w:t>
            </w:r>
          </w:p>
        </w:tc>
        <w:tc>
          <w:tcPr>
            <w:tcW w:w="1480" w:type="dxa"/>
            <w:shd w:val="clear" w:color="auto" w:fill="auto"/>
            <w:vAlign w:val="bottom"/>
            <w:hideMark/>
          </w:tcPr>
          <w:p w14:paraId="7DF7C1DB"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18 824 833</w:t>
            </w:r>
          </w:p>
        </w:tc>
      </w:tr>
      <w:tr w:rsidR="00744544" w:rsidRPr="00A66C9F" w14:paraId="380FAE21" w14:textId="77777777" w:rsidTr="00107D5D">
        <w:tc>
          <w:tcPr>
            <w:tcW w:w="2880" w:type="dxa"/>
            <w:shd w:val="clear" w:color="auto" w:fill="auto"/>
            <w:vAlign w:val="bottom"/>
            <w:hideMark/>
          </w:tcPr>
          <w:p w14:paraId="167F901C" w14:textId="77777777" w:rsidR="00744544" w:rsidRPr="00A66C9F" w:rsidRDefault="00744544"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Actifs réels</w:t>
            </w:r>
          </w:p>
        </w:tc>
        <w:tc>
          <w:tcPr>
            <w:tcW w:w="1480" w:type="dxa"/>
            <w:shd w:val="clear" w:color="auto" w:fill="auto"/>
            <w:vAlign w:val="bottom"/>
            <w:hideMark/>
          </w:tcPr>
          <w:p w14:paraId="36C837F9"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4 340 466</w:t>
            </w:r>
          </w:p>
        </w:tc>
        <w:tc>
          <w:tcPr>
            <w:tcW w:w="1480" w:type="dxa"/>
            <w:shd w:val="clear" w:color="auto" w:fill="auto"/>
            <w:vAlign w:val="bottom"/>
            <w:hideMark/>
          </w:tcPr>
          <w:p w14:paraId="3A180EF8"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480" w:type="dxa"/>
            <w:shd w:val="clear" w:color="auto" w:fill="auto"/>
            <w:vAlign w:val="bottom"/>
            <w:hideMark/>
          </w:tcPr>
          <w:p w14:paraId="48030CD2" w14:textId="77777777" w:rsidR="00744544" w:rsidRPr="00A66C9F" w:rsidRDefault="00744544"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4 340 466</w:t>
            </w:r>
          </w:p>
        </w:tc>
      </w:tr>
      <w:tr w:rsidR="00744544" w:rsidRPr="00A66C9F" w14:paraId="032E658F" w14:textId="77777777" w:rsidTr="00107D5D">
        <w:tc>
          <w:tcPr>
            <w:tcW w:w="2880" w:type="dxa"/>
            <w:tcBorders>
              <w:bottom w:val="single" w:sz="4" w:space="0" w:color="auto"/>
            </w:tcBorders>
            <w:shd w:val="clear" w:color="auto" w:fill="auto"/>
            <w:vAlign w:val="bottom"/>
            <w:hideMark/>
          </w:tcPr>
          <w:p w14:paraId="4C97F9A9" w14:textId="77777777" w:rsidR="00744544" w:rsidRPr="00A66C9F" w:rsidRDefault="00744544" w:rsidP="00107D5D">
            <w:pPr>
              <w:tabs>
                <w:tab w:val="left" w:pos="288"/>
                <w:tab w:val="left" w:pos="576"/>
                <w:tab w:val="left" w:pos="864"/>
                <w:tab w:val="left" w:pos="1152"/>
              </w:tabs>
              <w:suppressAutoHyphens/>
              <w:spacing w:before="40" w:after="81" w:line="210" w:lineRule="exact"/>
              <w:ind w:right="40"/>
              <w:rPr>
                <w:sz w:val="17"/>
                <w:lang w:val="fr-FR"/>
              </w:rPr>
            </w:pPr>
            <w:r w:rsidRPr="00A66C9F">
              <w:rPr>
                <w:sz w:val="17"/>
                <w:lang w:val="fr-FR"/>
              </w:rPr>
              <w:t>Investissements alternatifs et divers</w:t>
            </w:r>
          </w:p>
        </w:tc>
        <w:tc>
          <w:tcPr>
            <w:tcW w:w="1480" w:type="dxa"/>
            <w:tcBorders>
              <w:bottom w:val="single" w:sz="4" w:space="0" w:color="auto"/>
            </w:tcBorders>
            <w:shd w:val="clear" w:color="auto" w:fill="auto"/>
            <w:vAlign w:val="bottom"/>
            <w:hideMark/>
          </w:tcPr>
          <w:p w14:paraId="7D51A1C8"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2 743 377</w:t>
            </w:r>
          </w:p>
        </w:tc>
        <w:tc>
          <w:tcPr>
            <w:tcW w:w="1480" w:type="dxa"/>
            <w:tcBorders>
              <w:bottom w:val="single" w:sz="4" w:space="0" w:color="auto"/>
            </w:tcBorders>
            <w:shd w:val="clear" w:color="auto" w:fill="auto"/>
            <w:vAlign w:val="bottom"/>
            <w:hideMark/>
          </w:tcPr>
          <w:p w14:paraId="3FB86A3F"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w:t>
            </w:r>
          </w:p>
        </w:tc>
        <w:tc>
          <w:tcPr>
            <w:tcW w:w="1480" w:type="dxa"/>
            <w:tcBorders>
              <w:bottom w:val="single" w:sz="4" w:space="0" w:color="auto"/>
            </w:tcBorders>
            <w:shd w:val="clear" w:color="auto" w:fill="auto"/>
            <w:vAlign w:val="bottom"/>
            <w:hideMark/>
          </w:tcPr>
          <w:p w14:paraId="20D0BEA4" w14:textId="77777777" w:rsidR="00744544" w:rsidRPr="00A66C9F" w:rsidRDefault="00744544"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2 743 377</w:t>
            </w:r>
          </w:p>
        </w:tc>
      </w:tr>
      <w:tr w:rsidR="00744544" w:rsidRPr="00A66C9F" w14:paraId="766405E1" w14:textId="77777777" w:rsidTr="00107D5D">
        <w:tc>
          <w:tcPr>
            <w:tcW w:w="2880" w:type="dxa"/>
            <w:tcBorders>
              <w:top w:val="single" w:sz="4" w:space="0" w:color="auto"/>
              <w:bottom w:val="single" w:sz="12" w:space="0" w:color="auto"/>
            </w:tcBorders>
            <w:shd w:val="clear" w:color="auto" w:fill="auto"/>
            <w:vAlign w:val="bottom"/>
            <w:hideMark/>
          </w:tcPr>
          <w:p w14:paraId="25FAD978" w14:textId="77777777" w:rsidR="00744544" w:rsidRPr="00A66C9F" w:rsidRDefault="00744544" w:rsidP="00107D5D">
            <w:pPr>
              <w:tabs>
                <w:tab w:val="left" w:pos="288"/>
                <w:tab w:val="left" w:pos="576"/>
                <w:tab w:val="left" w:pos="864"/>
                <w:tab w:val="left" w:pos="1152"/>
              </w:tabs>
              <w:suppressAutoHyphens/>
              <w:spacing w:before="81" w:after="81" w:line="210" w:lineRule="exact"/>
              <w:ind w:right="40"/>
              <w:rPr>
                <w:b/>
                <w:sz w:val="17"/>
                <w:lang w:val="fr-FR"/>
              </w:rPr>
            </w:pPr>
            <w:r w:rsidRPr="00A66C9F">
              <w:rPr>
                <w:b/>
                <w:sz w:val="17"/>
                <w:lang w:val="fr-FR"/>
              </w:rPr>
              <w:tab/>
              <w:t>Total</w:t>
            </w:r>
          </w:p>
        </w:tc>
        <w:tc>
          <w:tcPr>
            <w:tcW w:w="1480" w:type="dxa"/>
            <w:tcBorders>
              <w:top w:val="single" w:sz="4" w:space="0" w:color="auto"/>
              <w:bottom w:val="single" w:sz="12" w:space="0" w:color="auto"/>
            </w:tcBorders>
            <w:shd w:val="clear" w:color="auto" w:fill="auto"/>
            <w:vAlign w:val="bottom"/>
            <w:hideMark/>
          </w:tcPr>
          <w:p w14:paraId="2375A51E"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60 309 835</w:t>
            </w:r>
          </w:p>
        </w:tc>
        <w:tc>
          <w:tcPr>
            <w:tcW w:w="1480" w:type="dxa"/>
            <w:tcBorders>
              <w:top w:val="single" w:sz="4" w:space="0" w:color="auto"/>
              <w:bottom w:val="single" w:sz="12" w:space="0" w:color="auto"/>
            </w:tcBorders>
            <w:shd w:val="clear" w:color="auto" w:fill="auto"/>
            <w:vAlign w:val="bottom"/>
            <w:hideMark/>
          </w:tcPr>
          <w:p w14:paraId="734C362E"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w:t>
            </w:r>
          </w:p>
        </w:tc>
        <w:tc>
          <w:tcPr>
            <w:tcW w:w="1480" w:type="dxa"/>
            <w:tcBorders>
              <w:top w:val="single" w:sz="4" w:space="0" w:color="auto"/>
              <w:bottom w:val="single" w:sz="12" w:space="0" w:color="auto"/>
            </w:tcBorders>
            <w:shd w:val="clear" w:color="auto" w:fill="auto"/>
            <w:vAlign w:val="bottom"/>
            <w:hideMark/>
          </w:tcPr>
          <w:p w14:paraId="4DC76B16" w14:textId="77777777" w:rsidR="00744544" w:rsidRPr="00A66C9F" w:rsidRDefault="00744544"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60 309 835</w:t>
            </w:r>
          </w:p>
        </w:tc>
      </w:tr>
    </w:tbl>
    <w:p w14:paraId="76426F3D" w14:textId="77777777" w:rsidR="00744544" w:rsidRPr="00A66C9F" w:rsidRDefault="00744544" w:rsidP="00744544">
      <w:pPr>
        <w:pStyle w:val="SingleTxt"/>
        <w:spacing w:after="0" w:line="120" w:lineRule="exact"/>
        <w:rPr>
          <w:sz w:val="10"/>
          <w:lang w:val="fr-FR"/>
        </w:rPr>
      </w:pPr>
    </w:p>
    <w:p w14:paraId="6DB26394" w14:textId="77777777" w:rsidR="00744544" w:rsidRPr="00A66C9F" w:rsidRDefault="00744544" w:rsidP="00744544">
      <w:pPr>
        <w:pStyle w:val="SingleTxt"/>
        <w:spacing w:after="0" w:line="120" w:lineRule="exact"/>
        <w:rPr>
          <w:sz w:val="10"/>
          <w:lang w:val="fr-FR"/>
        </w:rPr>
      </w:pPr>
    </w:p>
    <w:p w14:paraId="6FA31EAC" w14:textId="77777777" w:rsidR="00744544" w:rsidRPr="00A66C9F" w:rsidRDefault="00744544" w:rsidP="00744544">
      <w:pPr>
        <w:pStyle w:val="SingleTxt"/>
        <w:spacing w:after="0" w:line="120" w:lineRule="exact"/>
        <w:rPr>
          <w:sz w:val="10"/>
          <w:lang w:val="fr-FR"/>
        </w:rPr>
      </w:pPr>
    </w:p>
    <w:p w14:paraId="5FDC9AB4"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Note 25</w:t>
      </w:r>
    </w:p>
    <w:p w14:paraId="2D27CCB9" w14:textId="77777777" w:rsidR="00744544" w:rsidRPr="00A66C9F" w:rsidRDefault="00744544" w:rsidP="00744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Événements postérieurs à la date de clôture des comptes</w:t>
      </w:r>
    </w:p>
    <w:p w14:paraId="6AE5AD2C" w14:textId="77777777" w:rsidR="00744544" w:rsidRPr="00A66C9F" w:rsidRDefault="00744544" w:rsidP="00744544">
      <w:pPr>
        <w:pStyle w:val="SingleTxt"/>
        <w:spacing w:after="0" w:line="120" w:lineRule="exact"/>
        <w:rPr>
          <w:sz w:val="10"/>
          <w:lang w:val="fr-FR"/>
        </w:rPr>
      </w:pPr>
    </w:p>
    <w:p w14:paraId="08315445" w14:textId="77777777" w:rsidR="00744544" w:rsidRPr="00A66C9F" w:rsidRDefault="00744544" w:rsidP="00753AB8">
      <w:pPr>
        <w:pStyle w:val="SingleTxt"/>
        <w:numPr>
          <w:ilvl w:val="0"/>
          <w:numId w:val="20"/>
        </w:numPr>
        <w:spacing w:line="240" w:lineRule="exact"/>
        <w:rPr>
          <w:lang w:val="fr-FR"/>
        </w:rPr>
      </w:pPr>
      <w:r w:rsidRPr="00A66C9F">
        <w:rPr>
          <w:lang w:val="fr-FR"/>
        </w:rPr>
        <w:t>Sous l’effet de la propagation de la maladie à coronavirus (COVID-19), qui, en mars 2020, a été déclarée pandémie mondiale par l’Organisation mondiale de la Santé, des incertitudes économiques risquant de peser sur la situation financière, les résultats des opérations et les flux de trésorerie de la Caisse ont surgi.</w:t>
      </w:r>
    </w:p>
    <w:p w14:paraId="677A821A" w14:textId="77777777" w:rsidR="00744544" w:rsidRPr="00A66C9F" w:rsidRDefault="00744544" w:rsidP="00753AB8">
      <w:pPr>
        <w:pStyle w:val="SingleTxt"/>
        <w:numPr>
          <w:ilvl w:val="0"/>
          <w:numId w:val="20"/>
        </w:numPr>
        <w:spacing w:line="240" w:lineRule="exact"/>
        <w:rPr>
          <w:lang w:val="fr-FR"/>
        </w:rPr>
      </w:pPr>
      <w:r w:rsidRPr="00A66C9F">
        <w:rPr>
          <w:lang w:val="fr-FR"/>
        </w:rPr>
        <w:t>L’impact sur les performances financières de la Caisse dépendra de l’évolution future de la situation, notamment des éléments ci-après, tous entachés d’une grande incertitude et ne se prêtant guère à des prévisions fiables : a) la durée et la propagation de l’épidémie de COVID-19 ; b) les restrictions et les avis y afférents ; c) les effets sur les marchés financiers ; d) les effets sur l’économie mondiale. Comme la plupart des experts, la direction de la Caisse estime que l’épidémie aura un fort impact sur l’économie. Certaines banques centrales ont commencé à agir en réduisant les taux d’intérêt et en prenant d’autres mesures. La durée et l’incidence de l’épidémie, ainsi que l’efficacité des interventions des gouvernements et des banques centrales, restent inconnues à l’heure actuelle. En raison de l’évolution rapide et de la fluidité de la pandémie, il est difficile d’estimer de manière fiable, à la date de signature des présents états financiers, quelles seront ses incidences finales sur la situation financière et les résultats de la Caisse dans les périodes à venir.</w:t>
      </w:r>
    </w:p>
    <w:p w14:paraId="61DE11A2" w14:textId="77777777" w:rsidR="00744544" w:rsidRPr="00A66C9F" w:rsidRDefault="00744544" w:rsidP="00753AB8">
      <w:pPr>
        <w:pStyle w:val="SingleTxt"/>
        <w:numPr>
          <w:ilvl w:val="0"/>
          <w:numId w:val="20"/>
        </w:numPr>
        <w:spacing w:line="240" w:lineRule="exact"/>
        <w:rPr>
          <w:lang w:val="fr-FR"/>
        </w:rPr>
      </w:pPr>
      <w:r w:rsidRPr="00A66C9F">
        <w:rPr>
          <w:lang w:val="fr-FR"/>
        </w:rPr>
        <w:t>Conformément à la norme IPSAS 14 : Événements postérieurs à la date de clôture, la pandémie de COVID-19 est considérée comme un événement postérieur à la date de clôture ne donnant pas lieu à ajustement ; en conséquence, aucun ajustement n’a été apporté aux états financiers au titre de faits postérieurs au 31 décembre 2019. Les instruments financiers évalués à la juste valeur qui sont présentés dans l’état des variations de l’actif net ont été comptabilisés conformément aux normes IPSAS applicables. Les variations des cours du marché après cette date ne sont pas prises en compte dans l’évaluation de l’actif.</w:t>
      </w:r>
    </w:p>
    <w:p w14:paraId="1F576D2A" w14:textId="77777777" w:rsidR="00744544" w:rsidRPr="00A66C9F" w:rsidRDefault="00744544" w:rsidP="00753AB8">
      <w:pPr>
        <w:pStyle w:val="SingleTxt"/>
        <w:numPr>
          <w:ilvl w:val="0"/>
          <w:numId w:val="20"/>
        </w:numPr>
        <w:spacing w:line="240" w:lineRule="exact"/>
        <w:rPr>
          <w:lang w:val="fr-FR"/>
        </w:rPr>
      </w:pPr>
      <w:r w:rsidRPr="00A66C9F">
        <w:rPr>
          <w:lang w:val="fr-FR"/>
        </w:rPr>
        <w:t>Seule la direction de la Caisse est habilitée à modifier les présents états financiers.</w:t>
      </w:r>
    </w:p>
    <w:p w14:paraId="2149750F" w14:textId="5A407A90" w:rsidR="00744544" w:rsidRPr="00A66C9F" w:rsidRDefault="00744544" w:rsidP="00744544">
      <w:pPr>
        <w:pStyle w:val="SingleTxt"/>
        <w:rPr>
          <w:lang w:val="fr-FR"/>
        </w:rPr>
      </w:pPr>
    </w:p>
    <w:p w14:paraId="76AAD98D" w14:textId="00DD70B0" w:rsidR="00744544" w:rsidRPr="00A66C9F" w:rsidRDefault="00744544">
      <w:pPr>
        <w:spacing w:after="200" w:line="276" w:lineRule="auto"/>
        <w:rPr>
          <w:lang w:val="fr-FR"/>
        </w:rPr>
      </w:pPr>
      <w:r w:rsidRPr="00A66C9F">
        <w:rPr>
          <w:lang w:val="fr-FR"/>
        </w:rPr>
        <w:br w:type="page"/>
      </w:r>
    </w:p>
    <w:p w14:paraId="674E430D" w14:textId="77777777" w:rsidR="00753AB8" w:rsidRPr="00A66C9F" w:rsidRDefault="00753AB8" w:rsidP="00744544">
      <w:pPr>
        <w:pStyle w:val="SingleTxt"/>
        <w:rPr>
          <w:lang w:val="fr-FR"/>
        </w:rPr>
        <w:sectPr w:rsidR="00753AB8" w:rsidRPr="00A66C9F" w:rsidSect="00D62B67">
          <w:headerReference w:type="even" r:id="rId45"/>
          <w:headerReference w:type="default" r:id="rId46"/>
          <w:footerReference w:type="even" r:id="rId47"/>
          <w:footerReference w:type="default" r:id="rId48"/>
          <w:pgSz w:w="12240" w:h="15840"/>
          <w:pgMar w:top="1440" w:right="1200" w:bottom="1152" w:left="1200" w:header="432" w:footer="504" w:gutter="0"/>
          <w:cols w:space="720"/>
          <w:noEndnote/>
          <w:docGrid w:linePitch="360"/>
        </w:sectPr>
      </w:pPr>
    </w:p>
    <w:p w14:paraId="425FCA9B" w14:textId="77777777" w:rsidR="00753AB8" w:rsidRPr="00A66C9F" w:rsidRDefault="00753AB8" w:rsidP="0016067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11970"/>
        </w:tabs>
        <w:ind w:left="1267" w:right="1260" w:hanging="1267"/>
        <w:rPr>
          <w:lang w:val="fr-FR"/>
        </w:rPr>
      </w:pPr>
      <w:bookmarkStart w:id="611" w:name="_Toc38529192"/>
      <w:r w:rsidRPr="00A66C9F">
        <w:rPr>
          <w:lang w:val="fr-FR"/>
        </w:rPr>
        <w:lastRenderedPageBreak/>
        <w:tab/>
      </w:r>
      <w:r w:rsidRPr="00A66C9F">
        <w:rPr>
          <w:lang w:val="fr-FR"/>
        </w:rPr>
        <w:tab/>
        <w:t>Annexe des notes relatives aux états financiers</w:t>
      </w:r>
    </w:p>
    <w:p w14:paraId="6FEC794B" w14:textId="77777777" w:rsidR="00753AB8" w:rsidRPr="00A66C9F" w:rsidRDefault="00753AB8" w:rsidP="00753AB8">
      <w:pPr>
        <w:pStyle w:val="SingleTxt"/>
        <w:spacing w:after="0" w:line="120" w:lineRule="exact"/>
        <w:rPr>
          <w:sz w:val="10"/>
          <w:lang w:val="fr-FR"/>
        </w:rPr>
      </w:pPr>
    </w:p>
    <w:p w14:paraId="5DF61C0B" w14:textId="77777777" w:rsidR="00753AB8" w:rsidRPr="00A66C9F" w:rsidRDefault="00753AB8" w:rsidP="00753AB8">
      <w:pPr>
        <w:pStyle w:val="SingleTxt"/>
        <w:spacing w:after="0" w:line="120" w:lineRule="exact"/>
        <w:rPr>
          <w:sz w:val="10"/>
          <w:lang w:val="fr-FR"/>
        </w:rPr>
      </w:pPr>
    </w:p>
    <w:p w14:paraId="459EBE1E" w14:textId="77777777" w:rsidR="00753AB8" w:rsidRPr="00A66C9F" w:rsidRDefault="00753AB8" w:rsidP="00753AB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Statistiques concernant les activités de la Caisse commune des pensions du personnel des Nations Unies</w:t>
      </w:r>
      <w:bookmarkEnd w:id="611"/>
    </w:p>
    <w:p w14:paraId="75F062DB" w14:textId="77777777" w:rsidR="00753AB8" w:rsidRPr="00A66C9F" w:rsidRDefault="00753AB8" w:rsidP="00753AB8">
      <w:pPr>
        <w:spacing w:line="120" w:lineRule="exact"/>
        <w:rPr>
          <w:sz w:val="10"/>
          <w:lang w:val="fr-FR"/>
        </w:rPr>
      </w:pPr>
      <w:bookmarkStart w:id="612" w:name="_Toc38529193"/>
    </w:p>
    <w:p w14:paraId="220D6339" w14:textId="77777777" w:rsidR="00753AB8" w:rsidRPr="00A66C9F" w:rsidRDefault="00753AB8" w:rsidP="00753AB8">
      <w:pPr>
        <w:spacing w:line="120" w:lineRule="exact"/>
        <w:rPr>
          <w:sz w:val="10"/>
          <w:lang w:val="fr-FR"/>
        </w:rPr>
      </w:pPr>
    </w:p>
    <w:p w14:paraId="76A43854" w14:textId="77777777" w:rsidR="00753AB8" w:rsidRPr="00A66C9F" w:rsidRDefault="00753AB8" w:rsidP="00753AB8">
      <w:pPr>
        <w:pStyle w:val="H56"/>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A66C9F">
        <w:rPr>
          <w:lang w:val="fr-FR"/>
        </w:rPr>
        <w:t>Tableau 1</w:t>
      </w:r>
    </w:p>
    <w:p w14:paraId="1511D851" w14:textId="77777777" w:rsidR="00753AB8" w:rsidRPr="00A66C9F" w:rsidRDefault="00753AB8" w:rsidP="00753A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Nombre de participants</w:t>
      </w:r>
      <w:bookmarkEnd w:id="612"/>
    </w:p>
    <w:p w14:paraId="68A4612F" w14:textId="77777777" w:rsidR="00753AB8" w:rsidRPr="00A66C9F" w:rsidRDefault="00753AB8" w:rsidP="00753AB8">
      <w:pPr>
        <w:pStyle w:val="SingleTxt"/>
        <w:spacing w:after="0" w:line="120" w:lineRule="exact"/>
        <w:rPr>
          <w:sz w:val="10"/>
          <w:lang w:val="fr-FR"/>
        </w:rPr>
      </w:pPr>
    </w:p>
    <w:p w14:paraId="0531260A" w14:textId="77777777" w:rsidR="00753AB8" w:rsidRPr="00A66C9F" w:rsidRDefault="00753AB8" w:rsidP="00753AB8">
      <w:pPr>
        <w:pStyle w:val="SingleTxt"/>
        <w:spacing w:after="0" w:line="120" w:lineRule="exact"/>
        <w:rPr>
          <w:sz w:val="10"/>
          <w:lang w:val="fr-FR"/>
        </w:rPr>
      </w:pPr>
    </w:p>
    <w:tbl>
      <w:tblPr>
        <w:tblStyle w:val="TableGrid"/>
        <w:tblW w:w="4994"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785"/>
        <w:gridCol w:w="1180"/>
        <w:gridCol w:w="1181"/>
        <w:gridCol w:w="1181"/>
        <w:gridCol w:w="1181"/>
        <w:gridCol w:w="1181"/>
        <w:gridCol w:w="1181"/>
        <w:gridCol w:w="1267"/>
        <w:gridCol w:w="1095"/>
      </w:tblGrid>
      <w:tr w:rsidR="00753AB8" w:rsidRPr="00A66C9F" w14:paraId="234770D2" w14:textId="77777777" w:rsidTr="00107D5D">
        <w:trPr>
          <w:tblHeader/>
        </w:trPr>
        <w:tc>
          <w:tcPr>
            <w:tcW w:w="3785" w:type="dxa"/>
            <w:vMerge w:val="restart"/>
            <w:tcBorders>
              <w:top w:val="single" w:sz="4" w:space="0" w:color="auto"/>
            </w:tcBorders>
            <w:shd w:val="clear" w:color="auto" w:fill="auto"/>
            <w:vAlign w:val="bottom"/>
          </w:tcPr>
          <w:p w14:paraId="498CF891" w14:textId="77777777" w:rsidR="00753AB8" w:rsidRPr="00A66C9F" w:rsidRDefault="00753AB8" w:rsidP="00107D5D">
            <w:pPr>
              <w:suppressAutoHyphens/>
              <w:spacing w:before="81" w:after="81" w:line="160" w:lineRule="exact"/>
              <w:ind w:right="40"/>
              <w:rPr>
                <w:i/>
                <w:sz w:val="14"/>
                <w:lang w:val="fr-FR"/>
              </w:rPr>
            </w:pPr>
            <w:r w:rsidRPr="00A66C9F">
              <w:rPr>
                <w:i/>
                <w:sz w:val="14"/>
                <w:lang w:val="fr-FR"/>
              </w:rPr>
              <w:t>Organisation affiliée</w:t>
            </w:r>
          </w:p>
        </w:tc>
        <w:tc>
          <w:tcPr>
            <w:tcW w:w="1180" w:type="dxa"/>
            <w:vMerge w:val="restart"/>
            <w:tcBorders>
              <w:top w:val="single" w:sz="4" w:space="0" w:color="auto"/>
            </w:tcBorders>
            <w:shd w:val="clear" w:color="auto" w:fill="auto"/>
            <w:vAlign w:val="bottom"/>
          </w:tcPr>
          <w:p w14:paraId="4028AF96" w14:textId="77777777" w:rsidR="00753AB8" w:rsidRPr="00A66C9F" w:rsidRDefault="00753AB8" w:rsidP="00107D5D">
            <w:pPr>
              <w:suppressAutoHyphens/>
              <w:spacing w:before="81" w:after="81" w:line="160" w:lineRule="exact"/>
              <w:ind w:right="43"/>
              <w:jc w:val="right"/>
              <w:rPr>
                <w:i/>
                <w:sz w:val="14"/>
                <w:lang w:val="fr-FR"/>
              </w:rPr>
            </w:pPr>
            <w:r w:rsidRPr="00A66C9F">
              <w:rPr>
                <w:i/>
                <w:sz w:val="14"/>
                <w:lang w:val="fr-FR"/>
              </w:rPr>
              <w:t>Participants au 31 décembre 2018</w:t>
            </w:r>
          </w:p>
        </w:tc>
        <w:tc>
          <w:tcPr>
            <w:tcW w:w="1181" w:type="dxa"/>
            <w:vMerge w:val="restart"/>
            <w:tcBorders>
              <w:top w:val="single" w:sz="4" w:space="0" w:color="auto"/>
            </w:tcBorders>
            <w:shd w:val="clear" w:color="auto" w:fill="auto"/>
            <w:noWrap/>
            <w:vAlign w:val="bottom"/>
          </w:tcPr>
          <w:p w14:paraId="73E4F052" w14:textId="77777777" w:rsidR="00753AB8" w:rsidRPr="00A66C9F" w:rsidRDefault="00753AB8" w:rsidP="00107D5D">
            <w:pPr>
              <w:suppressAutoHyphens/>
              <w:spacing w:before="81" w:after="81" w:line="160" w:lineRule="exact"/>
              <w:ind w:right="43"/>
              <w:jc w:val="right"/>
              <w:rPr>
                <w:i/>
                <w:sz w:val="14"/>
                <w:lang w:val="fr-FR"/>
              </w:rPr>
            </w:pPr>
            <w:r w:rsidRPr="00A66C9F">
              <w:rPr>
                <w:i/>
                <w:sz w:val="14"/>
                <w:lang w:val="fr-FR"/>
              </w:rPr>
              <w:t>Nouveaux participants</w:t>
            </w:r>
          </w:p>
        </w:tc>
        <w:tc>
          <w:tcPr>
            <w:tcW w:w="2362" w:type="dxa"/>
            <w:gridSpan w:val="2"/>
            <w:tcBorders>
              <w:top w:val="single" w:sz="4" w:space="0" w:color="auto"/>
              <w:bottom w:val="single" w:sz="4" w:space="0" w:color="auto"/>
            </w:tcBorders>
            <w:shd w:val="clear" w:color="auto" w:fill="auto"/>
            <w:noWrap/>
            <w:vAlign w:val="bottom"/>
          </w:tcPr>
          <w:p w14:paraId="30E46A08" w14:textId="77777777" w:rsidR="00753AB8" w:rsidRPr="00A66C9F" w:rsidRDefault="00753AB8" w:rsidP="00107D5D">
            <w:pPr>
              <w:suppressAutoHyphens/>
              <w:spacing w:before="81" w:after="81" w:line="160" w:lineRule="exact"/>
              <w:ind w:right="43"/>
              <w:jc w:val="center"/>
              <w:rPr>
                <w:i/>
                <w:sz w:val="14"/>
                <w:lang w:val="fr-FR"/>
              </w:rPr>
            </w:pPr>
            <w:r w:rsidRPr="00A66C9F">
              <w:rPr>
                <w:i/>
                <w:sz w:val="14"/>
                <w:lang w:val="fr-FR"/>
              </w:rPr>
              <w:t>Transferts</w:t>
            </w:r>
          </w:p>
        </w:tc>
        <w:tc>
          <w:tcPr>
            <w:tcW w:w="1181" w:type="dxa"/>
            <w:vMerge w:val="restart"/>
            <w:tcBorders>
              <w:top w:val="single" w:sz="4" w:space="0" w:color="auto"/>
            </w:tcBorders>
            <w:shd w:val="clear" w:color="auto" w:fill="auto"/>
            <w:noWrap/>
            <w:vAlign w:val="bottom"/>
          </w:tcPr>
          <w:p w14:paraId="45C492A4" w14:textId="77777777" w:rsidR="00753AB8" w:rsidRPr="00A66C9F" w:rsidRDefault="00753AB8" w:rsidP="00107D5D">
            <w:pPr>
              <w:suppressAutoHyphens/>
              <w:spacing w:before="81" w:after="81" w:line="160" w:lineRule="exact"/>
              <w:ind w:right="43"/>
              <w:jc w:val="right"/>
              <w:rPr>
                <w:i/>
                <w:sz w:val="14"/>
                <w:lang w:val="fr-FR"/>
              </w:rPr>
            </w:pPr>
            <w:r w:rsidRPr="00A66C9F">
              <w:rPr>
                <w:i/>
                <w:sz w:val="14"/>
                <w:lang w:val="fr-FR"/>
              </w:rPr>
              <w:t>Cessations</w:t>
            </w:r>
            <w:r w:rsidRPr="00A66C9F">
              <w:rPr>
                <w:i/>
                <w:sz w:val="14"/>
                <w:lang w:val="fr-FR"/>
              </w:rPr>
              <w:br/>
              <w:t>de service</w:t>
            </w:r>
          </w:p>
        </w:tc>
        <w:tc>
          <w:tcPr>
            <w:tcW w:w="1181" w:type="dxa"/>
            <w:vMerge w:val="restart"/>
            <w:tcBorders>
              <w:top w:val="single" w:sz="4" w:space="0" w:color="auto"/>
            </w:tcBorders>
            <w:shd w:val="clear" w:color="auto" w:fill="auto"/>
            <w:noWrap/>
            <w:vAlign w:val="bottom"/>
          </w:tcPr>
          <w:p w14:paraId="213A8056" w14:textId="77777777" w:rsidR="00753AB8" w:rsidRPr="00A66C9F" w:rsidRDefault="00753AB8" w:rsidP="00107D5D">
            <w:pPr>
              <w:suppressAutoHyphens/>
              <w:spacing w:before="81" w:after="81" w:line="160" w:lineRule="exact"/>
              <w:ind w:right="43"/>
              <w:jc w:val="right"/>
              <w:rPr>
                <w:i/>
                <w:sz w:val="14"/>
                <w:lang w:val="fr-FR"/>
              </w:rPr>
            </w:pPr>
            <w:r w:rsidRPr="00A66C9F">
              <w:rPr>
                <w:i/>
                <w:sz w:val="14"/>
                <w:lang w:val="fr-FR"/>
              </w:rPr>
              <w:t>Ajustements</w:t>
            </w:r>
            <w:r w:rsidRPr="00A66C9F">
              <w:rPr>
                <w:i/>
                <w:sz w:val="14"/>
                <w:vertAlign w:val="superscript"/>
                <w:lang w:val="fr-FR"/>
              </w:rPr>
              <w:t>a</w:t>
            </w:r>
          </w:p>
        </w:tc>
        <w:tc>
          <w:tcPr>
            <w:tcW w:w="1267" w:type="dxa"/>
            <w:vMerge w:val="restart"/>
            <w:tcBorders>
              <w:top w:val="single" w:sz="4" w:space="0" w:color="auto"/>
            </w:tcBorders>
            <w:shd w:val="clear" w:color="auto" w:fill="auto"/>
            <w:noWrap/>
            <w:vAlign w:val="bottom"/>
          </w:tcPr>
          <w:p w14:paraId="5C5A2627" w14:textId="77777777" w:rsidR="00753AB8" w:rsidRPr="00A66C9F" w:rsidRDefault="00753AB8" w:rsidP="00107D5D">
            <w:pPr>
              <w:suppressAutoHyphens/>
              <w:spacing w:before="81" w:after="81" w:line="160" w:lineRule="exact"/>
              <w:ind w:right="43"/>
              <w:jc w:val="right"/>
              <w:rPr>
                <w:i/>
                <w:sz w:val="14"/>
                <w:lang w:val="fr-FR"/>
              </w:rPr>
            </w:pPr>
            <w:r w:rsidRPr="00A66C9F">
              <w:rPr>
                <w:i/>
                <w:sz w:val="14"/>
                <w:lang w:val="fr-FR"/>
              </w:rPr>
              <w:t>Participants au</w:t>
            </w:r>
            <w:r w:rsidRPr="00A66C9F">
              <w:rPr>
                <w:i/>
                <w:sz w:val="14"/>
                <w:lang w:val="fr-FR"/>
              </w:rPr>
              <w:br/>
              <w:t>31 décembre 2019</w:t>
            </w:r>
          </w:p>
        </w:tc>
        <w:tc>
          <w:tcPr>
            <w:tcW w:w="1095" w:type="dxa"/>
            <w:vMerge w:val="restart"/>
            <w:tcBorders>
              <w:top w:val="single" w:sz="4" w:space="0" w:color="auto"/>
            </w:tcBorders>
            <w:shd w:val="clear" w:color="auto" w:fill="auto"/>
            <w:noWrap/>
            <w:vAlign w:val="bottom"/>
          </w:tcPr>
          <w:p w14:paraId="097687E1" w14:textId="77777777" w:rsidR="00753AB8" w:rsidRPr="00A66C9F" w:rsidRDefault="00753AB8" w:rsidP="00107D5D">
            <w:pPr>
              <w:suppressAutoHyphens/>
              <w:spacing w:before="81" w:after="81" w:line="160" w:lineRule="exact"/>
              <w:ind w:right="43"/>
              <w:jc w:val="right"/>
              <w:rPr>
                <w:i/>
                <w:sz w:val="14"/>
                <w:lang w:val="fr-FR"/>
              </w:rPr>
            </w:pPr>
            <w:r w:rsidRPr="00A66C9F">
              <w:rPr>
                <w:i/>
                <w:sz w:val="14"/>
                <w:lang w:val="fr-FR"/>
              </w:rPr>
              <w:t>Augmentation/ (diminution) (pourcentage)</w:t>
            </w:r>
          </w:p>
        </w:tc>
      </w:tr>
      <w:tr w:rsidR="00753AB8" w:rsidRPr="00A66C9F" w14:paraId="745ED743" w14:textId="77777777" w:rsidTr="00107D5D">
        <w:trPr>
          <w:trHeight w:val="53"/>
          <w:tblHeader/>
        </w:trPr>
        <w:tc>
          <w:tcPr>
            <w:tcW w:w="3785" w:type="dxa"/>
            <w:vMerge/>
            <w:tcBorders>
              <w:bottom w:val="single" w:sz="12" w:space="0" w:color="auto"/>
            </w:tcBorders>
            <w:shd w:val="clear" w:color="auto" w:fill="auto"/>
            <w:vAlign w:val="bottom"/>
          </w:tcPr>
          <w:p w14:paraId="06BFF6F8" w14:textId="77777777" w:rsidR="00753AB8" w:rsidRPr="00A66C9F" w:rsidRDefault="00753AB8" w:rsidP="00107D5D">
            <w:pPr>
              <w:suppressAutoHyphens/>
              <w:spacing w:before="81" w:after="81" w:line="160" w:lineRule="exact"/>
              <w:ind w:right="40"/>
              <w:rPr>
                <w:i/>
                <w:sz w:val="14"/>
                <w:lang w:val="fr-FR"/>
              </w:rPr>
            </w:pPr>
          </w:p>
        </w:tc>
        <w:tc>
          <w:tcPr>
            <w:tcW w:w="1180" w:type="dxa"/>
            <w:vMerge/>
            <w:tcBorders>
              <w:bottom w:val="single" w:sz="12" w:space="0" w:color="auto"/>
            </w:tcBorders>
            <w:shd w:val="clear" w:color="auto" w:fill="auto"/>
            <w:vAlign w:val="bottom"/>
          </w:tcPr>
          <w:p w14:paraId="0D7230EF" w14:textId="77777777" w:rsidR="00753AB8" w:rsidRPr="00A66C9F" w:rsidRDefault="00753AB8" w:rsidP="00107D5D">
            <w:pPr>
              <w:suppressAutoHyphens/>
              <w:spacing w:before="81" w:after="81" w:line="160" w:lineRule="exact"/>
              <w:ind w:right="43"/>
              <w:jc w:val="right"/>
              <w:rPr>
                <w:i/>
                <w:sz w:val="14"/>
                <w:lang w:val="fr-FR"/>
              </w:rPr>
            </w:pPr>
          </w:p>
        </w:tc>
        <w:tc>
          <w:tcPr>
            <w:tcW w:w="1181" w:type="dxa"/>
            <w:vMerge/>
            <w:tcBorders>
              <w:bottom w:val="single" w:sz="12" w:space="0" w:color="auto"/>
            </w:tcBorders>
            <w:shd w:val="clear" w:color="auto" w:fill="auto"/>
            <w:noWrap/>
            <w:vAlign w:val="bottom"/>
          </w:tcPr>
          <w:p w14:paraId="70CBF413" w14:textId="77777777" w:rsidR="00753AB8" w:rsidRPr="00A66C9F" w:rsidRDefault="00753AB8" w:rsidP="00107D5D">
            <w:pPr>
              <w:suppressAutoHyphens/>
              <w:spacing w:before="81" w:after="81" w:line="160" w:lineRule="exact"/>
              <w:ind w:right="43"/>
              <w:jc w:val="right"/>
              <w:rPr>
                <w:i/>
                <w:sz w:val="14"/>
                <w:lang w:val="fr-FR"/>
              </w:rPr>
            </w:pPr>
          </w:p>
        </w:tc>
        <w:tc>
          <w:tcPr>
            <w:tcW w:w="1181" w:type="dxa"/>
            <w:tcBorders>
              <w:top w:val="single" w:sz="4" w:space="0" w:color="auto"/>
              <w:bottom w:val="single" w:sz="12" w:space="0" w:color="auto"/>
            </w:tcBorders>
            <w:shd w:val="clear" w:color="auto" w:fill="auto"/>
            <w:noWrap/>
            <w:vAlign w:val="bottom"/>
          </w:tcPr>
          <w:p w14:paraId="5B5F6008" w14:textId="77777777" w:rsidR="00753AB8" w:rsidRPr="00A66C9F" w:rsidRDefault="00753AB8" w:rsidP="00107D5D">
            <w:pPr>
              <w:suppressAutoHyphens/>
              <w:spacing w:before="81" w:after="81" w:line="160" w:lineRule="exact"/>
              <w:ind w:right="43"/>
              <w:jc w:val="right"/>
              <w:rPr>
                <w:i/>
                <w:sz w:val="14"/>
                <w:lang w:val="fr-FR"/>
              </w:rPr>
            </w:pPr>
            <w:r w:rsidRPr="00A66C9F">
              <w:rPr>
                <w:i/>
                <w:sz w:val="14"/>
                <w:lang w:val="fr-FR"/>
              </w:rPr>
              <w:t>Arrivées</w:t>
            </w:r>
          </w:p>
        </w:tc>
        <w:tc>
          <w:tcPr>
            <w:tcW w:w="1181" w:type="dxa"/>
            <w:tcBorders>
              <w:top w:val="single" w:sz="4" w:space="0" w:color="auto"/>
              <w:bottom w:val="single" w:sz="12" w:space="0" w:color="auto"/>
            </w:tcBorders>
            <w:shd w:val="clear" w:color="auto" w:fill="auto"/>
            <w:noWrap/>
            <w:vAlign w:val="bottom"/>
          </w:tcPr>
          <w:p w14:paraId="74F3F8BB" w14:textId="77777777" w:rsidR="00753AB8" w:rsidRPr="00A66C9F" w:rsidRDefault="00753AB8" w:rsidP="00107D5D">
            <w:pPr>
              <w:suppressAutoHyphens/>
              <w:spacing w:before="81" w:after="81" w:line="160" w:lineRule="exact"/>
              <w:ind w:right="43"/>
              <w:jc w:val="right"/>
              <w:rPr>
                <w:i/>
                <w:sz w:val="14"/>
                <w:lang w:val="fr-FR"/>
              </w:rPr>
            </w:pPr>
            <w:r w:rsidRPr="00A66C9F">
              <w:rPr>
                <w:i/>
                <w:sz w:val="14"/>
                <w:lang w:val="fr-FR"/>
              </w:rPr>
              <w:t>Départs</w:t>
            </w:r>
          </w:p>
        </w:tc>
        <w:tc>
          <w:tcPr>
            <w:tcW w:w="1181" w:type="dxa"/>
            <w:vMerge/>
            <w:tcBorders>
              <w:bottom w:val="single" w:sz="12" w:space="0" w:color="auto"/>
            </w:tcBorders>
            <w:shd w:val="clear" w:color="auto" w:fill="auto"/>
            <w:noWrap/>
            <w:vAlign w:val="bottom"/>
          </w:tcPr>
          <w:p w14:paraId="4E9A185E" w14:textId="77777777" w:rsidR="00753AB8" w:rsidRPr="00A66C9F" w:rsidRDefault="00753AB8" w:rsidP="00107D5D">
            <w:pPr>
              <w:suppressAutoHyphens/>
              <w:spacing w:before="81" w:after="81" w:line="160" w:lineRule="exact"/>
              <w:ind w:right="43"/>
              <w:jc w:val="right"/>
              <w:rPr>
                <w:i/>
                <w:sz w:val="14"/>
                <w:lang w:val="fr-FR"/>
              </w:rPr>
            </w:pPr>
          </w:p>
        </w:tc>
        <w:tc>
          <w:tcPr>
            <w:tcW w:w="1181" w:type="dxa"/>
            <w:vMerge/>
            <w:tcBorders>
              <w:bottom w:val="single" w:sz="12" w:space="0" w:color="auto"/>
            </w:tcBorders>
            <w:shd w:val="clear" w:color="auto" w:fill="auto"/>
            <w:noWrap/>
            <w:vAlign w:val="bottom"/>
          </w:tcPr>
          <w:p w14:paraId="08A5A080" w14:textId="77777777" w:rsidR="00753AB8" w:rsidRPr="00A66C9F" w:rsidRDefault="00753AB8" w:rsidP="00107D5D">
            <w:pPr>
              <w:suppressAutoHyphens/>
              <w:spacing w:before="81" w:after="81" w:line="160" w:lineRule="exact"/>
              <w:ind w:right="43"/>
              <w:jc w:val="right"/>
              <w:rPr>
                <w:i/>
                <w:sz w:val="14"/>
                <w:lang w:val="fr-FR"/>
              </w:rPr>
            </w:pPr>
          </w:p>
        </w:tc>
        <w:tc>
          <w:tcPr>
            <w:tcW w:w="1267" w:type="dxa"/>
            <w:vMerge/>
            <w:tcBorders>
              <w:bottom w:val="single" w:sz="12" w:space="0" w:color="auto"/>
            </w:tcBorders>
            <w:shd w:val="clear" w:color="auto" w:fill="auto"/>
            <w:noWrap/>
            <w:vAlign w:val="bottom"/>
          </w:tcPr>
          <w:p w14:paraId="550AF383" w14:textId="77777777" w:rsidR="00753AB8" w:rsidRPr="00A66C9F" w:rsidRDefault="00753AB8" w:rsidP="00107D5D">
            <w:pPr>
              <w:suppressAutoHyphens/>
              <w:spacing w:before="81" w:after="81" w:line="160" w:lineRule="exact"/>
              <w:ind w:right="43"/>
              <w:jc w:val="right"/>
              <w:rPr>
                <w:i/>
                <w:sz w:val="14"/>
                <w:lang w:val="fr-FR"/>
              </w:rPr>
            </w:pPr>
          </w:p>
        </w:tc>
        <w:tc>
          <w:tcPr>
            <w:tcW w:w="1095" w:type="dxa"/>
            <w:vMerge/>
            <w:tcBorders>
              <w:bottom w:val="single" w:sz="12" w:space="0" w:color="auto"/>
            </w:tcBorders>
            <w:shd w:val="clear" w:color="auto" w:fill="auto"/>
            <w:noWrap/>
            <w:vAlign w:val="bottom"/>
          </w:tcPr>
          <w:p w14:paraId="202CDE74" w14:textId="77777777" w:rsidR="00753AB8" w:rsidRPr="00A66C9F" w:rsidRDefault="00753AB8" w:rsidP="00107D5D">
            <w:pPr>
              <w:suppressAutoHyphens/>
              <w:spacing w:before="81" w:after="81" w:line="160" w:lineRule="exact"/>
              <w:ind w:right="43"/>
              <w:jc w:val="right"/>
              <w:rPr>
                <w:i/>
                <w:sz w:val="14"/>
                <w:lang w:val="fr-FR"/>
              </w:rPr>
            </w:pPr>
          </w:p>
        </w:tc>
      </w:tr>
      <w:tr w:rsidR="00753AB8" w:rsidRPr="00A66C9F" w14:paraId="50A19C71" w14:textId="77777777" w:rsidTr="00107D5D">
        <w:trPr>
          <w:trHeight w:hRule="exact" w:val="115"/>
          <w:tblHeader/>
        </w:trPr>
        <w:tc>
          <w:tcPr>
            <w:tcW w:w="3785" w:type="dxa"/>
            <w:tcBorders>
              <w:top w:val="single" w:sz="12" w:space="0" w:color="auto"/>
            </w:tcBorders>
            <w:shd w:val="clear" w:color="auto" w:fill="auto"/>
            <w:vAlign w:val="bottom"/>
          </w:tcPr>
          <w:p w14:paraId="75751E59" w14:textId="77777777" w:rsidR="00753AB8" w:rsidRPr="00A66C9F" w:rsidRDefault="00753AB8" w:rsidP="00107D5D">
            <w:pPr>
              <w:suppressAutoHyphens/>
              <w:spacing w:before="40" w:after="40" w:line="210" w:lineRule="exact"/>
              <w:ind w:right="40"/>
              <w:rPr>
                <w:sz w:val="17"/>
                <w:lang w:val="fr-FR"/>
              </w:rPr>
            </w:pPr>
          </w:p>
        </w:tc>
        <w:tc>
          <w:tcPr>
            <w:tcW w:w="1180" w:type="dxa"/>
            <w:tcBorders>
              <w:top w:val="single" w:sz="12" w:space="0" w:color="auto"/>
            </w:tcBorders>
            <w:shd w:val="clear" w:color="auto" w:fill="auto"/>
            <w:vAlign w:val="bottom"/>
          </w:tcPr>
          <w:p w14:paraId="291A23A9" w14:textId="77777777" w:rsidR="00753AB8" w:rsidRPr="00A66C9F" w:rsidRDefault="00753AB8" w:rsidP="00107D5D">
            <w:pPr>
              <w:suppressAutoHyphens/>
              <w:spacing w:before="40" w:after="40" w:line="210" w:lineRule="exact"/>
              <w:ind w:right="43"/>
              <w:jc w:val="right"/>
              <w:rPr>
                <w:sz w:val="17"/>
                <w:lang w:val="fr-FR"/>
              </w:rPr>
            </w:pPr>
          </w:p>
        </w:tc>
        <w:tc>
          <w:tcPr>
            <w:tcW w:w="1181" w:type="dxa"/>
            <w:tcBorders>
              <w:top w:val="single" w:sz="12" w:space="0" w:color="auto"/>
            </w:tcBorders>
            <w:shd w:val="clear" w:color="auto" w:fill="auto"/>
            <w:noWrap/>
            <w:vAlign w:val="bottom"/>
          </w:tcPr>
          <w:p w14:paraId="6AD6D073" w14:textId="77777777" w:rsidR="00753AB8" w:rsidRPr="00A66C9F" w:rsidRDefault="00753AB8" w:rsidP="00107D5D">
            <w:pPr>
              <w:suppressAutoHyphens/>
              <w:spacing w:before="40" w:after="40" w:line="210" w:lineRule="exact"/>
              <w:ind w:right="43"/>
              <w:jc w:val="right"/>
              <w:rPr>
                <w:sz w:val="17"/>
                <w:lang w:val="fr-FR"/>
              </w:rPr>
            </w:pPr>
          </w:p>
        </w:tc>
        <w:tc>
          <w:tcPr>
            <w:tcW w:w="1181" w:type="dxa"/>
            <w:tcBorders>
              <w:top w:val="single" w:sz="12" w:space="0" w:color="auto"/>
            </w:tcBorders>
            <w:shd w:val="clear" w:color="auto" w:fill="auto"/>
            <w:noWrap/>
            <w:vAlign w:val="bottom"/>
          </w:tcPr>
          <w:p w14:paraId="4E07C59C" w14:textId="77777777" w:rsidR="00753AB8" w:rsidRPr="00A66C9F" w:rsidRDefault="00753AB8" w:rsidP="00107D5D">
            <w:pPr>
              <w:suppressAutoHyphens/>
              <w:spacing w:before="40" w:after="40" w:line="210" w:lineRule="exact"/>
              <w:ind w:right="43"/>
              <w:jc w:val="right"/>
              <w:rPr>
                <w:sz w:val="17"/>
                <w:lang w:val="fr-FR"/>
              </w:rPr>
            </w:pPr>
          </w:p>
        </w:tc>
        <w:tc>
          <w:tcPr>
            <w:tcW w:w="1181" w:type="dxa"/>
            <w:tcBorders>
              <w:top w:val="single" w:sz="12" w:space="0" w:color="auto"/>
            </w:tcBorders>
            <w:shd w:val="clear" w:color="auto" w:fill="auto"/>
            <w:noWrap/>
            <w:vAlign w:val="bottom"/>
          </w:tcPr>
          <w:p w14:paraId="1B34D900" w14:textId="77777777" w:rsidR="00753AB8" w:rsidRPr="00A66C9F" w:rsidRDefault="00753AB8" w:rsidP="00107D5D">
            <w:pPr>
              <w:suppressAutoHyphens/>
              <w:spacing w:before="40" w:after="40" w:line="210" w:lineRule="exact"/>
              <w:ind w:right="43"/>
              <w:jc w:val="right"/>
              <w:rPr>
                <w:sz w:val="17"/>
                <w:lang w:val="fr-FR"/>
              </w:rPr>
            </w:pPr>
          </w:p>
        </w:tc>
        <w:tc>
          <w:tcPr>
            <w:tcW w:w="1181" w:type="dxa"/>
            <w:tcBorders>
              <w:top w:val="single" w:sz="12" w:space="0" w:color="auto"/>
            </w:tcBorders>
            <w:shd w:val="clear" w:color="auto" w:fill="auto"/>
            <w:noWrap/>
            <w:vAlign w:val="bottom"/>
          </w:tcPr>
          <w:p w14:paraId="55759AFB" w14:textId="77777777" w:rsidR="00753AB8" w:rsidRPr="00A66C9F" w:rsidRDefault="00753AB8" w:rsidP="00107D5D">
            <w:pPr>
              <w:suppressAutoHyphens/>
              <w:spacing w:before="40" w:after="40" w:line="210" w:lineRule="exact"/>
              <w:ind w:right="43"/>
              <w:jc w:val="right"/>
              <w:rPr>
                <w:sz w:val="17"/>
                <w:lang w:val="fr-FR"/>
              </w:rPr>
            </w:pPr>
          </w:p>
        </w:tc>
        <w:tc>
          <w:tcPr>
            <w:tcW w:w="1181" w:type="dxa"/>
            <w:tcBorders>
              <w:top w:val="single" w:sz="12" w:space="0" w:color="auto"/>
            </w:tcBorders>
            <w:shd w:val="clear" w:color="auto" w:fill="auto"/>
            <w:noWrap/>
            <w:vAlign w:val="bottom"/>
          </w:tcPr>
          <w:p w14:paraId="1BC7820D" w14:textId="77777777" w:rsidR="00753AB8" w:rsidRPr="00A66C9F" w:rsidRDefault="00753AB8" w:rsidP="00107D5D">
            <w:pPr>
              <w:suppressAutoHyphens/>
              <w:spacing w:before="40" w:after="40" w:line="210" w:lineRule="exact"/>
              <w:ind w:right="43"/>
              <w:jc w:val="right"/>
              <w:rPr>
                <w:sz w:val="17"/>
                <w:lang w:val="fr-FR"/>
              </w:rPr>
            </w:pPr>
          </w:p>
        </w:tc>
        <w:tc>
          <w:tcPr>
            <w:tcW w:w="1267" w:type="dxa"/>
            <w:tcBorders>
              <w:top w:val="single" w:sz="12" w:space="0" w:color="auto"/>
            </w:tcBorders>
            <w:shd w:val="clear" w:color="auto" w:fill="auto"/>
            <w:noWrap/>
            <w:vAlign w:val="bottom"/>
          </w:tcPr>
          <w:p w14:paraId="4FD4F1A8" w14:textId="77777777" w:rsidR="00753AB8" w:rsidRPr="00A66C9F" w:rsidRDefault="00753AB8" w:rsidP="00107D5D">
            <w:pPr>
              <w:suppressAutoHyphens/>
              <w:spacing w:before="40" w:after="40" w:line="210" w:lineRule="exact"/>
              <w:ind w:right="43"/>
              <w:jc w:val="right"/>
              <w:rPr>
                <w:sz w:val="17"/>
                <w:lang w:val="fr-FR"/>
              </w:rPr>
            </w:pPr>
          </w:p>
        </w:tc>
        <w:tc>
          <w:tcPr>
            <w:tcW w:w="1095" w:type="dxa"/>
            <w:tcBorders>
              <w:top w:val="single" w:sz="12" w:space="0" w:color="auto"/>
            </w:tcBorders>
            <w:shd w:val="clear" w:color="auto" w:fill="auto"/>
            <w:noWrap/>
            <w:vAlign w:val="bottom"/>
          </w:tcPr>
          <w:p w14:paraId="37479811" w14:textId="77777777" w:rsidR="00753AB8" w:rsidRPr="00A66C9F" w:rsidRDefault="00753AB8" w:rsidP="00107D5D">
            <w:pPr>
              <w:suppressAutoHyphens/>
              <w:spacing w:before="40" w:after="40" w:line="210" w:lineRule="exact"/>
              <w:ind w:right="43"/>
              <w:jc w:val="right"/>
              <w:rPr>
                <w:sz w:val="17"/>
                <w:lang w:val="fr-FR"/>
              </w:rPr>
            </w:pPr>
          </w:p>
        </w:tc>
      </w:tr>
      <w:tr w:rsidR="00753AB8" w:rsidRPr="00A66C9F" w14:paraId="4F14996C" w14:textId="77777777" w:rsidTr="00107D5D">
        <w:tc>
          <w:tcPr>
            <w:tcW w:w="3785" w:type="dxa"/>
            <w:shd w:val="clear" w:color="auto" w:fill="auto"/>
            <w:vAlign w:val="bottom"/>
            <w:hideMark/>
          </w:tcPr>
          <w:p w14:paraId="62FB73D7"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bookmarkStart w:id="613" w:name="_Hlk49432981"/>
            <w:r w:rsidRPr="00A66C9F">
              <w:rPr>
                <w:sz w:val="17"/>
                <w:lang w:val="fr-FR"/>
              </w:rPr>
              <w:t>Organisation des Nations Unies</w:t>
            </w:r>
            <w:r w:rsidRPr="00A66C9F">
              <w:rPr>
                <w:i/>
                <w:iCs/>
                <w:sz w:val="17"/>
                <w:vertAlign w:val="superscript"/>
                <w:lang w:val="fr-FR"/>
              </w:rPr>
              <w:t>b</w:t>
            </w:r>
          </w:p>
        </w:tc>
        <w:tc>
          <w:tcPr>
            <w:tcW w:w="1180" w:type="dxa"/>
            <w:shd w:val="clear" w:color="auto" w:fill="auto"/>
            <w:vAlign w:val="bottom"/>
            <w:hideMark/>
          </w:tcPr>
          <w:p w14:paraId="6397E24F"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84 854</w:t>
            </w:r>
          </w:p>
        </w:tc>
        <w:tc>
          <w:tcPr>
            <w:tcW w:w="1181" w:type="dxa"/>
            <w:shd w:val="clear" w:color="auto" w:fill="auto"/>
            <w:noWrap/>
            <w:vAlign w:val="bottom"/>
          </w:tcPr>
          <w:p w14:paraId="54D1DD6B"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7 715</w:t>
            </w:r>
          </w:p>
        </w:tc>
        <w:tc>
          <w:tcPr>
            <w:tcW w:w="1181" w:type="dxa"/>
            <w:shd w:val="clear" w:color="auto" w:fill="auto"/>
            <w:noWrap/>
            <w:vAlign w:val="bottom"/>
          </w:tcPr>
          <w:p w14:paraId="12284138"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255</w:t>
            </w:r>
          </w:p>
        </w:tc>
        <w:tc>
          <w:tcPr>
            <w:tcW w:w="1181" w:type="dxa"/>
            <w:shd w:val="clear" w:color="auto" w:fill="auto"/>
            <w:noWrap/>
            <w:vAlign w:val="bottom"/>
          </w:tcPr>
          <w:p w14:paraId="2D5AB1AD"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255</w:t>
            </w:r>
          </w:p>
        </w:tc>
        <w:tc>
          <w:tcPr>
            <w:tcW w:w="1181" w:type="dxa"/>
            <w:shd w:val="clear" w:color="auto" w:fill="auto"/>
            <w:noWrap/>
            <w:vAlign w:val="bottom"/>
          </w:tcPr>
          <w:p w14:paraId="0B5EF365"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6 753</w:t>
            </w:r>
          </w:p>
        </w:tc>
        <w:tc>
          <w:tcPr>
            <w:tcW w:w="1181" w:type="dxa"/>
            <w:shd w:val="clear" w:color="auto" w:fill="auto"/>
            <w:noWrap/>
            <w:vAlign w:val="bottom"/>
          </w:tcPr>
          <w:p w14:paraId="54AC3059"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453</w:t>
            </w:r>
          </w:p>
        </w:tc>
        <w:tc>
          <w:tcPr>
            <w:tcW w:w="1267" w:type="dxa"/>
            <w:shd w:val="clear" w:color="auto" w:fill="auto"/>
            <w:noWrap/>
            <w:vAlign w:val="bottom"/>
          </w:tcPr>
          <w:p w14:paraId="6CC7AB2F"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85 363</w:t>
            </w:r>
          </w:p>
        </w:tc>
        <w:tc>
          <w:tcPr>
            <w:tcW w:w="1095" w:type="dxa"/>
            <w:shd w:val="clear" w:color="auto" w:fill="auto"/>
            <w:noWrap/>
            <w:vAlign w:val="bottom"/>
          </w:tcPr>
          <w:p w14:paraId="42FF16A5"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0,6</w:t>
            </w:r>
          </w:p>
        </w:tc>
      </w:tr>
      <w:tr w:rsidR="00753AB8" w:rsidRPr="00A66C9F" w14:paraId="77A9647E" w14:textId="77777777" w:rsidTr="00107D5D">
        <w:tc>
          <w:tcPr>
            <w:tcW w:w="3785" w:type="dxa"/>
            <w:shd w:val="clear" w:color="auto" w:fill="auto"/>
            <w:vAlign w:val="bottom"/>
            <w:hideMark/>
          </w:tcPr>
          <w:p w14:paraId="644EAA23"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Organisation internationale du Travail</w:t>
            </w:r>
          </w:p>
        </w:tc>
        <w:tc>
          <w:tcPr>
            <w:tcW w:w="1180" w:type="dxa"/>
            <w:shd w:val="clear" w:color="auto" w:fill="auto"/>
            <w:vAlign w:val="bottom"/>
            <w:hideMark/>
          </w:tcPr>
          <w:p w14:paraId="38E1DBC1"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3 819</w:t>
            </w:r>
          </w:p>
        </w:tc>
        <w:tc>
          <w:tcPr>
            <w:tcW w:w="1181" w:type="dxa"/>
            <w:shd w:val="clear" w:color="auto" w:fill="auto"/>
            <w:noWrap/>
            <w:vAlign w:val="bottom"/>
          </w:tcPr>
          <w:p w14:paraId="4BB84930"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416</w:t>
            </w:r>
          </w:p>
        </w:tc>
        <w:tc>
          <w:tcPr>
            <w:tcW w:w="1181" w:type="dxa"/>
            <w:shd w:val="clear" w:color="auto" w:fill="auto"/>
            <w:noWrap/>
            <w:vAlign w:val="bottom"/>
          </w:tcPr>
          <w:p w14:paraId="77DC9A9D"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30</w:t>
            </w:r>
          </w:p>
        </w:tc>
        <w:tc>
          <w:tcPr>
            <w:tcW w:w="1181" w:type="dxa"/>
            <w:shd w:val="clear" w:color="auto" w:fill="auto"/>
            <w:noWrap/>
            <w:vAlign w:val="bottom"/>
          </w:tcPr>
          <w:p w14:paraId="6524739E"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29</w:t>
            </w:r>
          </w:p>
        </w:tc>
        <w:tc>
          <w:tcPr>
            <w:tcW w:w="1181" w:type="dxa"/>
            <w:shd w:val="clear" w:color="auto" w:fill="auto"/>
            <w:noWrap/>
            <w:vAlign w:val="bottom"/>
          </w:tcPr>
          <w:p w14:paraId="42745488"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285</w:t>
            </w:r>
          </w:p>
        </w:tc>
        <w:tc>
          <w:tcPr>
            <w:tcW w:w="1181" w:type="dxa"/>
            <w:shd w:val="clear" w:color="auto" w:fill="auto"/>
            <w:noWrap/>
            <w:vAlign w:val="bottom"/>
          </w:tcPr>
          <w:p w14:paraId="03DBC0F9"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12</w:t>
            </w:r>
          </w:p>
        </w:tc>
        <w:tc>
          <w:tcPr>
            <w:tcW w:w="1267" w:type="dxa"/>
            <w:shd w:val="clear" w:color="auto" w:fill="auto"/>
            <w:noWrap/>
            <w:vAlign w:val="bottom"/>
          </w:tcPr>
          <w:p w14:paraId="2086C296"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3 939</w:t>
            </w:r>
          </w:p>
        </w:tc>
        <w:tc>
          <w:tcPr>
            <w:tcW w:w="1095" w:type="dxa"/>
            <w:shd w:val="clear" w:color="auto" w:fill="auto"/>
            <w:noWrap/>
            <w:vAlign w:val="bottom"/>
          </w:tcPr>
          <w:p w14:paraId="6CE3BBD2"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3,1</w:t>
            </w:r>
          </w:p>
        </w:tc>
      </w:tr>
      <w:tr w:rsidR="00753AB8" w:rsidRPr="00A66C9F" w14:paraId="5F5E218B" w14:textId="77777777" w:rsidTr="00107D5D">
        <w:tc>
          <w:tcPr>
            <w:tcW w:w="3785" w:type="dxa"/>
            <w:shd w:val="clear" w:color="auto" w:fill="auto"/>
            <w:vAlign w:val="bottom"/>
            <w:hideMark/>
          </w:tcPr>
          <w:p w14:paraId="388123B2"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Organisation des Nations Unies pour l’alimentation et l’agriculture</w:t>
            </w:r>
          </w:p>
        </w:tc>
        <w:tc>
          <w:tcPr>
            <w:tcW w:w="1180" w:type="dxa"/>
            <w:shd w:val="clear" w:color="auto" w:fill="auto"/>
            <w:vAlign w:val="bottom"/>
            <w:hideMark/>
          </w:tcPr>
          <w:p w14:paraId="4D43291F"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11 163</w:t>
            </w:r>
          </w:p>
        </w:tc>
        <w:tc>
          <w:tcPr>
            <w:tcW w:w="1181" w:type="dxa"/>
            <w:shd w:val="clear" w:color="auto" w:fill="auto"/>
            <w:noWrap/>
            <w:vAlign w:val="bottom"/>
          </w:tcPr>
          <w:p w14:paraId="248D72B7"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1 223</w:t>
            </w:r>
          </w:p>
        </w:tc>
        <w:tc>
          <w:tcPr>
            <w:tcW w:w="1181" w:type="dxa"/>
            <w:shd w:val="clear" w:color="auto" w:fill="auto"/>
            <w:noWrap/>
            <w:vAlign w:val="bottom"/>
          </w:tcPr>
          <w:p w14:paraId="617691E6"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82</w:t>
            </w:r>
          </w:p>
        </w:tc>
        <w:tc>
          <w:tcPr>
            <w:tcW w:w="1181" w:type="dxa"/>
            <w:shd w:val="clear" w:color="auto" w:fill="auto"/>
            <w:noWrap/>
            <w:vAlign w:val="bottom"/>
          </w:tcPr>
          <w:p w14:paraId="1CC7FFF8"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90</w:t>
            </w:r>
          </w:p>
        </w:tc>
        <w:tc>
          <w:tcPr>
            <w:tcW w:w="1181" w:type="dxa"/>
            <w:shd w:val="clear" w:color="auto" w:fill="auto"/>
            <w:noWrap/>
            <w:vAlign w:val="bottom"/>
          </w:tcPr>
          <w:p w14:paraId="3FB397A6"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576</w:t>
            </w:r>
          </w:p>
        </w:tc>
        <w:tc>
          <w:tcPr>
            <w:tcW w:w="1181" w:type="dxa"/>
            <w:shd w:val="clear" w:color="auto" w:fill="auto"/>
            <w:noWrap/>
            <w:vAlign w:val="bottom"/>
          </w:tcPr>
          <w:p w14:paraId="67CD8AE0"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42</w:t>
            </w:r>
          </w:p>
        </w:tc>
        <w:tc>
          <w:tcPr>
            <w:tcW w:w="1267" w:type="dxa"/>
            <w:shd w:val="clear" w:color="auto" w:fill="auto"/>
            <w:noWrap/>
            <w:vAlign w:val="bottom"/>
          </w:tcPr>
          <w:p w14:paraId="5355AFD4"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11 760</w:t>
            </w:r>
          </w:p>
        </w:tc>
        <w:tc>
          <w:tcPr>
            <w:tcW w:w="1095" w:type="dxa"/>
            <w:shd w:val="clear" w:color="auto" w:fill="auto"/>
            <w:noWrap/>
            <w:vAlign w:val="bottom"/>
          </w:tcPr>
          <w:p w14:paraId="19474CE8"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5,3</w:t>
            </w:r>
          </w:p>
        </w:tc>
      </w:tr>
      <w:tr w:rsidR="00753AB8" w:rsidRPr="00A66C9F" w14:paraId="2C1167DA" w14:textId="77777777" w:rsidTr="00107D5D">
        <w:tc>
          <w:tcPr>
            <w:tcW w:w="3785" w:type="dxa"/>
            <w:shd w:val="clear" w:color="auto" w:fill="auto"/>
            <w:vAlign w:val="bottom"/>
            <w:hideMark/>
          </w:tcPr>
          <w:p w14:paraId="3939B35A"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Organisation des Nations Unies pour l’éducation, la science et la culture</w:t>
            </w:r>
          </w:p>
        </w:tc>
        <w:tc>
          <w:tcPr>
            <w:tcW w:w="1180" w:type="dxa"/>
            <w:shd w:val="clear" w:color="auto" w:fill="auto"/>
            <w:vAlign w:val="bottom"/>
            <w:hideMark/>
          </w:tcPr>
          <w:p w14:paraId="75A26613"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2 479</w:t>
            </w:r>
          </w:p>
        </w:tc>
        <w:tc>
          <w:tcPr>
            <w:tcW w:w="1181" w:type="dxa"/>
            <w:shd w:val="clear" w:color="auto" w:fill="auto"/>
            <w:noWrap/>
            <w:vAlign w:val="bottom"/>
          </w:tcPr>
          <w:p w14:paraId="7232D3B2"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201</w:t>
            </w:r>
          </w:p>
        </w:tc>
        <w:tc>
          <w:tcPr>
            <w:tcW w:w="1181" w:type="dxa"/>
            <w:shd w:val="clear" w:color="auto" w:fill="auto"/>
            <w:noWrap/>
            <w:vAlign w:val="bottom"/>
          </w:tcPr>
          <w:p w14:paraId="22F049FA"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23</w:t>
            </w:r>
          </w:p>
        </w:tc>
        <w:tc>
          <w:tcPr>
            <w:tcW w:w="1181" w:type="dxa"/>
            <w:shd w:val="clear" w:color="auto" w:fill="auto"/>
            <w:noWrap/>
            <w:vAlign w:val="bottom"/>
          </w:tcPr>
          <w:p w14:paraId="7752CE77"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20</w:t>
            </w:r>
          </w:p>
        </w:tc>
        <w:tc>
          <w:tcPr>
            <w:tcW w:w="1181" w:type="dxa"/>
            <w:shd w:val="clear" w:color="auto" w:fill="auto"/>
            <w:noWrap/>
            <w:vAlign w:val="bottom"/>
          </w:tcPr>
          <w:p w14:paraId="3EC7927B"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139</w:t>
            </w:r>
          </w:p>
        </w:tc>
        <w:tc>
          <w:tcPr>
            <w:tcW w:w="1181" w:type="dxa"/>
            <w:shd w:val="clear" w:color="auto" w:fill="auto"/>
            <w:noWrap/>
            <w:vAlign w:val="bottom"/>
          </w:tcPr>
          <w:p w14:paraId="094B5E37"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5</w:t>
            </w:r>
          </w:p>
        </w:tc>
        <w:tc>
          <w:tcPr>
            <w:tcW w:w="1267" w:type="dxa"/>
            <w:shd w:val="clear" w:color="auto" w:fill="auto"/>
            <w:noWrap/>
            <w:vAlign w:val="bottom"/>
          </w:tcPr>
          <w:p w14:paraId="2B6A1C2E"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2 539</w:t>
            </w:r>
          </w:p>
        </w:tc>
        <w:tc>
          <w:tcPr>
            <w:tcW w:w="1095" w:type="dxa"/>
            <w:shd w:val="clear" w:color="auto" w:fill="auto"/>
            <w:noWrap/>
            <w:vAlign w:val="bottom"/>
          </w:tcPr>
          <w:p w14:paraId="20C7CD08"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2,4</w:t>
            </w:r>
          </w:p>
        </w:tc>
      </w:tr>
      <w:tr w:rsidR="00753AB8" w:rsidRPr="00A66C9F" w14:paraId="6B27B9B9" w14:textId="77777777" w:rsidTr="00107D5D">
        <w:tc>
          <w:tcPr>
            <w:tcW w:w="3785" w:type="dxa"/>
            <w:shd w:val="clear" w:color="auto" w:fill="auto"/>
            <w:vAlign w:val="bottom"/>
            <w:hideMark/>
          </w:tcPr>
          <w:p w14:paraId="32C9D5A9"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Organisation mondiale de la Santé</w:t>
            </w:r>
          </w:p>
        </w:tc>
        <w:tc>
          <w:tcPr>
            <w:tcW w:w="1180" w:type="dxa"/>
            <w:shd w:val="clear" w:color="auto" w:fill="auto"/>
            <w:vAlign w:val="bottom"/>
            <w:hideMark/>
          </w:tcPr>
          <w:p w14:paraId="04168878"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10 819</w:t>
            </w:r>
          </w:p>
        </w:tc>
        <w:tc>
          <w:tcPr>
            <w:tcW w:w="1181" w:type="dxa"/>
            <w:shd w:val="clear" w:color="auto" w:fill="auto"/>
            <w:noWrap/>
            <w:vAlign w:val="bottom"/>
          </w:tcPr>
          <w:p w14:paraId="6F7E0F6D"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799</w:t>
            </w:r>
          </w:p>
        </w:tc>
        <w:tc>
          <w:tcPr>
            <w:tcW w:w="1181" w:type="dxa"/>
            <w:shd w:val="clear" w:color="auto" w:fill="auto"/>
            <w:noWrap/>
            <w:vAlign w:val="bottom"/>
          </w:tcPr>
          <w:p w14:paraId="5222AC67"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66</w:t>
            </w:r>
          </w:p>
        </w:tc>
        <w:tc>
          <w:tcPr>
            <w:tcW w:w="1181" w:type="dxa"/>
            <w:shd w:val="clear" w:color="auto" w:fill="auto"/>
            <w:noWrap/>
            <w:vAlign w:val="bottom"/>
          </w:tcPr>
          <w:p w14:paraId="173CC329"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62</w:t>
            </w:r>
          </w:p>
        </w:tc>
        <w:tc>
          <w:tcPr>
            <w:tcW w:w="1181" w:type="dxa"/>
            <w:shd w:val="clear" w:color="auto" w:fill="auto"/>
            <w:noWrap/>
            <w:vAlign w:val="bottom"/>
          </w:tcPr>
          <w:p w14:paraId="1117CA46"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548</w:t>
            </w:r>
          </w:p>
        </w:tc>
        <w:tc>
          <w:tcPr>
            <w:tcW w:w="1181" w:type="dxa"/>
            <w:shd w:val="clear" w:color="auto" w:fill="auto"/>
            <w:noWrap/>
            <w:vAlign w:val="bottom"/>
          </w:tcPr>
          <w:p w14:paraId="58B792C1"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18</w:t>
            </w:r>
          </w:p>
        </w:tc>
        <w:tc>
          <w:tcPr>
            <w:tcW w:w="1267" w:type="dxa"/>
            <w:shd w:val="clear" w:color="auto" w:fill="auto"/>
            <w:noWrap/>
            <w:vAlign w:val="bottom"/>
          </w:tcPr>
          <w:p w14:paraId="1585E037"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11 056</w:t>
            </w:r>
          </w:p>
        </w:tc>
        <w:tc>
          <w:tcPr>
            <w:tcW w:w="1095" w:type="dxa"/>
            <w:shd w:val="clear" w:color="auto" w:fill="auto"/>
            <w:noWrap/>
            <w:vAlign w:val="bottom"/>
          </w:tcPr>
          <w:p w14:paraId="4BF75940"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2,2</w:t>
            </w:r>
          </w:p>
        </w:tc>
      </w:tr>
      <w:tr w:rsidR="00753AB8" w:rsidRPr="00A66C9F" w14:paraId="37B0E4C4" w14:textId="77777777" w:rsidTr="00107D5D">
        <w:tc>
          <w:tcPr>
            <w:tcW w:w="3785" w:type="dxa"/>
            <w:shd w:val="clear" w:color="auto" w:fill="auto"/>
            <w:vAlign w:val="bottom"/>
            <w:hideMark/>
          </w:tcPr>
          <w:p w14:paraId="6E0CE75D"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Organisation de l’aviation civile internationale</w:t>
            </w:r>
          </w:p>
        </w:tc>
        <w:tc>
          <w:tcPr>
            <w:tcW w:w="1180" w:type="dxa"/>
            <w:shd w:val="clear" w:color="auto" w:fill="auto"/>
            <w:vAlign w:val="bottom"/>
            <w:hideMark/>
          </w:tcPr>
          <w:p w14:paraId="0014D00D"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789</w:t>
            </w:r>
          </w:p>
        </w:tc>
        <w:tc>
          <w:tcPr>
            <w:tcW w:w="1181" w:type="dxa"/>
            <w:shd w:val="clear" w:color="auto" w:fill="auto"/>
            <w:noWrap/>
            <w:vAlign w:val="bottom"/>
          </w:tcPr>
          <w:p w14:paraId="397E408A"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52</w:t>
            </w:r>
          </w:p>
        </w:tc>
        <w:tc>
          <w:tcPr>
            <w:tcW w:w="1181" w:type="dxa"/>
            <w:shd w:val="clear" w:color="auto" w:fill="auto"/>
            <w:noWrap/>
            <w:vAlign w:val="bottom"/>
          </w:tcPr>
          <w:p w14:paraId="3B7EC25B"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9</w:t>
            </w:r>
          </w:p>
        </w:tc>
        <w:tc>
          <w:tcPr>
            <w:tcW w:w="1181" w:type="dxa"/>
            <w:shd w:val="clear" w:color="auto" w:fill="auto"/>
            <w:noWrap/>
            <w:vAlign w:val="bottom"/>
          </w:tcPr>
          <w:p w14:paraId="08F2E478"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5</w:t>
            </w:r>
          </w:p>
        </w:tc>
        <w:tc>
          <w:tcPr>
            <w:tcW w:w="1181" w:type="dxa"/>
            <w:shd w:val="clear" w:color="auto" w:fill="auto"/>
            <w:noWrap/>
            <w:vAlign w:val="bottom"/>
          </w:tcPr>
          <w:p w14:paraId="6933870A"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83</w:t>
            </w:r>
          </w:p>
        </w:tc>
        <w:tc>
          <w:tcPr>
            <w:tcW w:w="1181" w:type="dxa"/>
            <w:shd w:val="clear" w:color="auto" w:fill="auto"/>
            <w:noWrap/>
            <w:vAlign w:val="bottom"/>
          </w:tcPr>
          <w:p w14:paraId="78D0745A"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w:t>
            </w:r>
          </w:p>
        </w:tc>
        <w:tc>
          <w:tcPr>
            <w:tcW w:w="1267" w:type="dxa"/>
            <w:shd w:val="clear" w:color="auto" w:fill="auto"/>
            <w:noWrap/>
            <w:vAlign w:val="bottom"/>
          </w:tcPr>
          <w:p w14:paraId="700CAC36"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761</w:t>
            </w:r>
          </w:p>
        </w:tc>
        <w:tc>
          <w:tcPr>
            <w:tcW w:w="1095" w:type="dxa"/>
            <w:shd w:val="clear" w:color="auto" w:fill="auto"/>
            <w:noWrap/>
            <w:vAlign w:val="bottom"/>
          </w:tcPr>
          <w:p w14:paraId="313775D9"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(3,5)</w:t>
            </w:r>
          </w:p>
        </w:tc>
      </w:tr>
      <w:tr w:rsidR="00753AB8" w:rsidRPr="00A66C9F" w14:paraId="51849F8A" w14:textId="77777777" w:rsidTr="00107D5D">
        <w:tc>
          <w:tcPr>
            <w:tcW w:w="3785" w:type="dxa"/>
            <w:shd w:val="clear" w:color="auto" w:fill="auto"/>
            <w:vAlign w:val="bottom"/>
            <w:hideMark/>
          </w:tcPr>
          <w:p w14:paraId="1845125D"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Organisation météorologique mondiale</w:t>
            </w:r>
          </w:p>
        </w:tc>
        <w:tc>
          <w:tcPr>
            <w:tcW w:w="1180" w:type="dxa"/>
            <w:shd w:val="clear" w:color="auto" w:fill="auto"/>
            <w:vAlign w:val="bottom"/>
            <w:hideMark/>
          </w:tcPr>
          <w:p w14:paraId="2CDE477D"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360</w:t>
            </w:r>
          </w:p>
        </w:tc>
        <w:tc>
          <w:tcPr>
            <w:tcW w:w="1181" w:type="dxa"/>
            <w:shd w:val="clear" w:color="auto" w:fill="auto"/>
            <w:noWrap/>
            <w:vAlign w:val="bottom"/>
          </w:tcPr>
          <w:p w14:paraId="666947BF"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46</w:t>
            </w:r>
          </w:p>
        </w:tc>
        <w:tc>
          <w:tcPr>
            <w:tcW w:w="1181" w:type="dxa"/>
            <w:shd w:val="clear" w:color="auto" w:fill="auto"/>
            <w:noWrap/>
            <w:vAlign w:val="bottom"/>
          </w:tcPr>
          <w:p w14:paraId="6FF25335"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5</w:t>
            </w:r>
          </w:p>
        </w:tc>
        <w:tc>
          <w:tcPr>
            <w:tcW w:w="1181" w:type="dxa"/>
            <w:shd w:val="clear" w:color="auto" w:fill="auto"/>
            <w:noWrap/>
            <w:vAlign w:val="bottom"/>
          </w:tcPr>
          <w:p w14:paraId="3E6F1CE1"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w:t>
            </w:r>
          </w:p>
        </w:tc>
        <w:tc>
          <w:tcPr>
            <w:tcW w:w="1181" w:type="dxa"/>
            <w:shd w:val="clear" w:color="auto" w:fill="auto"/>
            <w:noWrap/>
            <w:vAlign w:val="bottom"/>
          </w:tcPr>
          <w:p w14:paraId="47B3AAB2"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32</w:t>
            </w:r>
          </w:p>
        </w:tc>
        <w:tc>
          <w:tcPr>
            <w:tcW w:w="1181" w:type="dxa"/>
            <w:shd w:val="clear" w:color="auto" w:fill="auto"/>
            <w:noWrap/>
            <w:vAlign w:val="bottom"/>
          </w:tcPr>
          <w:p w14:paraId="52A84907"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w:t>
            </w:r>
          </w:p>
        </w:tc>
        <w:tc>
          <w:tcPr>
            <w:tcW w:w="1267" w:type="dxa"/>
            <w:shd w:val="clear" w:color="auto" w:fill="auto"/>
            <w:noWrap/>
            <w:vAlign w:val="bottom"/>
          </w:tcPr>
          <w:p w14:paraId="1D066DA2"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374</w:t>
            </w:r>
          </w:p>
        </w:tc>
        <w:tc>
          <w:tcPr>
            <w:tcW w:w="1095" w:type="dxa"/>
            <w:shd w:val="clear" w:color="auto" w:fill="auto"/>
            <w:noWrap/>
            <w:vAlign w:val="bottom"/>
          </w:tcPr>
          <w:p w14:paraId="1AA89C65"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3,9</w:t>
            </w:r>
          </w:p>
        </w:tc>
      </w:tr>
      <w:tr w:rsidR="00753AB8" w:rsidRPr="00A66C9F" w14:paraId="20B3C9E2" w14:textId="77777777" w:rsidTr="00107D5D">
        <w:tc>
          <w:tcPr>
            <w:tcW w:w="3785" w:type="dxa"/>
            <w:shd w:val="clear" w:color="auto" w:fill="auto"/>
            <w:vAlign w:val="bottom"/>
            <w:hideMark/>
          </w:tcPr>
          <w:p w14:paraId="67E94A98"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Agence internationale de l’énergie atomique</w:t>
            </w:r>
          </w:p>
        </w:tc>
        <w:tc>
          <w:tcPr>
            <w:tcW w:w="1180" w:type="dxa"/>
            <w:shd w:val="clear" w:color="auto" w:fill="auto"/>
            <w:vAlign w:val="bottom"/>
            <w:hideMark/>
          </w:tcPr>
          <w:p w14:paraId="7BDFA4C6"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2 734</w:t>
            </w:r>
          </w:p>
        </w:tc>
        <w:tc>
          <w:tcPr>
            <w:tcW w:w="1181" w:type="dxa"/>
            <w:shd w:val="clear" w:color="auto" w:fill="auto"/>
            <w:noWrap/>
            <w:vAlign w:val="bottom"/>
          </w:tcPr>
          <w:p w14:paraId="4DC12DED"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214</w:t>
            </w:r>
          </w:p>
        </w:tc>
        <w:tc>
          <w:tcPr>
            <w:tcW w:w="1181" w:type="dxa"/>
            <w:shd w:val="clear" w:color="auto" w:fill="auto"/>
            <w:noWrap/>
            <w:vAlign w:val="bottom"/>
          </w:tcPr>
          <w:p w14:paraId="070BA974"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20</w:t>
            </w:r>
          </w:p>
        </w:tc>
        <w:tc>
          <w:tcPr>
            <w:tcW w:w="1181" w:type="dxa"/>
            <w:shd w:val="clear" w:color="auto" w:fill="auto"/>
            <w:noWrap/>
            <w:vAlign w:val="bottom"/>
          </w:tcPr>
          <w:p w14:paraId="65707E23"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34</w:t>
            </w:r>
          </w:p>
        </w:tc>
        <w:tc>
          <w:tcPr>
            <w:tcW w:w="1181" w:type="dxa"/>
            <w:shd w:val="clear" w:color="auto" w:fill="auto"/>
            <w:noWrap/>
            <w:vAlign w:val="bottom"/>
          </w:tcPr>
          <w:p w14:paraId="27A3EAFE"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131</w:t>
            </w:r>
          </w:p>
        </w:tc>
        <w:tc>
          <w:tcPr>
            <w:tcW w:w="1181" w:type="dxa"/>
            <w:shd w:val="clear" w:color="auto" w:fill="auto"/>
            <w:noWrap/>
            <w:vAlign w:val="bottom"/>
          </w:tcPr>
          <w:p w14:paraId="567AE9CA"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w:t>
            </w:r>
          </w:p>
        </w:tc>
        <w:tc>
          <w:tcPr>
            <w:tcW w:w="1267" w:type="dxa"/>
            <w:shd w:val="clear" w:color="auto" w:fill="auto"/>
            <w:noWrap/>
            <w:vAlign w:val="bottom"/>
          </w:tcPr>
          <w:p w14:paraId="4467CA37"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2 802</w:t>
            </w:r>
          </w:p>
        </w:tc>
        <w:tc>
          <w:tcPr>
            <w:tcW w:w="1095" w:type="dxa"/>
            <w:shd w:val="clear" w:color="auto" w:fill="auto"/>
            <w:noWrap/>
            <w:vAlign w:val="bottom"/>
          </w:tcPr>
          <w:p w14:paraId="5CC58608"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2,5</w:t>
            </w:r>
          </w:p>
        </w:tc>
      </w:tr>
      <w:tr w:rsidR="00753AB8" w:rsidRPr="00A66C9F" w14:paraId="398A6B6B" w14:textId="77777777" w:rsidTr="00107D5D">
        <w:tc>
          <w:tcPr>
            <w:tcW w:w="3785" w:type="dxa"/>
            <w:shd w:val="clear" w:color="auto" w:fill="auto"/>
            <w:vAlign w:val="bottom"/>
            <w:hideMark/>
          </w:tcPr>
          <w:p w14:paraId="2C54A8F0"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Organisation maritime internationale</w:t>
            </w:r>
          </w:p>
        </w:tc>
        <w:tc>
          <w:tcPr>
            <w:tcW w:w="1180" w:type="dxa"/>
            <w:shd w:val="clear" w:color="auto" w:fill="auto"/>
            <w:vAlign w:val="bottom"/>
            <w:hideMark/>
          </w:tcPr>
          <w:p w14:paraId="46E1BDC1"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277</w:t>
            </w:r>
          </w:p>
        </w:tc>
        <w:tc>
          <w:tcPr>
            <w:tcW w:w="1181" w:type="dxa"/>
            <w:shd w:val="clear" w:color="auto" w:fill="auto"/>
            <w:noWrap/>
            <w:vAlign w:val="bottom"/>
          </w:tcPr>
          <w:p w14:paraId="5D39624A"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97</w:t>
            </w:r>
          </w:p>
        </w:tc>
        <w:tc>
          <w:tcPr>
            <w:tcW w:w="1181" w:type="dxa"/>
            <w:shd w:val="clear" w:color="auto" w:fill="auto"/>
            <w:noWrap/>
            <w:vAlign w:val="bottom"/>
          </w:tcPr>
          <w:p w14:paraId="7D7C8E2A"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5</w:t>
            </w:r>
          </w:p>
        </w:tc>
        <w:tc>
          <w:tcPr>
            <w:tcW w:w="1181" w:type="dxa"/>
            <w:shd w:val="clear" w:color="auto" w:fill="auto"/>
            <w:noWrap/>
            <w:vAlign w:val="bottom"/>
          </w:tcPr>
          <w:p w14:paraId="2E66E6EE"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w:t>
            </w:r>
          </w:p>
        </w:tc>
        <w:tc>
          <w:tcPr>
            <w:tcW w:w="1181" w:type="dxa"/>
            <w:shd w:val="clear" w:color="auto" w:fill="auto"/>
            <w:noWrap/>
            <w:vAlign w:val="bottom"/>
          </w:tcPr>
          <w:p w14:paraId="3CB61419"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12</w:t>
            </w:r>
          </w:p>
        </w:tc>
        <w:tc>
          <w:tcPr>
            <w:tcW w:w="1181" w:type="dxa"/>
            <w:shd w:val="clear" w:color="auto" w:fill="auto"/>
            <w:noWrap/>
            <w:vAlign w:val="bottom"/>
          </w:tcPr>
          <w:p w14:paraId="302DE28B"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267" w:type="dxa"/>
            <w:shd w:val="clear" w:color="auto" w:fill="auto"/>
            <w:noWrap/>
            <w:vAlign w:val="bottom"/>
          </w:tcPr>
          <w:p w14:paraId="6B58B1B4"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365</w:t>
            </w:r>
          </w:p>
        </w:tc>
        <w:tc>
          <w:tcPr>
            <w:tcW w:w="1095" w:type="dxa"/>
            <w:shd w:val="clear" w:color="auto" w:fill="auto"/>
            <w:noWrap/>
            <w:vAlign w:val="bottom"/>
          </w:tcPr>
          <w:p w14:paraId="44A643F8"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31,8</w:t>
            </w:r>
          </w:p>
        </w:tc>
      </w:tr>
      <w:tr w:rsidR="00753AB8" w:rsidRPr="00A66C9F" w14:paraId="5508416B" w14:textId="77777777" w:rsidTr="00107D5D">
        <w:tc>
          <w:tcPr>
            <w:tcW w:w="3785" w:type="dxa"/>
            <w:shd w:val="clear" w:color="auto" w:fill="auto"/>
            <w:vAlign w:val="bottom"/>
            <w:hideMark/>
          </w:tcPr>
          <w:p w14:paraId="0E47B80C"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Union internationale des télécommunications</w:t>
            </w:r>
          </w:p>
        </w:tc>
        <w:tc>
          <w:tcPr>
            <w:tcW w:w="1180" w:type="dxa"/>
            <w:shd w:val="clear" w:color="auto" w:fill="auto"/>
            <w:vAlign w:val="bottom"/>
            <w:hideMark/>
          </w:tcPr>
          <w:p w14:paraId="706C6578"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726</w:t>
            </w:r>
          </w:p>
        </w:tc>
        <w:tc>
          <w:tcPr>
            <w:tcW w:w="1181" w:type="dxa"/>
            <w:shd w:val="clear" w:color="auto" w:fill="auto"/>
            <w:noWrap/>
            <w:vAlign w:val="bottom"/>
          </w:tcPr>
          <w:p w14:paraId="097DA6E1"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47</w:t>
            </w:r>
          </w:p>
        </w:tc>
        <w:tc>
          <w:tcPr>
            <w:tcW w:w="1181" w:type="dxa"/>
            <w:shd w:val="clear" w:color="auto" w:fill="auto"/>
            <w:noWrap/>
            <w:vAlign w:val="bottom"/>
          </w:tcPr>
          <w:p w14:paraId="3477CA00"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9</w:t>
            </w:r>
          </w:p>
        </w:tc>
        <w:tc>
          <w:tcPr>
            <w:tcW w:w="1181" w:type="dxa"/>
            <w:shd w:val="clear" w:color="auto" w:fill="auto"/>
            <w:noWrap/>
            <w:vAlign w:val="bottom"/>
          </w:tcPr>
          <w:p w14:paraId="728D27AE"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w:t>
            </w:r>
          </w:p>
        </w:tc>
        <w:tc>
          <w:tcPr>
            <w:tcW w:w="1181" w:type="dxa"/>
            <w:shd w:val="clear" w:color="auto" w:fill="auto"/>
            <w:noWrap/>
            <w:vAlign w:val="bottom"/>
          </w:tcPr>
          <w:p w14:paraId="2C383B91"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32</w:t>
            </w:r>
          </w:p>
        </w:tc>
        <w:tc>
          <w:tcPr>
            <w:tcW w:w="1181" w:type="dxa"/>
            <w:shd w:val="clear" w:color="auto" w:fill="auto"/>
            <w:noWrap/>
            <w:vAlign w:val="bottom"/>
          </w:tcPr>
          <w:p w14:paraId="0451FF2C"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267" w:type="dxa"/>
            <w:shd w:val="clear" w:color="auto" w:fill="auto"/>
            <w:noWrap/>
            <w:vAlign w:val="bottom"/>
          </w:tcPr>
          <w:p w14:paraId="58B6F820"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748</w:t>
            </w:r>
          </w:p>
        </w:tc>
        <w:tc>
          <w:tcPr>
            <w:tcW w:w="1095" w:type="dxa"/>
            <w:shd w:val="clear" w:color="auto" w:fill="auto"/>
            <w:noWrap/>
            <w:vAlign w:val="bottom"/>
          </w:tcPr>
          <w:p w14:paraId="7E59C5DA"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3,0</w:t>
            </w:r>
          </w:p>
        </w:tc>
      </w:tr>
      <w:tr w:rsidR="00753AB8" w:rsidRPr="00A66C9F" w14:paraId="65B1B568" w14:textId="77777777" w:rsidTr="00107D5D">
        <w:tc>
          <w:tcPr>
            <w:tcW w:w="3785" w:type="dxa"/>
            <w:shd w:val="clear" w:color="auto" w:fill="auto"/>
            <w:vAlign w:val="bottom"/>
            <w:hideMark/>
          </w:tcPr>
          <w:p w14:paraId="38C27E36"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Organisation mondiale de la propriété intellectuelle</w:t>
            </w:r>
          </w:p>
        </w:tc>
        <w:tc>
          <w:tcPr>
            <w:tcW w:w="1180" w:type="dxa"/>
            <w:shd w:val="clear" w:color="auto" w:fill="auto"/>
            <w:vAlign w:val="bottom"/>
            <w:hideMark/>
          </w:tcPr>
          <w:p w14:paraId="1870BD61"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1 222</w:t>
            </w:r>
          </w:p>
        </w:tc>
        <w:tc>
          <w:tcPr>
            <w:tcW w:w="1181" w:type="dxa"/>
            <w:shd w:val="clear" w:color="auto" w:fill="auto"/>
            <w:noWrap/>
            <w:vAlign w:val="bottom"/>
          </w:tcPr>
          <w:p w14:paraId="381DEAF6"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66</w:t>
            </w:r>
          </w:p>
        </w:tc>
        <w:tc>
          <w:tcPr>
            <w:tcW w:w="1181" w:type="dxa"/>
            <w:shd w:val="clear" w:color="auto" w:fill="auto"/>
            <w:noWrap/>
            <w:vAlign w:val="bottom"/>
          </w:tcPr>
          <w:p w14:paraId="6ECBA619"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14</w:t>
            </w:r>
          </w:p>
        </w:tc>
        <w:tc>
          <w:tcPr>
            <w:tcW w:w="1181" w:type="dxa"/>
            <w:shd w:val="clear" w:color="auto" w:fill="auto"/>
            <w:noWrap/>
            <w:vAlign w:val="bottom"/>
          </w:tcPr>
          <w:p w14:paraId="15AFF8E8"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10</w:t>
            </w:r>
          </w:p>
        </w:tc>
        <w:tc>
          <w:tcPr>
            <w:tcW w:w="1181" w:type="dxa"/>
            <w:shd w:val="clear" w:color="auto" w:fill="auto"/>
            <w:noWrap/>
            <w:vAlign w:val="bottom"/>
          </w:tcPr>
          <w:p w14:paraId="1AEC9E72"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76</w:t>
            </w:r>
          </w:p>
        </w:tc>
        <w:tc>
          <w:tcPr>
            <w:tcW w:w="1181" w:type="dxa"/>
            <w:shd w:val="clear" w:color="auto" w:fill="auto"/>
            <w:noWrap/>
            <w:vAlign w:val="bottom"/>
          </w:tcPr>
          <w:p w14:paraId="02873DCE"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267" w:type="dxa"/>
            <w:shd w:val="clear" w:color="auto" w:fill="auto"/>
            <w:noWrap/>
            <w:vAlign w:val="bottom"/>
          </w:tcPr>
          <w:p w14:paraId="195AB8C4"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1 216</w:t>
            </w:r>
          </w:p>
        </w:tc>
        <w:tc>
          <w:tcPr>
            <w:tcW w:w="1095" w:type="dxa"/>
            <w:shd w:val="clear" w:color="auto" w:fill="auto"/>
            <w:noWrap/>
            <w:vAlign w:val="bottom"/>
          </w:tcPr>
          <w:p w14:paraId="486F0222"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(0,5)</w:t>
            </w:r>
          </w:p>
        </w:tc>
      </w:tr>
      <w:tr w:rsidR="00753AB8" w:rsidRPr="00A66C9F" w14:paraId="6385B780" w14:textId="77777777" w:rsidTr="00107D5D">
        <w:tc>
          <w:tcPr>
            <w:tcW w:w="3785" w:type="dxa"/>
            <w:shd w:val="clear" w:color="auto" w:fill="auto"/>
            <w:vAlign w:val="bottom"/>
            <w:hideMark/>
          </w:tcPr>
          <w:p w14:paraId="6D893590"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Fonds international de développement agricole</w:t>
            </w:r>
          </w:p>
        </w:tc>
        <w:tc>
          <w:tcPr>
            <w:tcW w:w="1180" w:type="dxa"/>
            <w:shd w:val="clear" w:color="auto" w:fill="auto"/>
            <w:vAlign w:val="bottom"/>
            <w:hideMark/>
          </w:tcPr>
          <w:p w14:paraId="43D8CCE6"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586</w:t>
            </w:r>
          </w:p>
        </w:tc>
        <w:tc>
          <w:tcPr>
            <w:tcW w:w="1181" w:type="dxa"/>
            <w:shd w:val="clear" w:color="auto" w:fill="auto"/>
            <w:noWrap/>
            <w:vAlign w:val="bottom"/>
          </w:tcPr>
          <w:p w14:paraId="6F39697F"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61</w:t>
            </w:r>
          </w:p>
        </w:tc>
        <w:tc>
          <w:tcPr>
            <w:tcW w:w="1181" w:type="dxa"/>
            <w:shd w:val="clear" w:color="auto" w:fill="auto"/>
            <w:noWrap/>
            <w:vAlign w:val="bottom"/>
          </w:tcPr>
          <w:p w14:paraId="08911418"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11</w:t>
            </w:r>
          </w:p>
        </w:tc>
        <w:tc>
          <w:tcPr>
            <w:tcW w:w="1181" w:type="dxa"/>
            <w:shd w:val="clear" w:color="auto" w:fill="auto"/>
            <w:noWrap/>
            <w:vAlign w:val="bottom"/>
          </w:tcPr>
          <w:p w14:paraId="40BC8003"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w:t>
            </w:r>
          </w:p>
        </w:tc>
        <w:tc>
          <w:tcPr>
            <w:tcW w:w="1181" w:type="dxa"/>
            <w:shd w:val="clear" w:color="auto" w:fill="auto"/>
            <w:noWrap/>
            <w:vAlign w:val="bottom"/>
          </w:tcPr>
          <w:p w14:paraId="1A87BBC6"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40</w:t>
            </w:r>
          </w:p>
        </w:tc>
        <w:tc>
          <w:tcPr>
            <w:tcW w:w="1181" w:type="dxa"/>
            <w:shd w:val="clear" w:color="auto" w:fill="auto"/>
            <w:noWrap/>
            <w:vAlign w:val="bottom"/>
          </w:tcPr>
          <w:p w14:paraId="643B55BF"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w:t>
            </w:r>
          </w:p>
        </w:tc>
        <w:tc>
          <w:tcPr>
            <w:tcW w:w="1267" w:type="dxa"/>
            <w:shd w:val="clear" w:color="auto" w:fill="auto"/>
            <w:noWrap/>
            <w:vAlign w:val="bottom"/>
          </w:tcPr>
          <w:p w14:paraId="535570C7"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612</w:t>
            </w:r>
          </w:p>
        </w:tc>
        <w:tc>
          <w:tcPr>
            <w:tcW w:w="1095" w:type="dxa"/>
            <w:shd w:val="clear" w:color="auto" w:fill="auto"/>
            <w:noWrap/>
            <w:vAlign w:val="bottom"/>
          </w:tcPr>
          <w:p w14:paraId="0FD46DD1"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4,4</w:t>
            </w:r>
          </w:p>
        </w:tc>
      </w:tr>
      <w:tr w:rsidR="00753AB8" w:rsidRPr="00A66C9F" w14:paraId="04C75883" w14:textId="77777777" w:rsidTr="00107D5D">
        <w:tc>
          <w:tcPr>
            <w:tcW w:w="3785" w:type="dxa"/>
            <w:shd w:val="clear" w:color="auto" w:fill="auto"/>
            <w:vAlign w:val="bottom"/>
            <w:hideMark/>
          </w:tcPr>
          <w:p w14:paraId="1BDD9BC5"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Centre international d’études pour la conservation et la restauration des biens culturels</w:t>
            </w:r>
          </w:p>
        </w:tc>
        <w:tc>
          <w:tcPr>
            <w:tcW w:w="1180" w:type="dxa"/>
            <w:shd w:val="clear" w:color="auto" w:fill="auto"/>
            <w:vAlign w:val="bottom"/>
            <w:hideMark/>
          </w:tcPr>
          <w:p w14:paraId="1FAD881F"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43</w:t>
            </w:r>
          </w:p>
        </w:tc>
        <w:tc>
          <w:tcPr>
            <w:tcW w:w="1181" w:type="dxa"/>
            <w:shd w:val="clear" w:color="auto" w:fill="auto"/>
            <w:noWrap/>
            <w:vAlign w:val="bottom"/>
          </w:tcPr>
          <w:p w14:paraId="5F4BBF89"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w:t>
            </w:r>
          </w:p>
        </w:tc>
        <w:tc>
          <w:tcPr>
            <w:tcW w:w="1181" w:type="dxa"/>
            <w:shd w:val="clear" w:color="auto" w:fill="auto"/>
            <w:noWrap/>
            <w:vAlign w:val="bottom"/>
          </w:tcPr>
          <w:p w14:paraId="77FFE666"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w:t>
            </w:r>
          </w:p>
        </w:tc>
        <w:tc>
          <w:tcPr>
            <w:tcW w:w="1181" w:type="dxa"/>
            <w:shd w:val="clear" w:color="auto" w:fill="auto"/>
            <w:noWrap/>
            <w:vAlign w:val="bottom"/>
          </w:tcPr>
          <w:p w14:paraId="2F36CC05"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81" w:type="dxa"/>
            <w:shd w:val="clear" w:color="auto" w:fill="auto"/>
            <w:noWrap/>
            <w:vAlign w:val="bottom"/>
          </w:tcPr>
          <w:p w14:paraId="643DA41F"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w:t>
            </w:r>
          </w:p>
        </w:tc>
        <w:tc>
          <w:tcPr>
            <w:tcW w:w="1181" w:type="dxa"/>
            <w:shd w:val="clear" w:color="auto" w:fill="auto"/>
            <w:noWrap/>
            <w:vAlign w:val="bottom"/>
          </w:tcPr>
          <w:p w14:paraId="2BCE1DF8"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267" w:type="dxa"/>
            <w:shd w:val="clear" w:color="auto" w:fill="auto"/>
            <w:noWrap/>
            <w:vAlign w:val="bottom"/>
          </w:tcPr>
          <w:p w14:paraId="1D606B5E"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45</w:t>
            </w:r>
          </w:p>
        </w:tc>
        <w:tc>
          <w:tcPr>
            <w:tcW w:w="1095" w:type="dxa"/>
            <w:shd w:val="clear" w:color="auto" w:fill="auto"/>
            <w:noWrap/>
            <w:vAlign w:val="bottom"/>
          </w:tcPr>
          <w:p w14:paraId="1703B870"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4,7</w:t>
            </w:r>
          </w:p>
        </w:tc>
      </w:tr>
      <w:tr w:rsidR="00753AB8" w:rsidRPr="00A66C9F" w14:paraId="32EA8558" w14:textId="77777777" w:rsidTr="00107D5D">
        <w:tc>
          <w:tcPr>
            <w:tcW w:w="3785" w:type="dxa"/>
            <w:shd w:val="clear" w:color="auto" w:fill="auto"/>
            <w:vAlign w:val="bottom"/>
            <w:hideMark/>
          </w:tcPr>
          <w:p w14:paraId="6E9B596D"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Organisation européenne et méditerranéenne pour la protection des plantes</w:t>
            </w:r>
          </w:p>
        </w:tc>
        <w:tc>
          <w:tcPr>
            <w:tcW w:w="1180" w:type="dxa"/>
            <w:shd w:val="clear" w:color="auto" w:fill="auto"/>
            <w:vAlign w:val="bottom"/>
            <w:hideMark/>
          </w:tcPr>
          <w:p w14:paraId="58C2A182"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19</w:t>
            </w:r>
          </w:p>
        </w:tc>
        <w:tc>
          <w:tcPr>
            <w:tcW w:w="1181" w:type="dxa"/>
            <w:shd w:val="clear" w:color="auto" w:fill="auto"/>
            <w:noWrap/>
            <w:vAlign w:val="bottom"/>
          </w:tcPr>
          <w:p w14:paraId="3DBADC42"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w:t>
            </w:r>
          </w:p>
        </w:tc>
        <w:tc>
          <w:tcPr>
            <w:tcW w:w="1181" w:type="dxa"/>
            <w:shd w:val="clear" w:color="auto" w:fill="auto"/>
            <w:noWrap/>
            <w:vAlign w:val="bottom"/>
          </w:tcPr>
          <w:p w14:paraId="44A09642"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81" w:type="dxa"/>
            <w:shd w:val="clear" w:color="auto" w:fill="auto"/>
            <w:noWrap/>
            <w:vAlign w:val="bottom"/>
          </w:tcPr>
          <w:p w14:paraId="5FB14A5A"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81" w:type="dxa"/>
            <w:shd w:val="clear" w:color="auto" w:fill="auto"/>
            <w:noWrap/>
            <w:vAlign w:val="bottom"/>
          </w:tcPr>
          <w:p w14:paraId="2F7E3982"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w:t>
            </w:r>
          </w:p>
        </w:tc>
        <w:tc>
          <w:tcPr>
            <w:tcW w:w="1181" w:type="dxa"/>
            <w:shd w:val="clear" w:color="auto" w:fill="auto"/>
            <w:noWrap/>
            <w:vAlign w:val="bottom"/>
          </w:tcPr>
          <w:p w14:paraId="18710FC3"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267" w:type="dxa"/>
            <w:shd w:val="clear" w:color="auto" w:fill="auto"/>
            <w:noWrap/>
            <w:vAlign w:val="bottom"/>
          </w:tcPr>
          <w:p w14:paraId="44767605"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20</w:t>
            </w:r>
          </w:p>
        </w:tc>
        <w:tc>
          <w:tcPr>
            <w:tcW w:w="1095" w:type="dxa"/>
            <w:shd w:val="clear" w:color="auto" w:fill="auto"/>
            <w:noWrap/>
            <w:vAlign w:val="bottom"/>
          </w:tcPr>
          <w:p w14:paraId="0F9A70EA"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5,3</w:t>
            </w:r>
          </w:p>
        </w:tc>
      </w:tr>
      <w:tr w:rsidR="00753AB8" w:rsidRPr="00A66C9F" w14:paraId="13BE603A" w14:textId="77777777" w:rsidTr="00107D5D">
        <w:tc>
          <w:tcPr>
            <w:tcW w:w="3785" w:type="dxa"/>
            <w:shd w:val="clear" w:color="auto" w:fill="auto"/>
            <w:vAlign w:val="bottom"/>
            <w:hideMark/>
          </w:tcPr>
          <w:p w14:paraId="6A0A4D9E"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Centre international pour le génie génétique et la biotechnologie</w:t>
            </w:r>
          </w:p>
        </w:tc>
        <w:tc>
          <w:tcPr>
            <w:tcW w:w="1180" w:type="dxa"/>
            <w:shd w:val="clear" w:color="auto" w:fill="auto"/>
            <w:vAlign w:val="bottom"/>
            <w:hideMark/>
          </w:tcPr>
          <w:p w14:paraId="28509FA2"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174</w:t>
            </w:r>
          </w:p>
        </w:tc>
        <w:tc>
          <w:tcPr>
            <w:tcW w:w="1181" w:type="dxa"/>
            <w:shd w:val="clear" w:color="auto" w:fill="auto"/>
            <w:noWrap/>
            <w:vAlign w:val="bottom"/>
          </w:tcPr>
          <w:p w14:paraId="3808DFA5"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5</w:t>
            </w:r>
          </w:p>
        </w:tc>
        <w:tc>
          <w:tcPr>
            <w:tcW w:w="1181" w:type="dxa"/>
            <w:shd w:val="clear" w:color="auto" w:fill="auto"/>
            <w:noWrap/>
            <w:vAlign w:val="bottom"/>
          </w:tcPr>
          <w:p w14:paraId="477895F5"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w:t>
            </w:r>
          </w:p>
        </w:tc>
        <w:tc>
          <w:tcPr>
            <w:tcW w:w="1181" w:type="dxa"/>
            <w:shd w:val="clear" w:color="auto" w:fill="auto"/>
            <w:noWrap/>
            <w:vAlign w:val="bottom"/>
          </w:tcPr>
          <w:p w14:paraId="781DA9BF"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w:t>
            </w:r>
          </w:p>
        </w:tc>
        <w:tc>
          <w:tcPr>
            <w:tcW w:w="1181" w:type="dxa"/>
            <w:shd w:val="clear" w:color="auto" w:fill="auto"/>
            <w:noWrap/>
            <w:vAlign w:val="bottom"/>
          </w:tcPr>
          <w:p w14:paraId="25060B1C"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6</w:t>
            </w:r>
          </w:p>
        </w:tc>
        <w:tc>
          <w:tcPr>
            <w:tcW w:w="1181" w:type="dxa"/>
            <w:shd w:val="clear" w:color="auto" w:fill="auto"/>
            <w:noWrap/>
            <w:vAlign w:val="bottom"/>
          </w:tcPr>
          <w:p w14:paraId="73E4FB6C"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267" w:type="dxa"/>
            <w:shd w:val="clear" w:color="auto" w:fill="auto"/>
            <w:noWrap/>
            <w:vAlign w:val="bottom"/>
          </w:tcPr>
          <w:p w14:paraId="328E5EAA"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175</w:t>
            </w:r>
          </w:p>
        </w:tc>
        <w:tc>
          <w:tcPr>
            <w:tcW w:w="1095" w:type="dxa"/>
            <w:shd w:val="clear" w:color="auto" w:fill="auto"/>
            <w:noWrap/>
            <w:vAlign w:val="bottom"/>
          </w:tcPr>
          <w:p w14:paraId="1AD26020"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0,6</w:t>
            </w:r>
          </w:p>
        </w:tc>
      </w:tr>
      <w:tr w:rsidR="00753AB8" w:rsidRPr="00A66C9F" w14:paraId="03703199" w14:textId="77777777" w:rsidTr="00107D5D">
        <w:tc>
          <w:tcPr>
            <w:tcW w:w="3785" w:type="dxa"/>
            <w:shd w:val="clear" w:color="auto" w:fill="auto"/>
            <w:vAlign w:val="bottom"/>
            <w:hideMark/>
          </w:tcPr>
          <w:p w14:paraId="097E582E"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Organisation mondiale du tourisme</w:t>
            </w:r>
          </w:p>
        </w:tc>
        <w:tc>
          <w:tcPr>
            <w:tcW w:w="1180" w:type="dxa"/>
            <w:shd w:val="clear" w:color="auto" w:fill="auto"/>
            <w:vAlign w:val="bottom"/>
            <w:hideMark/>
          </w:tcPr>
          <w:p w14:paraId="4F099EA6"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88</w:t>
            </w:r>
          </w:p>
        </w:tc>
        <w:tc>
          <w:tcPr>
            <w:tcW w:w="1181" w:type="dxa"/>
            <w:shd w:val="clear" w:color="auto" w:fill="auto"/>
            <w:noWrap/>
            <w:vAlign w:val="bottom"/>
          </w:tcPr>
          <w:p w14:paraId="3F181A26"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w:t>
            </w:r>
          </w:p>
        </w:tc>
        <w:tc>
          <w:tcPr>
            <w:tcW w:w="1181" w:type="dxa"/>
            <w:shd w:val="clear" w:color="auto" w:fill="auto"/>
            <w:noWrap/>
            <w:vAlign w:val="bottom"/>
          </w:tcPr>
          <w:p w14:paraId="1AB00776"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w:t>
            </w:r>
          </w:p>
        </w:tc>
        <w:tc>
          <w:tcPr>
            <w:tcW w:w="1181" w:type="dxa"/>
            <w:shd w:val="clear" w:color="auto" w:fill="auto"/>
            <w:noWrap/>
            <w:vAlign w:val="bottom"/>
          </w:tcPr>
          <w:p w14:paraId="6E1B03AB"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81" w:type="dxa"/>
            <w:shd w:val="clear" w:color="auto" w:fill="auto"/>
            <w:noWrap/>
            <w:vAlign w:val="bottom"/>
          </w:tcPr>
          <w:p w14:paraId="1D68B41B"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w:t>
            </w:r>
          </w:p>
        </w:tc>
        <w:tc>
          <w:tcPr>
            <w:tcW w:w="1181" w:type="dxa"/>
            <w:shd w:val="clear" w:color="auto" w:fill="auto"/>
            <w:noWrap/>
            <w:vAlign w:val="bottom"/>
          </w:tcPr>
          <w:p w14:paraId="54D22262"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267" w:type="dxa"/>
            <w:shd w:val="clear" w:color="auto" w:fill="auto"/>
            <w:noWrap/>
            <w:vAlign w:val="bottom"/>
          </w:tcPr>
          <w:p w14:paraId="1C7DFABF"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89</w:t>
            </w:r>
          </w:p>
        </w:tc>
        <w:tc>
          <w:tcPr>
            <w:tcW w:w="1095" w:type="dxa"/>
            <w:shd w:val="clear" w:color="auto" w:fill="auto"/>
            <w:noWrap/>
            <w:vAlign w:val="bottom"/>
          </w:tcPr>
          <w:p w14:paraId="28092F81"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1,1</w:t>
            </w:r>
          </w:p>
        </w:tc>
      </w:tr>
      <w:tr w:rsidR="00753AB8" w:rsidRPr="00A66C9F" w14:paraId="7FB5E309" w14:textId="77777777" w:rsidTr="00107D5D">
        <w:tc>
          <w:tcPr>
            <w:tcW w:w="3785" w:type="dxa"/>
            <w:shd w:val="clear" w:color="auto" w:fill="auto"/>
            <w:vAlign w:val="bottom"/>
            <w:hideMark/>
          </w:tcPr>
          <w:p w14:paraId="022B63DF"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Tribunal international du droit de la mer</w:t>
            </w:r>
          </w:p>
        </w:tc>
        <w:tc>
          <w:tcPr>
            <w:tcW w:w="1180" w:type="dxa"/>
            <w:shd w:val="clear" w:color="auto" w:fill="auto"/>
            <w:vAlign w:val="bottom"/>
            <w:hideMark/>
          </w:tcPr>
          <w:p w14:paraId="55A318B5"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40</w:t>
            </w:r>
          </w:p>
        </w:tc>
        <w:tc>
          <w:tcPr>
            <w:tcW w:w="1181" w:type="dxa"/>
            <w:shd w:val="clear" w:color="auto" w:fill="auto"/>
            <w:noWrap/>
            <w:vAlign w:val="bottom"/>
          </w:tcPr>
          <w:p w14:paraId="6CF7C885"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w:t>
            </w:r>
          </w:p>
        </w:tc>
        <w:tc>
          <w:tcPr>
            <w:tcW w:w="1181" w:type="dxa"/>
            <w:shd w:val="clear" w:color="auto" w:fill="auto"/>
            <w:noWrap/>
            <w:vAlign w:val="bottom"/>
          </w:tcPr>
          <w:p w14:paraId="78D49551"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81" w:type="dxa"/>
            <w:shd w:val="clear" w:color="auto" w:fill="auto"/>
            <w:noWrap/>
            <w:vAlign w:val="bottom"/>
          </w:tcPr>
          <w:p w14:paraId="0E714023"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w:t>
            </w:r>
          </w:p>
        </w:tc>
        <w:tc>
          <w:tcPr>
            <w:tcW w:w="1181" w:type="dxa"/>
            <w:shd w:val="clear" w:color="auto" w:fill="auto"/>
            <w:noWrap/>
            <w:vAlign w:val="bottom"/>
          </w:tcPr>
          <w:p w14:paraId="29B62DFF"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81" w:type="dxa"/>
            <w:shd w:val="clear" w:color="auto" w:fill="auto"/>
            <w:noWrap/>
            <w:vAlign w:val="bottom"/>
          </w:tcPr>
          <w:p w14:paraId="4D0F5AB7"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267" w:type="dxa"/>
            <w:shd w:val="clear" w:color="auto" w:fill="auto"/>
            <w:noWrap/>
            <w:vAlign w:val="bottom"/>
          </w:tcPr>
          <w:p w14:paraId="6117F878"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41</w:t>
            </w:r>
          </w:p>
        </w:tc>
        <w:tc>
          <w:tcPr>
            <w:tcW w:w="1095" w:type="dxa"/>
            <w:shd w:val="clear" w:color="auto" w:fill="auto"/>
            <w:noWrap/>
            <w:vAlign w:val="bottom"/>
          </w:tcPr>
          <w:p w14:paraId="6FA3F333"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2,5</w:t>
            </w:r>
          </w:p>
        </w:tc>
      </w:tr>
      <w:tr w:rsidR="00753AB8" w:rsidRPr="00A66C9F" w14:paraId="06D0FE70" w14:textId="77777777" w:rsidTr="00107D5D">
        <w:tc>
          <w:tcPr>
            <w:tcW w:w="3785" w:type="dxa"/>
            <w:shd w:val="clear" w:color="auto" w:fill="auto"/>
            <w:vAlign w:val="bottom"/>
            <w:hideMark/>
          </w:tcPr>
          <w:p w14:paraId="7FD3C5AE"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Autorité internationale des fonds marins</w:t>
            </w:r>
          </w:p>
        </w:tc>
        <w:tc>
          <w:tcPr>
            <w:tcW w:w="1180" w:type="dxa"/>
            <w:shd w:val="clear" w:color="auto" w:fill="auto"/>
            <w:vAlign w:val="bottom"/>
            <w:hideMark/>
          </w:tcPr>
          <w:p w14:paraId="7A539653"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42</w:t>
            </w:r>
          </w:p>
        </w:tc>
        <w:tc>
          <w:tcPr>
            <w:tcW w:w="1181" w:type="dxa"/>
            <w:shd w:val="clear" w:color="auto" w:fill="auto"/>
            <w:noWrap/>
            <w:vAlign w:val="bottom"/>
          </w:tcPr>
          <w:p w14:paraId="73BAE091"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w:t>
            </w:r>
          </w:p>
        </w:tc>
        <w:tc>
          <w:tcPr>
            <w:tcW w:w="1181" w:type="dxa"/>
            <w:shd w:val="clear" w:color="auto" w:fill="auto"/>
            <w:noWrap/>
            <w:vAlign w:val="bottom"/>
          </w:tcPr>
          <w:p w14:paraId="63460299"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w:t>
            </w:r>
          </w:p>
        </w:tc>
        <w:tc>
          <w:tcPr>
            <w:tcW w:w="1181" w:type="dxa"/>
            <w:shd w:val="clear" w:color="auto" w:fill="auto"/>
            <w:noWrap/>
            <w:vAlign w:val="bottom"/>
          </w:tcPr>
          <w:p w14:paraId="0FDEA564"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w:t>
            </w:r>
          </w:p>
        </w:tc>
        <w:tc>
          <w:tcPr>
            <w:tcW w:w="1181" w:type="dxa"/>
            <w:shd w:val="clear" w:color="auto" w:fill="auto"/>
            <w:noWrap/>
            <w:vAlign w:val="bottom"/>
          </w:tcPr>
          <w:p w14:paraId="6B7B9FD4"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6</w:t>
            </w:r>
          </w:p>
        </w:tc>
        <w:tc>
          <w:tcPr>
            <w:tcW w:w="1181" w:type="dxa"/>
            <w:shd w:val="clear" w:color="auto" w:fill="auto"/>
            <w:noWrap/>
            <w:vAlign w:val="bottom"/>
          </w:tcPr>
          <w:p w14:paraId="00AF7231"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267" w:type="dxa"/>
            <w:shd w:val="clear" w:color="auto" w:fill="auto"/>
            <w:noWrap/>
            <w:vAlign w:val="bottom"/>
          </w:tcPr>
          <w:p w14:paraId="65BC841C"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43</w:t>
            </w:r>
          </w:p>
        </w:tc>
        <w:tc>
          <w:tcPr>
            <w:tcW w:w="1095" w:type="dxa"/>
            <w:shd w:val="clear" w:color="auto" w:fill="auto"/>
            <w:noWrap/>
            <w:vAlign w:val="bottom"/>
          </w:tcPr>
          <w:p w14:paraId="0C251CDD"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2,4</w:t>
            </w:r>
          </w:p>
        </w:tc>
      </w:tr>
      <w:tr w:rsidR="00753AB8" w:rsidRPr="00A66C9F" w14:paraId="75E65A06" w14:textId="77777777" w:rsidTr="00107D5D">
        <w:tc>
          <w:tcPr>
            <w:tcW w:w="3785" w:type="dxa"/>
            <w:shd w:val="clear" w:color="auto" w:fill="auto"/>
            <w:vAlign w:val="bottom"/>
            <w:hideMark/>
          </w:tcPr>
          <w:p w14:paraId="1ABDD25A"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lastRenderedPageBreak/>
              <w:t>Organisation des Nations Unies pour le développement industriel</w:t>
            </w:r>
          </w:p>
        </w:tc>
        <w:tc>
          <w:tcPr>
            <w:tcW w:w="1180" w:type="dxa"/>
            <w:shd w:val="clear" w:color="auto" w:fill="auto"/>
            <w:vAlign w:val="bottom"/>
            <w:hideMark/>
          </w:tcPr>
          <w:p w14:paraId="7F3B7AFE"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698</w:t>
            </w:r>
          </w:p>
        </w:tc>
        <w:tc>
          <w:tcPr>
            <w:tcW w:w="1181" w:type="dxa"/>
            <w:shd w:val="clear" w:color="auto" w:fill="auto"/>
            <w:noWrap/>
            <w:vAlign w:val="bottom"/>
          </w:tcPr>
          <w:p w14:paraId="27EA5A3C"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40</w:t>
            </w:r>
          </w:p>
        </w:tc>
        <w:tc>
          <w:tcPr>
            <w:tcW w:w="1181" w:type="dxa"/>
            <w:shd w:val="clear" w:color="auto" w:fill="auto"/>
            <w:noWrap/>
            <w:vAlign w:val="bottom"/>
          </w:tcPr>
          <w:p w14:paraId="6494824B"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w:t>
            </w:r>
          </w:p>
        </w:tc>
        <w:tc>
          <w:tcPr>
            <w:tcW w:w="1181" w:type="dxa"/>
            <w:shd w:val="clear" w:color="auto" w:fill="auto"/>
            <w:noWrap/>
            <w:vAlign w:val="bottom"/>
          </w:tcPr>
          <w:p w14:paraId="30575090"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7</w:t>
            </w:r>
          </w:p>
        </w:tc>
        <w:tc>
          <w:tcPr>
            <w:tcW w:w="1181" w:type="dxa"/>
            <w:shd w:val="clear" w:color="auto" w:fill="auto"/>
            <w:noWrap/>
            <w:vAlign w:val="bottom"/>
          </w:tcPr>
          <w:p w14:paraId="20BA6B92"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22</w:t>
            </w:r>
          </w:p>
        </w:tc>
        <w:tc>
          <w:tcPr>
            <w:tcW w:w="1181" w:type="dxa"/>
            <w:shd w:val="clear" w:color="auto" w:fill="auto"/>
            <w:noWrap/>
            <w:vAlign w:val="bottom"/>
          </w:tcPr>
          <w:p w14:paraId="2ABD8FEA"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w:t>
            </w:r>
          </w:p>
        </w:tc>
        <w:tc>
          <w:tcPr>
            <w:tcW w:w="1267" w:type="dxa"/>
            <w:shd w:val="clear" w:color="auto" w:fill="auto"/>
            <w:noWrap/>
            <w:vAlign w:val="bottom"/>
          </w:tcPr>
          <w:p w14:paraId="4546CF9C"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712</w:t>
            </w:r>
          </w:p>
        </w:tc>
        <w:tc>
          <w:tcPr>
            <w:tcW w:w="1095" w:type="dxa"/>
            <w:shd w:val="clear" w:color="auto" w:fill="auto"/>
            <w:noWrap/>
            <w:vAlign w:val="bottom"/>
          </w:tcPr>
          <w:p w14:paraId="48977813"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2,0</w:t>
            </w:r>
          </w:p>
        </w:tc>
      </w:tr>
      <w:tr w:rsidR="00753AB8" w:rsidRPr="00A66C9F" w14:paraId="717F059D" w14:textId="77777777" w:rsidTr="00107D5D">
        <w:tc>
          <w:tcPr>
            <w:tcW w:w="3785" w:type="dxa"/>
            <w:shd w:val="clear" w:color="auto" w:fill="auto"/>
            <w:vAlign w:val="bottom"/>
            <w:hideMark/>
          </w:tcPr>
          <w:p w14:paraId="21189251"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Cour pénale internationale</w:t>
            </w:r>
          </w:p>
        </w:tc>
        <w:tc>
          <w:tcPr>
            <w:tcW w:w="1180" w:type="dxa"/>
            <w:shd w:val="clear" w:color="auto" w:fill="auto"/>
            <w:vAlign w:val="bottom"/>
            <w:hideMark/>
          </w:tcPr>
          <w:p w14:paraId="46B1E3E6"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1 225</w:t>
            </w:r>
          </w:p>
        </w:tc>
        <w:tc>
          <w:tcPr>
            <w:tcW w:w="1181" w:type="dxa"/>
            <w:shd w:val="clear" w:color="auto" w:fill="auto"/>
            <w:noWrap/>
            <w:vAlign w:val="bottom"/>
          </w:tcPr>
          <w:p w14:paraId="3180CA6B"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73</w:t>
            </w:r>
          </w:p>
        </w:tc>
        <w:tc>
          <w:tcPr>
            <w:tcW w:w="1181" w:type="dxa"/>
            <w:shd w:val="clear" w:color="auto" w:fill="auto"/>
            <w:noWrap/>
            <w:vAlign w:val="bottom"/>
          </w:tcPr>
          <w:p w14:paraId="34E238DF"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12</w:t>
            </w:r>
          </w:p>
        </w:tc>
        <w:tc>
          <w:tcPr>
            <w:tcW w:w="1181" w:type="dxa"/>
            <w:shd w:val="clear" w:color="auto" w:fill="auto"/>
            <w:noWrap/>
            <w:vAlign w:val="bottom"/>
          </w:tcPr>
          <w:p w14:paraId="65ACA038"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24</w:t>
            </w:r>
          </w:p>
        </w:tc>
        <w:tc>
          <w:tcPr>
            <w:tcW w:w="1181" w:type="dxa"/>
            <w:shd w:val="clear" w:color="auto" w:fill="auto"/>
            <w:noWrap/>
            <w:vAlign w:val="bottom"/>
          </w:tcPr>
          <w:p w14:paraId="2A8B830D"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54</w:t>
            </w:r>
          </w:p>
        </w:tc>
        <w:tc>
          <w:tcPr>
            <w:tcW w:w="1181" w:type="dxa"/>
            <w:shd w:val="clear" w:color="auto" w:fill="auto"/>
            <w:noWrap/>
            <w:vAlign w:val="bottom"/>
          </w:tcPr>
          <w:p w14:paraId="452F431E"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w:t>
            </w:r>
          </w:p>
        </w:tc>
        <w:tc>
          <w:tcPr>
            <w:tcW w:w="1267" w:type="dxa"/>
            <w:shd w:val="clear" w:color="auto" w:fill="auto"/>
            <w:noWrap/>
            <w:vAlign w:val="bottom"/>
          </w:tcPr>
          <w:p w14:paraId="412EB4FC"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1 230</w:t>
            </w:r>
          </w:p>
        </w:tc>
        <w:tc>
          <w:tcPr>
            <w:tcW w:w="1095" w:type="dxa"/>
            <w:shd w:val="clear" w:color="auto" w:fill="auto"/>
            <w:noWrap/>
            <w:vAlign w:val="bottom"/>
          </w:tcPr>
          <w:p w14:paraId="37E1EE48"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0,4</w:t>
            </w:r>
          </w:p>
        </w:tc>
      </w:tr>
      <w:tr w:rsidR="00753AB8" w:rsidRPr="00A66C9F" w14:paraId="482EBBA9" w14:textId="77777777" w:rsidTr="00107D5D">
        <w:tc>
          <w:tcPr>
            <w:tcW w:w="3785" w:type="dxa"/>
            <w:shd w:val="clear" w:color="auto" w:fill="auto"/>
            <w:vAlign w:val="bottom"/>
          </w:tcPr>
          <w:p w14:paraId="3107407D"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Union interparlementaire</w:t>
            </w:r>
          </w:p>
        </w:tc>
        <w:tc>
          <w:tcPr>
            <w:tcW w:w="1180" w:type="dxa"/>
            <w:shd w:val="clear" w:color="auto" w:fill="auto"/>
            <w:vAlign w:val="bottom"/>
          </w:tcPr>
          <w:p w14:paraId="7E41B6FA"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48</w:t>
            </w:r>
          </w:p>
        </w:tc>
        <w:tc>
          <w:tcPr>
            <w:tcW w:w="1181" w:type="dxa"/>
            <w:shd w:val="clear" w:color="auto" w:fill="auto"/>
            <w:noWrap/>
            <w:vAlign w:val="bottom"/>
          </w:tcPr>
          <w:p w14:paraId="3A157E2C"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w:t>
            </w:r>
          </w:p>
        </w:tc>
        <w:tc>
          <w:tcPr>
            <w:tcW w:w="1181" w:type="dxa"/>
            <w:shd w:val="clear" w:color="auto" w:fill="auto"/>
            <w:noWrap/>
            <w:vAlign w:val="bottom"/>
          </w:tcPr>
          <w:p w14:paraId="65962072"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181" w:type="dxa"/>
            <w:shd w:val="clear" w:color="auto" w:fill="auto"/>
            <w:noWrap/>
            <w:vAlign w:val="bottom"/>
          </w:tcPr>
          <w:p w14:paraId="4B6793AC"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w:t>
            </w:r>
          </w:p>
        </w:tc>
        <w:tc>
          <w:tcPr>
            <w:tcW w:w="1181" w:type="dxa"/>
            <w:shd w:val="clear" w:color="auto" w:fill="auto"/>
            <w:noWrap/>
            <w:vAlign w:val="bottom"/>
          </w:tcPr>
          <w:p w14:paraId="5F991AA7"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w:t>
            </w:r>
          </w:p>
        </w:tc>
        <w:tc>
          <w:tcPr>
            <w:tcW w:w="1181" w:type="dxa"/>
            <w:shd w:val="clear" w:color="auto" w:fill="auto"/>
            <w:noWrap/>
            <w:vAlign w:val="bottom"/>
          </w:tcPr>
          <w:p w14:paraId="0FA06B76"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267" w:type="dxa"/>
            <w:shd w:val="clear" w:color="auto" w:fill="auto"/>
            <w:noWrap/>
            <w:vAlign w:val="bottom"/>
          </w:tcPr>
          <w:p w14:paraId="18474BD6"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47</w:t>
            </w:r>
          </w:p>
        </w:tc>
        <w:tc>
          <w:tcPr>
            <w:tcW w:w="1095" w:type="dxa"/>
            <w:shd w:val="clear" w:color="auto" w:fill="auto"/>
            <w:noWrap/>
            <w:vAlign w:val="bottom"/>
          </w:tcPr>
          <w:p w14:paraId="02350C8A"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(2,1)</w:t>
            </w:r>
          </w:p>
        </w:tc>
      </w:tr>
      <w:tr w:rsidR="00753AB8" w:rsidRPr="00A66C9F" w14:paraId="18E1177D" w14:textId="77777777" w:rsidTr="00107D5D">
        <w:tc>
          <w:tcPr>
            <w:tcW w:w="3785" w:type="dxa"/>
            <w:shd w:val="clear" w:color="auto" w:fill="auto"/>
            <w:vAlign w:val="bottom"/>
            <w:hideMark/>
          </w:tcPr>
          <w:p w14:paraId="43E21EB5"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Organisation internationale pour les migrations</w:t>
            </w:r>
          </w:p>
        </w:tc>
        <w:tc>
          <w:tcPr>
            <w:tcW w:w="1180" w:type="dxa"/>
            <w:shd w:val="clear" w:color="auto" w:fill="auto"/>
            <w:vAlign w:val="bottom"/>
            <w:hideMark/>
          </w:tcPr>
          <w:p w14:paraId="54C0EE34"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5 951</w:t>
            </w:r>
          </w:p>
        </w:tc>
        <w:tc>
          <w:tcPr>
            <w:tcW w:w="1181" w:type="dxa"/>
            <w:shd w:val="clear" w:color="auto" w:fill="auto"/>
            <w:noWrap/>
            <w:vAlign w:val="bottom"/>
          </w:tcPr>
          <w:p w14:paraId="087F22AD"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1 323</w:t>
            </w:r>
          </w:p>
        </w:tc>
        <w:tc>
          <w:tcPr>
            <w:tcW w:w="1181" w:type="dxa"/>
            <w:shd w:val="clear" w:color="auto" w:fill="auto"/>
            <w:noWrap/>
            <w:vAlign w:val="bottom"/>
          </w:tcPr>
          <w:p w14:paraId="1061FBE6"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27</w:t>
            </w:r>
          </w:p>
        </w:tc>
        <w:tc>
          <w:tcPr>
            <w:tcW w:w="1181" w:type="dxa"/>
            <w:shd w:val="clear" w:color="auto" w:fill="auto"/>
            <w:noWrap/>
            <w:vAlign w:val="bottom"/>
          </w:tcPr>
          <w:p w14:paraId="1A09711C"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45</w:t>
            </w:r>
          </w:p>
        </w:tc>
        <w:tc>
          <w:tcPr>
            <w:tcW w:w="1181" w:type="dxa"/>
            <w:shd w:val="clear" w:color="auto" w:fill="auto"/>
            <w:noWrap/>
            <w:vAlign w:val="bottom"/>
          </w:tcPr>
          <w:p w14:paraId="77450EBE"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346</w:t>
            </w:r>
          </w:p>
        </w:tc>
        <w:tc>
          <w:tcPr>
            <w:tcW w:w="1181" w:type="dxa"/>
            <w:shd w:val="clear" w:color="auto" w:fill="auto"/>
            <w:noWrap/>
            <w:vAlign w:val="bottom"/>
          </w:tcPr>
          <w:p w14:paraId="2F538B7B"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13</w:t>
            </w:r>
          </w:p>
        </w:tc>
        <w:tc>
          <w:tcPr>
            <w:tcW w:w="1267" w:type="dxa"/>
            <w:shd w:val="clear" w:color="auto" w:fill="auto"/>
            <w:noWrap/>
            <w:vAlign w:val="bottom"/>
          </w:tcPr>
          <w:p w14:paraId="331ABC49"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6 897</w:t>
            </w:r>
          </w:p>
        </w:tc>
        <w:tc>
          <w:tcPr>
            <w:tcW w:w="1095" w:type="dxa"/>
            <w:shd w:val="clear" w:color="auto" w:fill="auto"/>
            <w:noWrap/>
            <w:vAlign w:val="bottom"/>
          </w:tcPr>
          <w:p w14:paraId="23B604C1"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15,9</w:t>
            </w:r>
          </w:p>
        </w:tc>
      </w:tr>
      <w:tr w:rsidR="00753AB8" w:rsidRPr="00A66C9F" w14:paraId="13E9D970" w14:textId="77777777" w:rsidTr="00107D5D">
        <w:tc>
          <w:tcPr>
            <w:tcW w:w="3785" w:type="dxa"/>
            <w:shd w:val="clear" w:color="auto" w:fill="auto"/>
            <w:vAlign w:val="bottom"/>
            <w:hideMark/>
          </w:tcPr>
          <w:p w14:paraId="0E4ED2CE"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Tribunal spécial pour le Liban</w:t>
            </w:r>
          </w:p>
        </w:tc>
        <w:tc>
          <w:tcPr>
            <w:tcW w:w="1180" w:type="dxa"/>
            <w:shd w:val="clear" w:color="auto" w:fill="auto"/>
            <w:vAlign w:val="bottom"/>
            <w:hideMark/>
          </w:tcPr>
          <w:p w14:paraId="00F9EBC0"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438</w:t>
            </w:r>
          </w:p>
        </w:tc>
        <w:tc>
          <w:tcPr>
            <w:tcW w:w="1181" w:type="dxa"/>
            <w:shd w:val="clear" w:color="auto" w:fill="auto"/>
            <w:noWrap/>
            <w:vAlign w:val="bottom"/>
          </w:tcPr>
          <w:p w14:paraId="0ED5E019"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34</w:t>
            </w:r>
          </w:p>
        </w:tc>
        <w:tc>
          <w:tcPr>
            <w:tcW w:w="1181" w:type="dxa"/>
            <w:shd w:val="clear" w:color="auto" w:fill="auto"/>
            <w:noWrap/>
            <w:vAlign w:val="bottom"/>
          </w:tcPr>
          <w:p w14:paraId="3E02CD2A"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18</w:t>
            </w:r>
          </w:p>
        </w:tc>
        <w:tc>
          <w:tcPr>
            <w:tcW w:w="1181" w:type="dxa"/>
            <w:shd w:val="clear" w:color="auto" w:fill="auto"/>
            <w:noWrap/>
            <w:vAlign w:val="bottom"/>
          </w:tcPr>
          <w:p w14:paraId="0C859E70"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17</w:t>
            </w:r>
          </w:p>
        </w:tc>
        <w:tc>
          <w:tcPr>
            <w:tcW w:w="1181" w:type="dxa"/>
            <w:shd w:val="clear" w:color="auto" w:fill="auto"/>
            <w:noWrap/>
            <w:vAlign w:val="bottom"/>
          </w:tcPr>
          <w:p w14:paraId="7D1BE622"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24</w:t>
            </w:r>
          </w:p>
        </w:tc>
        <w:tc>
          <w:tcPr>
            <w:tcW w:w="1181" w:type="dxa"/>
            <w:shd w:val="clear" w:color="auto" w:fill="auto"/>
            <w:noWrap/>
            <w:vAlign w:val="bottom"/>
          </w:tcPr>
          <w:p w14:paraId="32589014"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1267" w:type="dxa"/>
            <w:shd w:val="clear" w:color="auto" w:fill="auto"/>
            <w:noWrap/>
            <w:vAlign w:val="bottom"/>
          </w:tcPr>
          <w:p w14:paraId="0A9C0E22"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449</w:t>
            </w:r>
          </w:p>
        </w:tc>
        <w:tc>
          <w:tcPr>
            <w:tcW w:w="1095" w:type="dxa"/>
            <w:shd w:val="clear" w:color="auto" w:fill="auto"/>
            <w:noWrap/>
            <w:vAlign w:val="bottom"/>
          </w:tcPr>
          <w:p w14:paraId="1FD6F10A"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2,5</w:t>
            </w:r>
          </w:p>
        </w:tc>
      </w:tr>
      <w:tr w:rsidR="00753AB8" w:rsidRPr="00A66C9F" w14:paraId="3F492E66" w14:textId="77777777" w:rsidTr="00107D5D">
        <w:tc>
          <w:tcPr>
            <w:tcW w:w="3785" w:type="dxa"/>
            <w:tcBorders>
              <w:bottom w:val="single" w:sz="4" w:space="0" w:color="auto"/>
            </w:tcBorders>
            <w:shd w:val="clear" w:color="auto" w:fill="auto"/>
            <w:vAlign w:val="bottom"/>
            <w:hideMark/>
          </w:tcPr>
          <w:p w14:paraId="0D475823" w14:textId="77777777" w:rsidR="00753AB8" w:rsidRPr="00A66C9F" w:rsidRDefault="00753AB8" w:rsidP="00107D5D">
            <w:pPr>
              <w:tabs>
                <w:tab w:val="left" w:pos="288"/>
                <w:tab w:val="left" w:pos="576"/>
                <w:tab w:val="left" w:pos="864"/>
                <w:tab w:val="left" w:pos="1152"/>
              </w:tabs>
              <w:suppressAutoHyphens/>
              <w:spacing w:before="40" w:after="81" w:line="210" w:lineRule="exact"/>
              <w:ind w:right="40"/>
              <w:rPr>
                <w:sz w:val="17"/>
                <w:lang w:val="fr-FR"/>
              </w:rPr>
            </w:pPr>
            <w:r w:rsidRPr="00A66C9F">
              <w:rPr>
                <w:sz w:val="17"/>
                <w:lang w:val="fr-FR"/>
              </w:rPr>
              <w:t>Organisation du Traité d’interdiction complète des essais nucléaires</w:t>
            </w:r>
          </w:p>
        </w:tc>
        <w:tc>
          <w:tcPr>
            <w:tcW w:w="1180" w:type="dxa"/>
            <w:tcBorders>
              <w:bottom w:val="single" w:sz="4" w:space="0" w:color="auto"/>
            </w:tcBorders>
            <w:shd w:val="clear" w:color="auto" w:fill="auto"/>
            <w:vAlign w:val="bottom"/>
            <w:hideMark/>
          </w:tcPr>
          <w:p w14:paraId="050CDDE8" w14:textId="77777777" w:rsidR="00753AB8" w:rsidRPr="00A66C9F" w:rsidRDefault="00753AB8"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w:t>
            </w:r>
          </w:p>
        </w:tc>
        <w:tc>
          <w:tcPr>
            <w:tcW w:w="1181" w:type="dxa"/>
            <w:tcBorders>
              <w:bottom w:val="single" w:sz="4" w:space="0" w:color="auto"/>
            </w:tcBorders>
            <w:shd w:val="clear" w:color="auto" w:fill="auto"/>
            <w:noWrap/>
            <w:vAlign w:val="bottom"/>
          </w:tcPr>
          <w:p w14:paraId="59A9C0AE" w14:textId="77777777" w:rsidR="00753AB8" w:rsidRPr="00A66C9F" w:rsidRDefault="00753AB8"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285</w:t>
            </w:r>
          </w:p>
        </w:tc>
        <w:tc>
          <w:tcPr>
            <w:tcW w:w="1181" w:type="dxa"/>
            <w:tcBorders>
              <w:bottom w:val="single" w:sz="4" w:space="0" w:color="auto"/>
            </w:tcBorders>
            <w:shd w:val="clear" w:color="auto" w:fill="auto"/>
            <w:noWrap/>
            <w:vAlign w:val="bottom"/>
          </w:tcPr>
          <w:p w14:paraId="6051C447" w14:textId="77777777" w:rsidR="00753AB8" w:rsidRPr="00A66C9F" w:rsidRDefault="00753AB8"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15</w:t>
            </w:r>
          </w:p>
        </w:tc>
        <w:tc>
          <w:tcPr>
            <w:tcW w:w="1181" w:type="dxa"/>
            <w:tcBorders>
              <w:bottom w:val="single" w:sz="4" w:space="0" w:color="auto"/>
            </w:tcBorders>
            <w:shd w:val="clear" w:color="auto" w:fill="auto"/>
            <w:noWrap/>
            <w:vAlign w:val="bottom"/>
          </w:tcPr>
          <w:p w14:paraId="3BE3B54E" w14:textId="77777777" w:rsidR="00753AB8" w:rsidRPr="00A66C9F" w:rsidRDefault="00753AB8"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w:t>
            </w:r>
          </w:p>
        </w:tc>
        <w:tc>
          <w:tcPr>
            <w:tcW w:w="1181" w:type="dxa"/>
            <w:tcBorders>
              <w:bottom w:val="single" w:sz="4" w:space="0" w:color="auto"/>
            </w:tcBorders>
            <w:shd w:val="clear" w:color="auto" w:fill="auto"/>
            <w:noWrap/>
            <w:vAlign w:val="bottom"/>
          </w:tcPr>
          <w:p w14:paraId="29AF3F30" w14:textId="77777777" w:rsidR="00753AB8" w:rsidRPr="00A66C9F" w:rsidRDefault="00753AB8"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2</w:t>
            </w:r>
          </w:p>
        </w:tc>
        <w:tc>
          <w:tcPr>
            <w:tcW w:w="1181" w:type="dxa"/>
            <w:tcBorders>
              <w:bottom w:val="single" w:sz="4" w:space="0" w:color="auto"/>
            </w:tcBorders>
            <w:shd w:val="clear" w:color="auto" w:fill="auto"/>
            <w:noWrap/>
            <w:vAlign w:val="bottom"/>
          </w:tcPr>
          <w:p w14:paraId="4317E3B6" w14:textId="77777777" w:rsidR="00753AB8" w:rsidRPr="00A66C9F" w:rsidRDefault="00753AB8"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(2)</w:t>
            </w:r>
          </w:p>
        </w:tc>
        <w:tc>
          <w:tcPr>
            <w:tcW w:w="1267" w:type="dxa"/>
            <w:tcBorders>
              <w:bottom w:val="single" w:sz="4" w:space="0" w:color="auto"/>
            </w:tcBorders>
            <w:shd w:val="clear" w:color="auto" w:fill="auto"/>
            <w:noWrap/>
            <w:vAlign w:val="bottom"/>
          </w:tcPr>
          <w:p w14:paraId="06879DB4" w14:textId="77777777" w:rsidR="00753AB8" w:rsidRPr="00A66C9F" w:rsidRDefault="00753AB8"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300</w:t>
            </w:r>
          </w:p>
        </w:tc>
        <w:tc>
          <w:tcPr>
            <w:tcW w:w="1095" w:type="dxa"/>
            <w:tcBorders>
              <w:bottom w:val="single" w:sz="4" w:space="0" w:color="auto"/>
            </w:tcBorders>
            <w:shd w:val="clear" w:color="auto" w:fill="auto"/>
            <w:noWrap/>
            <w:vAlign w:val="bottom"/>
          </w:tcPr>
          <w:p w14:paraId="1BB9BB0A" w14:textId="77777777" w:rsidR="00753AB8" w:rsidRPr="00A66C9F" w:rsidRDefault="00753AB8"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Non applicable</w:t>
            </w:r>
          </w:p>
        </w:tc>
      </w:tr>
      <w:tr w:rsidR="00753AB8" w:rsidRPr="00A66C9F" w14:paraId="69978E40" w14:textId="77777777" w:rsidTr="00107D5D">
        <w:tc>
          <w:tcPr>
            <w:tcW w:w="3785" w:type="dxa"/>
            <w:tcBorders>
              <w:top w:val="single" w:sz="4" w:space="0" w:color="auto"/>
              <w:bottom w:val="single" w:sz="12" w:space="0" w:color="auto"/>
            </w:tcBorders>
            <w:shd w:val="clear" w:color="auto" w:fill="auto"/>
            <w:noWrap/>
            <w:vAlign w:val="bottom"/>
            <w:hideMark/>
          </w:tcPr>
          <w:p w14:paraId="7585C8A2" w14:textId="77777777" w:rsidR="00753AB8" w:rsidRPr="00A66C9F" w:rsidRDefault="00753AB8" w:rsidP="00107D5D">
            <w:pPr>
              <w:tabs>
                <w:tab w:val="left" w:pos="288"/>
                <w:tab w:val="left" w:pos="576"/>
                <w:tab w:val="left" w:pos="864"/>
                <w:tab w:val="left" w:pos="1152"/>
              </w:tabs>
              <w:suppressAutoHyphens/>
              <w:spacing w:before="81" w:after="81" w:line="210" w:lineRule="exact"/>
              <w:ind w:right="40"/>
              <w:rPr>
                <w:b/>
                <w:sz w:val="17"/>
                <w:lang w:val="fr-FR"/>
              </w:rPr>
            </w:pPr>
            <w:r w:rsidRPr="00A66C9F">
              <w:rPr>
                <w:b/>
                <w:sz w:val="17"/>
                <w:lang w:val="fr-FR"/>
              </w:rPr>
              <w:tab/>
              <w:t>Total</w:t>
            </w:r>
          </w:p>
        </w:tc>
        <w:tc>
          <w:tcPr>
            <w:tcW w:w="1180" w:type="dxa"/>
            <w:tcBorders>
              <w:top w:val="single" w:sz="4" w:space="0" w:color="auto"/>
              <w:bottom w:val="single" w:sz="12" w:space="0" w:color="auto"/>
            </w:tcBorders>
            <w:shd w:val="clear" w:color="auto" w:fill="auto"/>
            <w:noWrap/>
            <w:vAlign w:val="bottom"/>
            <w:hideMark/>
          </w:tcPr>
          <w:p w14:paraId="286ED6EE" w14:textId="77777777" w:rsidR="00753AB8" w:rsidRPr="00A66C9F" w:rsidRDefault="00753AB8"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128 594</w:t>
            </w:r>
          </w:p>
        </w:tc>
        <w:tc>
          <w:tcPr>
            <w:tcW w:w="1181" w:type="dxa"/>
            <w:tcBorders>
              <w:top w:val="single" w:sz="4" w:space="0" w:color="auto"/>
              <w:bottom w:val="single" w:sz="12" w:space="0" w:color="auto"/>
            </w:tcBorders>
            <w:shd w:val="clear" w:color="auto" w:fill="auto"/>
            <w:noWrap/>
            <w:vAlign w:val="bottom"/>
          </w:tcPr>
          <w:p w14:paraId="3F38277A" w14:textId="77777777" w:rsidR="00753AB8" w:rsidRPr="00A66C9F" w:rsidRDefault="00753AB8"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12 713</w:t>
            </w:r>
          </w:p>
        </w:tc>
        <w:tc>
          <w:tcPr>
            <w:tcW w:w="1181" w:type="dxa"/>
            <w:tcBorders>
              <w:top w:val="single" w:sz="4" w:space="0" w:color="auto"/>
              <w:bottom w:val="single" w:sz="12" w:space="0" w:color="auto"/>
            </w:tcBorders>
            <w:shd w:val="clear" w:color="auto" w:fill="auto"/>
            <w:noWrap/>
            <w:vAlign w:val="bottom"/>
          </w:tcPr>
          <w:p w14:paraId="684F43F1" w14:textId="77777777" w:rsidR="00753AB8" w:rsidRPr="00A66C9F" w:rsidRDefault="00753AB8"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614</w:t>
            </w:r>
          </w:p>
        </w:tc>
        <w:tc>
          <w:tcPr>
            <w:tcW w:w="1181" w:type="dxa"/>
            <w:tcBorders>
              <w:top w:val="single" w:sz="4" w:space="0" w:color="auto"/>
              <w:bottom w:val="single" w:sz="12" w:space="0" w:color="auto"/>
            </w:tcBorders>
            <w:shd w:val="clear" w:color="auto" w:fill="auto"/>
            <w:noWrap/>
            <w:vAlign w:val="bottom"/>
          </w:tcPr>
          <w:p w14:paraId="43EE5F79" w14:textId="77777777" w:rsidR="00753AB8" w:rsidRPr="00A66C9F" w:rsidRDefault="00753AB8"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614</w:t>
            </w:r>
          </w:p>
        </w:tc>
        <w:tc>
          <w:tcPr>
            <w:tcW w:w="1181" w:type="dxa"/>
            <w:tcBorders>
              <w:top w:val="single" w:sz="4" w:space="0" w:color="auto"/>
              <w:bottom w:val="single" w:sz="12" w:space="0" w:color="auto"/>
            </w:tcBorders>
            <w:shd w:val="clear" w:color="auto" w:fill="auto"/>
            <w:noWrap/>
            <w:vAlign w:val="bottom"/>
          </w:tcPr>
          <w:p w14:paraId="2AD18684" w14:textId="77777777" w:rsidR="00753AB8" w:rsidRPr="00A66C9F" w:rsidRDefault="00753AB8"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9 175</w:t>
            </w:r>
          </w:p>
        </w:tc>
        <w:tc>
          <w:tcPr>
            <w:tcW w:w="1181" w:type="dxa"/>
            <w:tcBorders>
              <w:top w:val="single" w:sz="4" w:space="0" w:color="auto"/>
              <w:bottom w:val="single" w:sz="12" w:space="0" w:color="auto"/>
            </w:tcBorders>
            <w:shd w:val="clear" w:color="auto" w:fill="auto"/>
            <w:noWrap/>
            <w:vAlign w:val="bottom"/>
          </w:tcPr>
          <w:p w14:paraId="43223C76" w14:textId="77777777" w:rsidR="00753AB8" w:rsidRPr="00A66C9F" w:rsidRDefault="00753AB8"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549</w:t>
            </w:r>
          </w:p>
        </w:tc>
        <w:tc>
          <w:tcPr>
            <w:tcW w:w="1267" w:type="dxa"/>
            <w:tcBorders>
              <w:top w:val="single" w:sz="4" w:space="0" w:color="auto"/>
              <w:bottom w:val="single" w:sz="12" w:space="0" w:color="auto"/>
            </w:tcBorders>
            <w:shd w:val="clear" w:color="auto" w:fill="auto"/>
            <w:noWrap/>
            <w:vAlign w:val="bottom"/>
          </w:tcPr>
          <w:p w14:paraId="137651C9" w14:textId="77777777" w:rsidR="00753AB8" w:rsidRPr="00A66C9F" w:rsidRDefault="00753AB8"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131 583</w:t>
            </w:r>
          </w:p>
        </w:tc>
        <w:tc>
          <w:tcPr>
            <w:tcW w:w="1095" w:type="dxa"/>
            <w:tcBorders>
              <w:top w:val="single" w:sz="4" w:space="0" w:color="auto"/>
              <w:bottom w:val="single" w:sz="12" w:space="0" w:color="auto"/>
            </w:tcBorders>
            <w:shd w:val="clear" w:color="auto" w:fill="auto"/>
            <w:noWrap/>
            <w:vAlign w:val="bottom"/>
          </w:tcPr>
          <w:p w14:paraId="3D2C5A78" w14:textId="77777777" w:rsidR="00753AB8" w:rsidRPr="00A66C9F" w:rsidRDefault="00753AB8"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2,3</w:t>
            </w:r>
          </w:p>
        </w:tc>
      </w:tr>
      <w:bookmarkEnd w:id="613"/>
    </w:tbl>
    <w:p w14:paraId="76391339" w14:textId="77777777" w:rsidR="00753AB8" w:rsidRPr="00A66C9F" w:rsidRDefault="00753AB8" w:rsidP="00753AB8">
      <w:pPr>
        <w:pStyle w:val="FootnoteText"/>
        <w:tabs>
          <w:tab w:val="right" w:pos="216"/>
          <w:tab w:val="left" w:pos="288"/>
          <w:tab w:val="right" w:pos="576"/>
          <w:tab w:val="left" w:pos="648"/>
        </w:tabs>
        <w:ind w:left="288" w:hanging="288"/>
        <w:rPr>
          <w:lang w:val="fr-FR"/>
        </w:rPr>
      </w:pPr>
    </w:p>
    <w:p w14:paraId="06A37A15" w14:textId="77777777" w:rsidR="00753AB8" w:rsidRPr="00A66C9F" w:rsidRDefault="00753AB8" w:rsidP="00753AB8">
      <w:pPr>
        <w:pStyle w:val="FootnoteText"/>
        <w:tabs>
          <w:tab w:val="right" w:pos="216"/>
          <w:tab w:val="left" w:pos="288"/>
          <w:tab w:val="right" w:pos="576"/>
          <w:tab w:val="left" w:pos="648"/>
        </w:tabs>
        <w:ind w:left="288" w:hanging="288"/>
        <w:rPr>
          <w:lang w:val="fr-FR"/>
        </w:rPr>
      </w:pPr>
      <w:r w:rsidRPr="00A66C9F">
        <w:rPr>
          <w:lang w:val="fr-FR"/>
        </w:rPr>
        <w:tab/>
      </w:r>
      <w:r w:rsidRPr="00A66C9F">
        <w:rPr>
          <w:i/>
          <w:iCs/>
          <w:vertAlign w:val="superscript"/>
          <w:lang w:val="fr-FR"/>
        </w:rPr>
        <w:t>a</w:t>
      </w:r>
      <w:r w:rsidRPr="00A66C9F">
        <w:rPr>
          <w:lang w:val="fr-FR"/>
        </w:rPr>
        <w:tab/>
        <w:t>Les ajustements sont principalement dus aux corrections d’écritures erronées des années précédentes, qui réduisent/(augmentent) les effectifs de 2019. Ils comprennent les ajustements des comptes des participants qui ont été supprimés des soldes de clôture de 2018 en raison d’ajustements de contrats effectués en 2019, ainsi que ceux qui, en 2019, ont été intégrés aux soldes de clôture de 2018 par suite de modifications de contrats.</w:t>
      </w:r>
    </w:p>
    <w:p w14:paraId="488F1B38" w14:textId="77777777" w:rsidR="00753AB8" w:rsidRPr="00A66C9F" w:rsidRDefault="00753AB8" w:rsidP="00753AB8">
      <w:pPr>
        <w:pStyle w:val="FootnoteText"/>
        <w:tabs>
          <w:tab w:val="right" w:pos="216"/>
          <w:tab w:val="left" w:pos="288"/>
          <w:tab w:val="right" w:pos="576"/>
          <w:tab w:val="left" w:pos="648"/>
        </w:tabs>
        <w:ind w:left="288" w:hanging="288"/>
        <w:rPr>
          <w:lang w:val="fr-FR"/>
        </w:rPr>
      </w:pPr>
      <w:r w:rsidRPr="00A66C9F">
        <w:rPr>
          <w:lang w:val="fr-FR"/>
        </w:rPr>
        <w:tab/>
      </w:r>
      <w:r w:rsidRPr="00A66C9F">
        <w:rPr>
          <w:i/>
          <w:iCs/>
          <w:vertAlign w:val="superscript"/>
          <w:lang w:val="fr-FR"/>
        </w:rPr>
        <w:t>b</w:t>
      </w:r>
      <w:r w:rsidRPr="00A66C9F">
        <w:rPr>
          <w:lang w:val="fr-FR"/>
        </w:rPr>
        <w:tab/>
        <w:t>Siège et bureaux régionaux de l’ONU et fonds et programmes des Nations Unies.</w:t>
      </w:r>
    </w:p>
    <w:p w14:paraId="351417E6" w14:textId="77777777" w:rsidR="00753AB8" w:rsidRPr="00A66C9F" w:rsidRDefault="00753AB8" w:rsidP="00753AB8">
      <w:pPr>
        <w:spacing w:after="200" w:line="276" w:lineRule="auto"/>
        <w:rPr>
          <w:lang w:val="fr-FR"/>
        </w:rPr>
      </w:pPr>
      <w:r w:rsidRPr="00A66C9F">
        <w:rPr>
          <w:lang w:val="fr-FR"/>
        </w:rPr>
        <w:br w:type="page"/>
      </w:r>
    </w:p>
    <w:p w14:paraId="5EE5A340" w14:textId="77777777" w:rsidR="00753AB8" w:rsidRPr="00A66C9F" w:rsidRDefault="00753AB8" w:rsidP="00753AB8">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614" w:name="_Toc38529194"/>
      <w:r w:rsidRPr="00A66C9F">
        <w:rPr>
          <w:lang w:val="fr-FR"/>
        </w:rPr>
        <w:lastRenderedPageBreak/>
        <w:t>Tableau 2</w:t>
      </w:r>
    </w:p>
    <w:p w14:paraId="2AB4C025" w14:textId="77777777" w:rsidR="00753AB8" w:rsidRPr="00A66C9F" w:rsidRDefault="00753AB8" w:rsidP="00753A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Prestations servies aux participants ou à leurs bénéficiaires pendant l’année terminée le 31 décembre 2019</w:t>
      </w:r>
      <w:bookmarkStart w:id="615" w:name="OLE_LINK3"/>
      <w:bookmarkStart w:id="616" w:name="OLE_LINK6"/>
      <w:bookmarkEnd w:id="614"/>
    </w:p>
    <w:p w14:paraId="733C0283" w14:textId="77777777" w:rsidR="00753AB8" w:rsidRPr="00A66C9F" w:rsidRDefault="00753AB8" w:rsidP="00753AB8">
      <w:pPr>
        <w:pStyle w:val="SingleTxt"/>
        <w:spacing w:after="0" w:line="120" w:lineRule="exact"/>
        <w:rPr>
          <w:sz w:val="10"/>
          <w:lang w:val="fr-FR"/>
        </w:rPr>
      </w:pPr>
    </w:p>
    <w:p w14:paraId="603948D5" w14:textId="77777777" w:rsidR="00753AB8" w:rsidRPr="00A66C9F" w:rsidRDefault="00753AB8" w:rsidP="00753AB8">
      <w:pPr>
        <w:pStyle w:val="SingleTxt"/>
        <w:spacing w:after="0" w:line="120" w:lineRule="exact"/>
        <w:rPr>
          <w:sz w:val="10"/>
          <w:lang w:val="fr-FR"/>
        </w:rPr>
      </w:pPr>
    </w:p>
    <w:tbl>
      <w:tblPr>
        <w:tblW w:w="4997" w:type="pct"/>
        <w:tblInd w:w="-5" w:type="dxa"/>
        <w:tblLayout w:type="fixed"/>
        <w:tblCellMar>
          <w:left w:w="0" w:type="dxa"/>
          <w:right w:w="0" w:type="dxa"/>
        </w:tblCellMar>
        <w:tblLook w:val="04A0" w:firstRow="1" w:lastRow="0" w:firstColumn="1" w:lastColumn="0" w:noHBand="0" w:noVBand="1"/>
      </w:tblPr>
      <w:tblGrid>
        <w:gridCol w:w="2984"/>
        <w:gridCol w:w="854"/>
        <w:gridCol w:w="855"/>
        <w:gridCol w:w="855"/>
        <w:gridCol w:w="854"/>
        <w:gridCol w:w="855"/>
        <w:gridCol w:w="855"/>
        <w:gridCol w:w="854"/>
        <w:gridCol w:w="855"/>
        <w:gridCol w:w="855"/>
        <w:gridCol w:w="939"/>
        <w:gridCol w:w="909"/>
        <w:gridCol w:w="716"/>
      </w:tblGrid>
      <w:tr w:rsidR="00753AB8" w:rsidRPr="00A66C9F" w14:paraId="4D752F0C" w14:textId="77777777" w:rsidTr="00100F73">
        <w:trPr>
          <w:tblHeader/>
        </w:trPr>
        <w:tc>
          <w:tcPr>
            <w:tcW w:w="2984" w:type="dxa"/>
            <w:vMerge w:val="restart"/>
            <w:tcBorders>
              <w:top w:val="single" w:sz="4" w:space="0" w:color="auto"/>
            </w:tcBorders>
            <w:shd w:val="clear" w:color="auto" w:fill="auto"/>
            <w:noWrap/>
            <w:vAlign w:val="bottom"/>
          </w:tcPr>
          <w:bookmarkEnd w:id="615"/>
          <w:bookmarkEnd w:id="616"/>
          <w:p w14:paraId="10AC0D4A" w14:textId="77777777" w:rsidR="00753AB8" w:rsidRPr="00A66C9F" w:rsidRDefault="00753AB8" w:rsidP="00107D5D">
            <w:pPr>
              <w:suppressAutoHyphens/>
              <w:spacing w:before="81" w:after="81" w:line="160" w:lineRule="exact"/>
              <w:ind w:right="40"/>
              <w:rPr>
                <w:i/>
                <w:sz w:val="14"/>
                <w:lang w:val="fr-FR"/>
              </w:rPr>
            </w:pPr>
            <w:r w:rsidRPr="00A66C9F">
              <w:rPr>
                <w:i/>
                <w:sz w:val="14"/>
                <w:lang w:val="fr-FR"/>
              </w:rPr>
              <w:t>Organisation affiliée</w:t>
            </w:r>
          </w:p>
        </w:tc>
        <w:tc>
          <w:tcPr>
            <w:tcW w:w="10256" w:type="dxa"/>
            <w:gridSpan w:val="12"/>
            <w:tcBorders>
              <w:top w:val="single" w:sz="4" w:space="0" w:color="auto"/>
              <w:bottom w:val="single" w:sz="4" w:space="0" w:color="auto"/>
            </w:tcBorders>
            <w:shd w:val="clear" w:color="auto" w:fill="auto"/>
            <w:noWrap/>
            <w:vAlign w:val="bottom"/>
          </w:tcPr>
          <w:p w14:paraId="338697AA" w14:textId="77777777" w:rsidR="00753AB8" w:rsidRPr="00A66C9F" w:rsidRDefault="00753AB8" w:rsidP="00107D5D">
            <w:pPr>
              <w:suppressAutoHyphens/>
              <w:spacing w:before="81" w:after="81" w:line="160" w:lineRule="exact"/>
              <w:ind w:right="43"/>
              <w:jc w:val="center"/>
              <w:rPr>
                <w:i/>
                <w:sz w:val="14"/>
                <w:lang w:val="fr-FR"/>
              </w:rPr>
            </w:pPr>
            <w:r w:rsidRPr="00A66C9F">
              <w:rPr>
                <w:i/>
                <w:sz w:val="14"/>
                <w:lang w:val="fr-FR"/>
              </w:rPr>
              <w:t>Nombre de prestations versées</w:t>
            </w:r>
          </w:p>
        </w:tc>
      </w:tr>
      <w:tr w:rsidR="00753AB8" w:rsidRPr="00A66C9F" w14:paraId="15A6C43D" w14:textId="77777777" w:rsidTr="00100F73">
        <w:trPr>
          <w:tblHeader/>
        </w:trPr>
        <w:tc>
          <w:tcPr>
            <w:tcW w:w="2984" w:type="dxa"/>
            <w:vMerge/>
            <w:shd w:val="clear" w:color="auto" w:fill="auto"/>
            <w:noWrap/>
            <w:vAlign w:val="bottom"/>
          </w:tcPr>
          <w:p w14:paraId="239AB47B" w14:textId="77777777" w:rsidR="00753AB8" w:rsidRPr="00A66C9F" w:rsidRDefault="00753AB8" w:rsidP="00107D5D">
            <w:pPr>
              <w:suppressAutoHyphens/>
              <w:spacing w:before="81" w:after="81" w:line="160" w:lineRule="exact"/>
              <w:ind w:right="40"/>
              <w:rPr>
                <w:i/>
                <w:sz w:val="14"/>
                <w:lang w:val="fr-FR"/>
              </w:rPr>
            </w:pPr>
          </w:p>
        </w:tc>
        <w:tc>
          <w:tcPr>
            <w:tcW w:w="854" w:type="dxa"/>
            <w:vMerge w:val="restart"/>
            <w:tcBorders>
              <w:top w:val="single" w:sz="4" w:space="0" w:color="auto"/>
            </w:tcBorders>
            <w:shd w:val="clear" w:color="auto" w:fill="auto"/>
            <w:noWrap/>
            <w:vAlign w:val="bottom"/>
          </w:tcPr>
          <w:p w14:paraId="010A935A" w14:textId="77777777" w:rsidR="00753AB8" w:rsidRPr="00A66C9F" w:rsidRDefault="00753AB8" w:rsidP="00107D5D">
            <w:pPr>
              <w:suppressAutoHyphens/>
              <w:spacing w:before="81" w:after="81" w:line="160" w:lineRule="exact"/>
              <w:ind w:right="43"/>
              <w:jc w:val="right"/>
              <w:rPr>
                <w:i/>
                <w:sz w:val="14"/>
                <w:lang w:val="fr-FR"/>
              </w:rPr>
            </w:pPr>
            <w:r w:rsidRPr="00A66C9F">
              <w:rPr>
                <w:i/>
                <w:sz w:val="14"/>
                <w:lang w:val="fr-FR"/>
              </w:rPr>
              <w:t>Pension</w:t>
            </w:r>
            <w:r w:rsidRPr="00A66C9F">
              <w:rPr>
                <w:i/>
                <w:sz w:val="14"/>
                <w:lang w:val="fr-FR"/>
              </w:rPr>
              <w:br/>
              <w:t>de retraite</w:t>
            </w:r>
          </w:p>
        </w:tc>
        <w:tc>
          <w:tcPr>
            <w:tcW w:w="855" w:type="dxa"/>
            <w:vMerge w:val="restart"/>
            <w:tcBorders>
              <w:top w:val="single" w:sz="4" w:space="0" w:color="auto"/>
            </w:tcBorders>
            <w:shd w:val="clear" w:color="auto" w:fill="auto"/>
            <w:noWrap/>
            <w:vAlign w:val="bottom"/>
          </w:tcPr>
          <w:p w14:paraId="0DC38DCF" w14:textId="77777777" w:rsidR="00753AB8" w:rsidRPr="00A66C9F" w:rsidRDefault="00753AB8" w:rsidP="00107D5D">
            <w:pPr>
              <w:suppressAutoHyphens/>
              <w:spacing w:before="81" w:after="81" w:line="160" w:lineRule="exact"/>
              <w:ind w:right="43"/>
              <w:jc w:val="right"/>
              <w:rPr>
                <w:i/>
                <w:sz w:val="14"/>
                <w:lang w:val="fr-FR"/>
              </w:rPr>
            </w:pPr>
            <w:r w:rsidRPr="00A66C9F">
              <w:rPr>
                <w:i/>
                <w:sz w:val="14"/>
                <w:lang w:val="fr-FR"/>
              </w:rPr>
              <w:t>Pension</w:t>
            </w:r>
            <w:r w:rsidRPr="00A66C9F">
              <w:rPr>
                <w:i/>
                <w:sz w:val="14"/>
                <w:lang w:val="fr-FR"/>
              </w:rPr>
              <w:br/>
              <w:t>de retraite anticipée</w:t>
            </w:r>
          </w:p>
        </w:tc>
        <w:tc>
          <w:tcPr>
            <w:tcW w:w="855" w:type="dxa"/>
            <w:vMerge w:val="restart"/>
            <w:tcBorders>
              <w:top w:val="single" w:sz="4" w:space="0" w:color="auto"/>
            </w:tcBorders>
            <w:shd w:val="clear" w:color="auto" w:fill="auto"/>
            <w:noWrap/>
            <w:vAlign w:val="bottom"/>
          </w:tcPr>
          <w:p w14:paraId="2223F4D3" w14:textId="77777777" w:rsidR="00753AB8" w:rsidRPr="00A66C9F" w:rsidRDefault="00753AB8" w:rsidP="00107D5D">
            <w:pPr>
              <w:suppressAutoHyphens/>
              <w:spacing w:before="81" w:after="81" w:line="160" w:lineRule="exact"/>
              <w:ind w:right="43"/>
              <w:jc w:val="right"/>
              <w:rPr>
                <w:i/>
                <w:sz w:val="14"/>
                <w:lang w:val="fr-FR"/>
              </w:rPr>
            </w:pPr>
            <w:r w:rsidRPr="00A66C9F">
              <w:rPr>
                <w:i/>
                <w:sz w:val="14"/>
                <w:lang w:val="fr-FR"/>
              </w:rPr>
              <w:t>Pension</w:t>
            </w:r>
            <w:r w:rsidRPr="00A66C9F">
              <w:rPr>
                <w:i/>
                <w:sz w:val="14"/>
                <w:lang w:val="fr-FR"/>
              </w:rPr>
              <w:br/>
              <w:t>de retraite différée</w:t>
            </w:r>
          </w:p>
        </w:tc>
        <w:tc>
          <w:tcPr>
            <w:tcW w:w="1709" w:type="dxa"/>
            <w:gridSpan w:val="2"/>
            <w:tcBorders>
              <w:top w:val="single" w:sz="4" w:space="0" w:color="auto"/>
              <w:bottom w:val="single" w:sz="4" w:space="0" w:color="auto"/>
            </w:tcBorders>
            <w:shd w:val="clear" w:color="auto" w:fill="auto"/>
            <w:noWrap/>
            <w:vAlign w:val="bottom"/>
          </w:tcPr>
          <w:p w14:paraId="58741197" w14:textId="77777777" w:rsidR="00753AB8" w:rsidRPr="00A66C9F" w:rsidRDefault="00753AB8" w:rsidP="00107D5D">
            <w:pPr>
              <w:suppressAutoHyphens/>
              <w:spacing w:before="81" w:after="81" w:line="160" w:lineRule="exact"/>
              <w:ind w:right="43"/>
              <w:jc w:val="center"/>
              <w:rPr>
                <w:i/>
                <w:sz w:val="14"/>
                <w:lang w:val="fr-FR"/>
              </w:rPr>
            </w:pPr>
            <w:r w:rsidRPr="00A66C9F">
              <w:rPr>
                <w:i/>
                <w:sz w:val="14"/>
                <w:lang w:val="fr-FR"/>
              </w:rPr>
              <w:t>Versement de départ</w:t>
            </w:r>
            <w:r w:rsidRPr="00A66C9F">
              <w:rPr>
                <w:i/>
                <w:sz w:val="14"/>
                <w:lang w:val="fr-FR"/>
              </w:rPr>
              <w:br/>
              <w:t>au titre de la liquidation</w:t>
            </w:r>
            <w:r w:rsidRPr="00A66C9F">
              <w:rPr>
                <w:i/>
                <w:sz w:val="14"/>
                <w:lang w:val="fr-FR"/>
              </w:rPr>
              <w:br/>
              <w:t>des droits</w:t>
            </w:r>
          </w:p>
        </w:tc>
        <w:tc>
          <w:tcPr>
            <w:tcW w:w="855" w:type="dxa"/>
            <w:vMerge w:val="restart"/>
            <w:tcBorders>
              <w:top w:val="single" w:sz="4" w:space="0" w:color="auto"/>
            </w:tcBorders>
            <w:shd w:val="clear" w:color="auto" w:fill="auto"/>
            <w:noWrap/>
            <w:vAlign w:val="bottom"/>
          </w:tcPr>
          <w:p w14:paraId="77D3A242" w14:textId="77777777" w:rsidR="00753AB8" w:rsidRPr="00A66C9F" w:rsidRDefault="00753AB8" w:rsidP="00107D5D">
            <w:pPr>
              <w:suppressAutoHyphens/>
              <w:spacing w:before="81" w:after="81" w:line="160" w:lineRule="exact"/>
              <w:ind w:right="43"/>
              <w:jc w:val="right"/>
              <w:rPr>
                <w:i/>
                <w:sz w:val="14"/>
                <w:lang w:val="fr-FR"/>
              </w:rPr>
            </w:pPr>
            <w:r w:rsidRPr="00A66C9F">
              <w:rPr>
                <w:i/>
                <w:sz w:val="14"/>
                <w:lang w:val="fr-FR"/>
              </w:rPr>
              <w:t>Pension d’enfant</w:t>
            </w:r>
          </w:p>
        </w:tc>
        <w:tc>
          <w:tcPr>
            <w:tcW w:w="854" w:type="dxa"/>
            <w:vMerge w:val="restart"/>
            <w:tcBorders>
              <w:top w:val="single" w:sz="4" w:space="0" w:color="auto"/>
            </w:tcBorders>
            <w:shd w:val="clear" w:color="auto" w:fill="auto"/>
            <w:noWrap/>
            <w:vAlign w:val="bottom"/>
          </w:tcPr>
          <w:p w14:paraId="0D04C2C1" w14:textId="77777777" w:rsidR="00753AB8" w:rsidRPr="00A66C9F" w:rsidRDefault="00753AB8" w:rsidP="00107D5D">
            <w:pPr>
              <w:suppressAutoHyphens/>
              <w:spacing w:before="81" w:after="81" w:line="160" w:lineRule="exact"/>
              <w:ind w:right="43"/>
              <w:jc w:val="right"/>
              <w:rPr>
                <w:i/>
                <w:sz w:val="14"/>
                <w:lang w:val="fr-FR"/>
              </w:rPr>
            </w:pPr>
            <w:r w:rsidRPr="00A66C9F">
              <w:rPr>
                <w:i/>
                <w:sz w:val="14"/>
                <w:lang w:val="fr-FR"/>
              </w:rPr>
              <w:t>Pension</w:t>
            </w:r>
            <w:r w:rsidRPr="00A66C9F">
              <w:rPr>
                <w:i/>
                <w:sz w:val="14"/>
                <w:lang w:val="fr-FR"/>
              </w:rPr>
              <w:br/>
              <w:t>de veuve</w:t>
            </w:r>
            <w:r w:rsidRPr="00A66C9F">
              <w:rPr>
                <w:i/>
                <w:sz w:val="14"/>
                <w:lang w:val="fr-FR"/>
              </w:rPr>
              <w:br/>
              <w:t>ou de veuf</w:t>
            </w:r>
          </w:p>
        </w:tc>
        <w:tc>
          <w:tcPr>
            <w:tcW w:w="855" w:type="dxa"/>
            <w:vMerge w:val="restart"/>
            <w:tcBorders>
              <w:top w:val="single" w:sz="4" w:space="0" w:color="auto"/>
            </w:tcBorders>
            <w:shd w:val="clear" w:color="auto" w:fill="auto"/>
            <w:noWrap/>
            <w:vAlign w:val="bottom"/>
          </w:tcPr>
          <w:p w14:paraId="0AB0147F" w14:textId="77777777" w:rsidR="00753AB8" w:rsidRPr="00A66C9F" w:rsidRDefault="00753AB8" w:rsidP="00107D5D">
            <w:pPr>
              <w:suppressAutoHyphens/>
              <w:spacing w:before="81" w:after="81" w:line="160" w:lineRule="exact"/>
              <w:ind w:right="43"/>
              <w:jc w:val="right"/>
              <w:rPr>
                <w:i/>
                <w:sz w:val="14"/>
                <w:lang w:val="fr-FR"/>
              </w:rPr>
            </w:pPr>
            <w:r w:rsidRPr="00A66C9F">
              <w:rPr>
                <w:i/>
                <w:sz w:val="14"/>
                <w:lang w:val="fr-FR"/>
              </w:rPr>
              <w:t>Autres prestations en cas</w:t>
            </w:r>
            <w:r w:rsidRPr="00A66C9F">
              <w:rPr>
                <w:i/>
                <w:sz w:val="14"/>
                <w:lang w:val="fr-FR"/>
              </w:rPr>
              <w:br/>
              <w:t>de décès</w:t>
            </w:r>
          </w:p>
        </w:tc>
        <w:tc>
          <w:tcPr>
            <w:tcW w:w="855" w:type="dxa"/>
            <w:vMerge w:val="restart"/>
            <w:tcBorders>
              <w:top w:val="single" w:sz="4" w:space="0" w:color="auto"/>
            </w:tcBorders>
            <w:shd w:val="clear" w:color="auto" w:fill="auto"/>
            <w:noWrap/>
            <w:vAlign w:val="bottom"/>
          </w:tcPr>
          <w:p w14:paraId="200F1053" w14:textId="77777777" w:rsidR="00753AB8" w:rsidRPr="00A66C9F" w:rsidRDefault="00753AB8" w:rsidP="00107D5D">
            <w:pPr>
              <w:suppressAutoHyphens/>
              <w:spacing w:before="81" w:after="81" w:line="160" w:lineRule="exact"/>
              <w:ind w:right="43"/>
              <w:jc w:val="right"/>
              <w:rPr>
                <w:i/>
                <w:sz w:val="14"/>
                <w:lang w:val="fr-FR"/>
              </w:rPr>
            </w:pPr>
            <w:r w:rsidRPr="00A66C9F">
              <w:rPr>
                <w:i/>
                <w:sz w:val="14"/>
                <w:lang w:val="fr-FR"/>
              </w:rPr>
              <w:t>Pension d’invalidité</w:t>
            </w:r>
          </w:p>
        </w:tc>
        <w:tc>
          <w:tcPr>
            <w:tcW w:w="939" w:type="dxa"/>
            <w:vMerge w:val="restart"/>
            <w:tcBorders>
              <w:top w:val="single" w:sz="4" w:space="0" w:color="auto"/>
            </w:tcBorders>
            <w:shd w:val="clear" w:color="auto" w:fill="auto"/>
            <w:noWrap/>
            <w:vAlign w:val="bottom"/>
          </w:tcPr>
          <w:p w14:paraId="7CF1FEDD" w14:textId="77777777" w:rsidR="00753AB8" w:rsidRPr="00A66C9F" w:rsidRDefault="00753AB8" w:rsidP="00107D5D">
            <w:pPr>
              <w:suppressAutoHyphens/>
              <w:spacing w:before="81" w:after="81" w:line="160" w:lineRule="exact"/>
              <w:ind w:right="43"/>
              <w:jc w:val="right"/>
              <w:rPr>
                <w:i/>
                <w:sz w:val="14"/>
                <w:lang w:val="fr-FR"/>
              </w:rPr>
            </w:pPr>
            <w:r w:rsidRPr="00A66C9F">
              <w:rPr>
                <w:i/>
                <w:sz w:val="14"/>
                <w:lang w:val="fr-FR"/>
              </w:rPr>
              <w:t>Pension</w:t>
            </w:r>
            <w:r w:rsidRPr="00A66C9F">
              <w:rPr>
                <w:i/>
                <w:sz w:val="14"/>
                <w:lang w:val="fr-FR"/>
              </w:rPr>
              <w:br/>
              <w:t>de personne indirectement à charge</w:t>
            </w:r>
          </w:p>
        </w:tc>
        <w:tc>
          <w:tcPr>
            <w:tcW w:w="909" w:type="dxa"/>
            <w:vMerge w:val="restart"/>
            <w:tcBorders>
              <w:top w:val="single" w:sz="4" w:space="0" w:color="auto"/>
            </w:tcBorders>
            <w:shd w:val="clear" w:color="auto" w:fill="auto"/>
            <w:noWrap/>
            <w:vAlign w:val="bottom"/>
          </w:tcPr>
          <w:p w14:paraId="6ACB65C2" w14:textId="77777777" w:rsidR="00753AB8" w:rsidRPr="00A66C9F" w:rsidRDefault="00753AB8" w:rsidP="00107D5D">
            <w:pPr>
              <w:suppressAutoHyphens/>
              <w:spacing w:before="81" w:after="81" w:line="160" w:lineRule="exact"/>
              <w:ind w:right="43"/>
              <w:jc w:val="right"/>
              <w:rPr>
                <w:i/>
                <w:sz w:val="14"/>
                <w:lang w:val="fr-FR"/>
              </w:rPr>
            </w:pPr>
            <w:r w:rsidRPr="00A66C9F">
              <w:rPr>
                <w:i/>
                <w:sz w:val="14"/>
                <w:lang w:val="fr-FR"/>
              </w:rPr>
              <w:t>Transfert</w:t>
            </w:r>
            <w:r w:rsidRPr="00A66C9F">
              <w:rPr>
                <w:i/>
                <w:sz w:val="14"/>
                <w:lang w:val="fr-FR"/>
              </w:rPr>
              <w:br/>
              <w:t>dans le cadre d’accords</w:t>
            </w:r>
          </w:p>
        </w:tc>
        <w:tc>
          <w:tcPr>
            <w:tcW w:w="716" w:type="dxa"/>
            <w:vMerge w:val="restart"/>
            <w:tcBorders>
              <w:top w:val="single" w:sz="4" w:space="0" w:color="auto"/>
            </w:tcBorders>
            <w:shd w:val="clear" w:color="auto" w:fill="auto"/>
            <w:noWrap/>
            <w:vAlign w:val="bottom"/>
          </w:tcPr>
          <w:p w14:paraId="180BBEE3" w14:textId="77777777" w:rsidR="00753AB8" w:rsidRPr="00A66C9F" w:rsidRDefault="00753AB8" w:rsidP="00107D5D">
            <w:pPr>
              <w:suppressAutoHyphens/>
              <w:spacing w:before="81" w:after="81" w:line="160" w:lineRule="exact"/>
              <w:ind w:right="43"/>
              <w:jc w:val="right"/>
              <w:rPr>
                <w:i/>
                <w:sz w:val="14"/>
                <w:lang w:val="fr-FR"/>
              </w:rPr>
            </w:pPr>
            <w:r w:rsidRPr="00A66C9F">
              <w:rPr>
                <w:i/>
                <w:sz w:val="14"/>
                <w:lang w:val="fr-FR"/>
              </w:rPr>
              <w:t xml:space="preserve">Total </w:t>
            </w:r>
          </w:p>
        </w:tc>
      </w:tr>
      <w:tr w:rsidR="00753AB8" w:rsidRPr="00A66C9F" w14:paraId="127F7832" w14:textId="77777777" w:rsidTr="00100F73">
        <w:trPr>
          <w:tblHeader/>
        </w:trPr>
        <w:tc>
          <w:tcPr>
            <w:tcW w:w="2984" w:type="dxa"/>
            <w:vMerge/>
            <w:tcBorders>
              <w:bottom w:val="single" w:sz="12" w:space="0" w:color="auto"/>
            </w:tcBorders>
            <w:shd w:val="clear" w:color="auto" w:fill="auto"/>
            <w:noWrap/>
            <w:vAlign w:val="bottom"/>
          </w:tcPr>
          <w:p w14:paraId="39C30D5C" w14:textId="77777777" w:rsidR="00753AB8" w:rsidRPr="00A66C9F" w:rsidRDefault="00753AB8" w:rsidP="00107D5D">
            <w:pPr>
              <w:suppressAutoHyphens/>
              <w:spacing w:before="81" w:after="81" w:line="160" w:lineRule="exact"/>
              <w:ind w:right="40"/>
              <w:rPr>
                <w:i/>
                <w:sz w:val="14"/>
                <w:lang w:val="fr-FR"/>
              </w:rPr>
            </w:pPr>
          </w:p>
        </w:tc>
        <w:tc>
          <w:tcPr>
            <w:tcW w:w="854" w:type="dxa"/>
            <w:vMerge/>
            <w:tcBorders>
              <w:bottom w:val="single" w:sz="12" w:space="0" w:color="auto"/>
            </w:tcBorders>
            <w:shd w:val="clear" w:color="auto" w:fill="auto"/>
            <w:noWrap/>
            <w:vAlign w:val="bottom"/>
          </w:tcPr>
          <w:p w14:paraId="0AE45AEA" w14:textId="77777777" w:rsidR="00753AB8" w:rsidRPr="00A66C9F" w:rsidRDefault="00753AB8" w:rsidP="00107D5D">
            <w:pPr>
              <w:suppressAutoHyphens/>
              <w:spacing w:before="81" w:after="81" w:line="160" w:lineRule="exact"/>
              <w:ind w:right="43"/>
              <w:jc w:val="right"/>
              <w:rPr>
                <w:i/>
                <w:sz w:val="14"/>
                <w:lang w:val="fr-FR"/>
              </w:rPr>
            </w:pPr>
          </w:p>
        </w:tc>
        <w:tc>
          <w:tcPr>
            <w:tcW w:w="855" w:type="dxa"/>
            <w:vMerge/>
            <w:tcBorders>
              <w:bottom w:val="single" w:sz="12" w:space="0" w:color="auto"/>
            </w:tcBorders>
            <w:shd w:val="clear" w:color="auto" w:fill="auto"/>
            <w:noWrap/>
            <w:vAlign w:val="bottom"/>
          </w:tcPr>
          <w:p w14:paraId="75808A56" w14:textId="77777777" w:rsidR="00753AB8" w:rsidRPr="00A66C9F" w:rsidRDefault="00753AB8" w:rsidP="00107D5D">
            <w:pPr>
              <w:suppressAutoHyphens/>
              <w:spacing w:before="81" w:after="81" w:line="160" w:lineRule="exact"/>
              <w:ind w:right="43"/>
              <w:jc w:val="right"/>
              <w:rPr>
                <w:i/>
                <w:sz w:val="14"/>
                <w:lang w:val="fr-FR"/>
              </w:rPr>
            </w:pPr>
          </w:p>
        </w:tc>
        <w:tc>
          <w:tcPr>
            <w:tcW w:w="855" w:type="dxa"/>
            <w:vMerge/>
            <w:tcBorders>
              <w:bottom w:val="single" w:sz="12" w:space="0" w:color="auto"/>
            </w:tcBorders>
            <w:shd w:val="clear" w:color="auto" w:fill="auto"/>
            <w:noWrap/>
            <w:vAlign w:val="bottom"/>
          </w:tcPr>
          <w:p w14:paraId="5F480272" w14:textId="77777777" w:rsidR="00753AB8" w:rsidRPr="00A66C9F" w:rsidRDefault="00753AB8" w:rsidP="00107D5D">
            <w:pPr>
              <w:suppressAutoHyphens/>
              <w:spacing w:before="81" w:after="81" w:line="160" w:lineRule="exact"/>
              <w:ind w:right="43"/>
              <w:jc w:val="right"/>
              <w:rPr>
                <w:i/>
                <w:sz w:val="14"/>
                <w:lang w:val="fr-FR"/>
              </w:rPr>
            </w:pPr>
          </w:p>
        </w:tc>
        <w:tc>
          <w:tcPr>
            <w:tcW w:w="854" w:type="dxa"/>
            <w:tcBorders>
              <w:bottom w:val="single" w:sz="12" w:space="0" w:color="auto"/>
            </w:tcBorders>
            <w:shd w:val="clear" w:color="auto" w:fill="auto"/>
            <w:noWrap/>
            <w:vAlign w:val="bottom"/>
          </w:tcPr>
          <w:p w14:paraId="6892BD55" w14:textId="77777777" w:rsidR="00753AB8" w:rsidRPr="00A66C9F" w:rsidRDefault="00753AB8" w:rsidP="00107D5D">
            <w:pPr>
              <w:suppressAutoHyphens/>
              <w:spacing w:before="81" w:after="81" w:line="160" w:lineRule="exact"/>
              <w:ind w:right="43"/>
              <w:jc w:val="right"/>
              <w:rPr>
                <w:i/>
                <w:sz w:val="14"/>
                <w:lang w:val="fr-FR"/>
              </w:rPr>
            </w:pPr>
            <w:r w:rsidRPr="00A66C9F">
              <w:rPr>
                <w:i/>
                <w:sz w:val="14"/>
                <w:lang w:val="fr-FR"/>
              </w:rPr>
              <w:t>&lt; 5 ans</w:t>
            </w:r>
          </w:p>
        </w:tc>
        <w:tc>
          <w:tcPr>
            <w:tcW w:w="855" w:type="dxa"/>
            <w:tcBorders>
              <w:bottom w:val="single" w:sz="12" w:space="0" w:color="auto"/>
            </w:tcBorders>
            <w:shd w:val="clear" w:color="auto" w:fill="auto"/>
            <w:noWrap/>
            <w:vAlign w:val="bottom"/>
          </w:tcPr>
          <w:p w14:paraId="607651A0" w14:textId="77777777" w:rsidR="00753AB8" w:rsidRPr="00A66C9F" w:rsidRDefault="00753AB8" w:rsidP="00107D5D">
            <w:pPr>
              <w:suppressAutoHyphens/>
              <w:spacing w:before="81" w:after="81" w:line="160" w:lineRule="exact"/>
              <w:ind w:right="43"/>
              <w:jc w:val="right"/>
              <w:rPr>
                <w:i/>
                <w:sz w:val="14"/>
                <w:lang w:val="fr-FR"/>
              </w:rPr>
            </w:pPr>
            <w:r w:rsidRPr="00A66C9F">
              <w:rPr>
                <w:i/>
                <w:sz w:val="14"/>
                <w:lang w:val="fr-FR"/>
              </w:rPr>
              <w:t>&gt; 5 ans</w:t>
            </w:r>
          </w:p>
        </w:tc>
        <w:tc>
          <w:tcPr>
            <w:tcW w:w="855" w:type="dxa"/>
            <w:vMerge/>
            <w:tcBorders>
              <w:bottom w:val="single" w:sz="12" w:space="0" w:color="auto"/>
            </w:tcBorders>
            <w:shd w:val="clear" w:color="auto" w:fill="auto"/>
            <w:noWrap/>
            <w:vAlign w:val="bottom"/>
          </w:tcPr>
          <w:p w14:paraId="3626489C" w14:textId="77777777" w:rsidR="00753AB8" w:rsidRPr="00A66C9F" w:rsidRDefault="00753AB8" w:rsidP="00107D5D">
            <w:pPr>
              <w:suppressAutoHyphens/>
              <w:spacing w:before="81" w:after="81" w:line="160" w:lineRule="exact"/>
              <w:ind w:right="43"/>
              <w:jc w:val="right"/>
              <w:rPr>
                <w:i/>
                <w:sz w:val="14"/>
                <w:lang w:val="fr-FR"/>
              </w:rPr>
            </w:pPr>
          </w:p>
        </w:tc>
        <w:tc>
          <w:tcPr>
            <w:tcW w:w="854" w:type="dxa"/>
            <w:vMerge/>
            <w:tcBorders>
              <w:bottom w:val="single" w:sz="12" w:space="0" w:color="auto"/>
            </w:tcBorders>
            <w:shd w:val="clear" w:color="auto" w:fill="auto"/>
            <w:noWrap/>
            <w:vAlign w:val="bottom"/>
          </w:tcPr>
          <w:p w14:paraId="75BC4835" w14:textId="77777777" w:rsidR="00753AB8" w:rsidRPr="00A66C9F" w:rsidRDefault="00753AB8" w:rsidP="00107D5D">
            <w:pPr>
              <w:suppressAutoHyphens/>
              <w:spacing w:before="81" w:after="81" w:line="160" w:lineRule="exact"/>
              <w:ind w:right="43"/>
              <w:jc w:val="right"/>
              <w:rPr>
                <w:i/>
                <w:sz w:val="14"/>
                <w:lang w:val="fr-FR"/>
              </w:rPr>
            </w:pPr>
          </w:p>
        </w:tc>
        <w:tc>
          <w:tcPr>
            <w:tcW w:w="855" w:type="dxa"/>
            <w:vMerge/>
            <w:tcBorders>
              <w:bottom w:val="single" w:sz="12" w:space="0" w:color="auto"/>
            </w:tcBorders>
            <w:shd w:val="clear" w:color="auto" w:fill="auto"/>
            <w:noWrap/>
            <w:vAlign w:val="bottom"/>
          </w:tcPr>
          <w:p w14:paraId="532B1AA7" w14:textId="77777777" w:rsidR="00753AB8" w:rsidRPr="00A66C9F" w:rsidRDefault="00753AB8" w:rsidP="00107D5D">
            <w:pPr>
              <w:suppressAutoHyphens/>
              <w:spacing w:before="81" w:after="81" w:line="160" w:lineRule="exact"/>
              <w:ind w:right="43"/>
              <w:jc w:val="right"/>
              <w:rPr>
                <w:i/>
                <w:sz w:val="14"/>
                <w:lang w:val="fr-FR"/>
              </w:rPr>
            </w:pPr>
          </w:p>
        </w:tc>
        <w:tc>
          <w:tcPr>
            <w:tcW w:w="855" w:type="dxa"/>
            <w:vMerge/>
            <w:tcBorders>
              <w:bottom w:val="single" w:sz="12" w:space="0" w:color="auto"/>
            </w:tcBorders>
            <w:shd w:val="clear" w:color="auto" w:fill="auto"/>
            <w:noWrap/>
            <w:vAlign w:val="bottom"/>
          </w:tcPr>
          <w:p w14:paraId="37AA6D2F" w14:textId="77777777" w:rsidR="00753AB8" w:rsidRPr="00A66C9F" w:rsidRDefault="00753AB8" w:rsidP="00107D5D">
            <w:pPr>
              <w:suppressAutoHyphens/>
              <w:spacing w:before="81" w:after="81" w:line="160" w:lineRule="exact"/>
              <w:ind w:right="43"/>
              <w:jc w:val="right"/>
              <w:rPr>
                <w:i/>
                <w:sz w:val="14"/>
                <w:lang w:val="fr-FR"/>
              </w:rPr>
            </w:pPr>
          </w:p>
        </w:tc>
        <w:tc>
          <w:tcPr>
            <w:tcW w:w="939" w:type="dxa"/>
            <w:vMerge/>
            <w:tcBorders>
              <w:bottom w:val="single" w:sz="12" w:space="0" w:color="auto"/>
            </w:tcBorders>
            <w:shd w:val="clear" w:color="auto" w:fill="auto"/>
            <w:noWrap/>
            <w:vAlign w:val="bottom"/>
          </w:tcPr>
          <w:p w14:paraId="202B68DC" w14:textId="77777777" w:rsidR="00753AB8" w:rsidRPr="00A66C9F" w:rsidRDefault="00753AB8" w:rsidP="00107D5D">
            <w:pPr>
              <w:suppressAutoHyphens/>
              <w:spacing w:before="81" w:after="81" w:line="160" w:lineRule="exact"/>
              <w:ind w:right="43"/>
              <w:jc w:val="right"/>
              <w:rPr>
                <w:i/>
                <w:sz w:val="14"/>
                <w:lang w:val="fr-FR"/>
              </w:rPr>
            </w:pPr>
          </w:p>
        </w:tc>
        <w:tc>
          <w:tcPr>
            <w:tcW w:w="909" w:type="dxa"/>
            <w:vMerge/>
            <w:tcBorders>
              <w:bottom w:val="single" w:sz="12" w:space="0" w:color="auto"/>
            </w:tcBorders>
            <w:shd w:val="clear" w:color="auto" w:fill="auto"/>
            <w:noWrap/>
            <w:vAlign w:val="bottom"/>
          </w:tcPr>
          <w:p w14:paraId="3C629005" w14:textId="77777777" w:rsidR="00753AB8" w:rsidRPr="00A66C9F" w:rsidRDefault="00753AB8" w:rsidP="00107D5D">
            <w:pPr>
              <w:suppressAutoHyphens/>
              <w:spacing w:before="81" w:after="81" w:line="160" w:lineRule="exact"/>
              <w:ind w:right="43"/>
              <w:jc w:val="right"/>
              <w:rPr>
                <w:i/>
                <w:sz w:val="14"/>
                <w:lang w:val="fr-FR"/>
              </w:rPr>
            </w:pPr>
          </w:p>
        </w:tc>
        <w:tc>
          <w:tcPr>
            <w:tcW w:w="716" w:type="dxa"/>
            <w:vMerge/>
            <w:tcBorders>
              <w:bottom w:val="single" w:sz="12" w:space="0" w:color="auto"/>
            </w:tcBorders>
            <w:shd w:val="clear" w:color="auto" w:fill="auto"/>
            <w:noWrap/>
            <w:vAlign w:val="bottom"/>
          </w:tcPr>
          <w:p w14:paraId="2C3BF053" w14:textId="77777777" w:rsidR="00753AB8" w:rsidRPr="00A66C9F" w:rsidRDefault="00753AB8" w:rsidP="00107D5D">
            <w:pPr>
              <w:suppressAutoHyphens/>
              <w:spacing w:before="81" w:after="81" w:line="160" w:lineRule="exact"/>
              <w:ind w:right="43"/>
              <w:jc w:val="right"/>
              <w:rPr>
                <w:i/>
                <w:sz w:val="14"/>
                <w:lang w:val="fr-FR"/>
              </w:rPr>
            </w:pPr>
          </w:p>
        </w:tc>
      </w:tr>
      <w:tr w:rsidR="00753AB8" w:rsidRPr="00A66C9F" w14:paraId="1B600E82" w14:textId="77777777" w:rsidTr="00100F73">
        <w:trPr>
          <w:trHeight w:hRule="exact" w:val="115"/>
          <w:tblHeader/>
        </w:trPr>
        <w:tc>
          <w:tcPr>
            <w:tcW w:w="2984" w:type="dxa"/>
            <w:tcBorders>
              <w:top w:val="single" w:sz="12" w:space="0" w:color="auto"/>
            </w:tcBorders>
            <w:shd w:val="clear" w:color="auto" w:fill="auto"/>
            <w:noWrap/>
            <w:vAlign w:val="bottom"/>
          </w:tcPr>
          <w:p w14:paraId="3F32DA0D" w14:textId="77777777" w:rsidR="00753AB8" w:rsidRPr="00A66C9F" w:rsidRDefault="00753AB8" w:rsidP="00107D5D">
            <w:pPr>
              <w:suppressAutoHyphens/>
              <w:spacing w:before="40" w:after="40" w:line="210" w:lineRule="exact"/>
              <w:ind w:right="40"/>
              <w:rPr>
                <w:sz w:val="17"/>
                <w:lang w:val="fr-FR"/>
              </w:rPr>
            </w:pPr>
          </w:p>
        </w:tc>
        <w:tc>
          <w:tcPr>
            <w:tcW w:w="854" w:type="dxa"/>
            <w:tcBorders>
              <w:top w:val="single" w:sz="12" w:space="0" w:color="auto"/>
            </w:tcBorders>
            <w:shd w:val="clear" w:color="auto" w:fill="auto"/>
            <w:noWrap/>
            <w:vAlign w:val="bottom"/>
          </w:tcPr>
          <w:p w14:paraId="1CE3EDEE" w14:textId="77777777" w:rsidR="00753AB8" w:rsidRPr="00A66C9F" w:rsidRDefault="00753AB8" w:rsidP="00107D5D">
            <w:pPr>
              <w:suppressAutoHyphens/>
              <w:spacing w:before="40" w:after="40" w:line="210" w:lineRule="exact"/>
              <w:ind w:right="43"/>
              <w:jc w:val="right"/>
              <w:rPr>
                <w:sz w:val="17"/>
                <w:lang w:val="fr-FR"/>
              </w:rPr>
            </w:pPr>
          </w:p>
        </w:tc>
        <w:tc>
          <w:tcPr>
            <w:tcW w:w="855" w:type="dxa"/>
            <w:tcBorders>
              <w:top w:val="single" w:sz="12" w:space="0" w:color="auto"/>
            </w:tcBorders>
            <w:shd w:val="clear" w:color="auto" w:fill="auto"/>
            <w:noWrap/>
            <w:vAlign w:val="bottom"/>
          </w:tcPr>
          <w:p w14:paraId="6F2B88B1" w14:textId="77777777" w:rsidR="00753AB8" w:rsidRPr="00A66C9F" w:rsidRDefault="00753AB8" w:rsidP="00107D5D">
            <w:pPr>
              <w:suppressAutoHyphens/>
              <w:spacing w:before="40" w:after="40" w:line="210" w:lineRule="exact"/>
              <w:ind w:right="43"/>
              <w:jc w:val="right"/>
              <w:rPr>
                <w:sz w:val="17"/>
                <w:lang w:val="fr-FR"/>
              </w:rPr>
            </w:pPr>
          </w:p>
        </w:tc>
        <w:tc>
          <w:tcPr>
            <w:tcW w:w="855" w:type="dxa"/>
            <w:tcBorders>
              <w:top w:val="single" w:sz="12" w:space="0" w:color="auto"/>
            </w:tcBorders>
            <w:shd w:val="clear" w:color="auto" w:fill="auto"/>
            <w:noWrap/>
            <w:vAlign w:val="bottom"/>
          </w:tcPr>
          <w:p w14:paraId="7427E835" w14:textId="77777777" w:rsidR="00753AB8" w:rsidRPr="00A66C9F" w:rsidRDefault="00753AB8" w:rsidP="00107D5D">
            <w:pPr>
              <w:suppressAutoHyphens/>
              <w:spacing w:before="40" w:after="40" w:line="210" w:lineRule="exact"/>
              <w:ind w:right="43"/>
              <w:jc w:val="right"/>
              <w:rPr>
                <w:sz w:val="17"/>
                <w:lang w:val="fr-FR"/>
              </w:rPr>
            </w:pPr>
          </w:p>
        </w:tc>
        <w:tc>
          <w:tcPr>
            <w:tcW w:w="854" w:type="dxa"/>
            <w:tcBorders>
              <w:top w:val="single" w:sz="12" w:space="0" w:color="auto"/>
            </w:tcBorders>
            <w:shd w:val="clear" w:color="auto" w:fill="auto"/>
            <w:noWrap/>
            <w:vAlign w:val="bottom"/>
          </w:tcPr>
          <w:p w14:paraId="3A042779" w14:textId="77777777" w:rsidR="00753AB8" w:rsidRPr="00A66C9F" w:rsidRDefault="00753AB8" w:rsidP="00107D5D">
            <w:pPr>
              <w:suppressAutoHyphens/>
              <w:spacing w:before="40" w:after="40" w:line="210" w:lineRule="exact"/>
              <w:ind w:right="43"/>
              <w:jc w:val="right"/>
              <w:rPr>
                <w:sz w:val="17"/>
                <w:lang w:val="fr-FR"/>
              </w:rPr>
            </w:pPr>
          </w:p>
        </w:tc>
        <w:tc>
          <w:tcPr>
            <w:tcW w:w="855" w:type="dxa"/>
            <w:tcBorders>
              <w:top w:val="single" w:sz="12" w:space="0" w:color="auto"/>
            </w:tcBorders>
            <w:shd w:val="clear" w:color="auto" w:fill="auto"/>
            <w:noWrap/>
            <w:vAlign w:val="bottom"/>
          </w:tcPr>
          <w:p w14:paraId="4C6B2E4A" w14:textId="77777777" w:rsidR="00753AB8" w:rsidRPr="00A66C9F" w:rsidRDefault="00753AB8" w:rsidP="00107D5D">
            <w:pPr>
              <w:suppressAutoHyphens/>
              <w:spacing w:before="40" w:after="40" w:line="210" w:lineRule="exact"/>
              <w:ind w:right="43"/>
              <w:jc w:val="right"/>
              <w:rPr>
                <w:sz w:val="17"/>
                <w:lang w:val="fr-FR"/>
              </w:rPr>
            </w:pPr>
          </w:p>
        </w:tc>
        <w:tc>
          <w:tcPr>
            <w:tcW w:w="855" w:type="dxa"/>
            <w:tcBorders>
              <w:top w:val="single" w:sz="12" w:space="0" w:color="auto"/>
            </w:tcBorders>
            <w:shd w:val="clear" w:color="auto" w:fill="auto"/>
            <w:noWrap/>
            <w:vAlign w:val="bottom"/>
          </w:tcPr>
          <w:p w14:paraId="46DBA4D9" w14:textId="77777777" w:rsidR="00753AB8" w:rsidRPr="00A66C9F" w:rsidRDefault="00753AB8" w:rsidP="00107D5D">
            <w:pPr>
              <w:suppressAutoHyphens/>
              <w:spacing w:before="40" w:after="40" w:line="210" w:lineRule="exact"/>
              <w:ind w:right="43"/>
              <w:jc w:val="right"/>
              <w:rPr>
                <w:sz w:val="17"/>
                <w:lang w:val="fr-FR"/>
              </w:rPr>
            </w:pPr>
          </w:p>
        </w:tc>
        <w:tc>
          <w:tcPr>
            <w:tcW w:w="854" w:type="dxa"/>
            <w:tcBorders>
              <w:top w:val="single" w:sz="12" w:space="0" w:color="auto"/>
            </w:tcBorders>
            <w:shd w:val="clear" w:color="auto" w:fill="auto"/>
            <w:noWrap/>
            <w:vAlign w:val="bottom"/>
          </w:tcPr>
          <w:p w14:paraId="734FFC1C" w14:textId="77777777" w:rsidR="00753AB8" w:rsidRPr="00A66C9F" w:rsidRDefault="00753AB8" w:rsidP="00107D5D">
            <w:pPr>
              <w:suppressAutoHyphens/>
              <w:spacing w:before="40" w:after="40" w:line="210" w:lineRule="exact"/>
              <w:ind w:right="43"/>
              <w:jc w:val="right"/>
              <w:rPr>
                <w:sz w:val="17"/>
                <w:lang w:val="fr-FR"/>
              </w:rPr>
            </w:pPr>
          </w:p>
        </w:tc>
        <w:tc>
          <w:tcPr>
            <w:tcW w:w="855" w:type="dxa"/>
            <w:tcBorders>
              <w:top w:val="single" w:sz="12" w:space="0" w:color="auto"/>
            </w:tcBorders>
            <w:shd w:val="clear" w:color="auto" w:fill="auto"/>
            <w:noWrap/>
            <w:vAlign w:val="bottom"/>
          </w:tcPr>
          <w:p w14:paraId="5E87B1DC" w14:textId="77777777" w:rsidR="00753AB8" w:rsidRPr="00A66C9F" w:rsidRDefault="00753AB8" w:rsidP="00107D5D">
            <w:pPr>
              <w:suppressAutoHyphens/>
              <w:spacing w:before="40" w:after="40" w:line="210" w:lineRule="exact"/>
              <w:ind w:right="43"/>
              <w:jc w:val="right"/>
              <w:rPr>
                <w:sz w:val="17"/>
                <w:lang w:val="fr-FR"/>
              </w:rPr>
            </w:pPr>
          </w:p>
        </w:tc>
        <w:tc>
          <w:tcPr>
            <w:tcW w:w="855" w:type="dxa"/>
            <w:tcBorders>
              <w:top w:val="single" w:sz="12" w:space="0" w:color="auto"/>
            </w:tcBorders>
            <w:shd w:val="clear" w:color="auto" w:fill="auto"/>
            <w:noWrap/>
            <w:vAlign w:val="bottom"/>
          </w:tcPr>
          <w:p w14:paraId="16BF3026" w14:textId="77777777" w:rsidR="00753AB8" w:rsidRPr="00A66C9F" w:rsidRDefault="00753AB8" w:rsidP="00107D5D">
            <w:pPr>
              <w:suppressAutoHyphens/>
              <w:spacing w:before="40" w:after="40" w:line="210" w:lineRule="exact"/>
              <w:ind w:right="43"/>
              <w:jc w:val="right"/>
              <w:rPr>
                <w:sz w:val="17"/>
                <w:lang w:val="fr-FR"/>
              </w:rPr>
            </w:pPr>
          </w:p>
        </w:tc>
        <w:tc>
          <w:tcPr>
            <w:tcW w:w="939" w:type="dxa"/>
            <w:tcBorders>
              <w:top w:val="single" w:sz="12" w:space="0" w:color="auto"/>
            </w:tcBorders>
            <w:shd w:val="clear" w:color="auto" w:fill="auto"/>
            <w:noWrap/>
            <w:vAlign w:val="bottom"/>
          </w:tcPr>
          <w:p w14:paraId="3FA6D282" w14:textId="77777777" w:rsidR="00753AB8" w:rsidRPr="00A66C9F" w:rsidRDefault="00753AB8" w:rsidP="00107D5D">
            <w:pPr>
              <w:suppressAutoHyphens/>
              <w:spacing w:before="40" w:after="40" w:line="210" w:lineRule="exact"/>
              <w:ind w:right="43"/>
              <w:jc w:val="right"/>
              <w:rPr>
                <w:sz w:val="17"/>
                <w:lang w:val="fr-FR"/>
              </w:rPr>
            </w:pPr>
          </w:p>
        </w:tc>
        <w:tc>
          <w:tcPr>
            <w:tcW w:w="909" w:type="dxa"/>
            <w:tcBorders>
              <w:top w:val="single" w:sz="12" w:space="0" w:color="auto"/>
            </w:tcBorders>
            <w:shd w:val="clear" w:color="auto" w:fill="auto"/>
            <w:noWrap/>
            <w:vAlign w:val="bottom"/>
          </w:tcPr>
          <w:p w14:paraId="7DE6A19C" w14:textId="77777777" w:rsidR="00753AB8" w:rsidRPr="00A66C9F" w:rsidRDefault="00753AB8" w:rsidP="00107D5D">
            <w:pPr>
              <w:suppressAutoHyphens/>
              <w:spacing w:before="40" w:after="40" w:line="210" w:lineRule="exact"/>
              <w:ind w:right="43"/>
              <w:jc w:val="right"/>
              <w:rPr>
                <w:sz w:val="17"/>
                <w:lang w:val="fr-FR"/>
              </w:rPr>
            </w:pPr>
          </w:p>
        </w:tc>
        <w:tc>
          <w:tcPr>
            <w:tcW w:w="716" w:type="dxa"/>
            <w:tcBorders>
              <w:top w:val="single" w:sz="12" w:space="0" w:color="auto"/>
            </w:tcBorders>
            <w:shd w:val="clear" w:color="auto" w:fill="auto"/>
            <w:noWrap/>
            <w:vAlign w:val="bottom"/>
          </w:tcPr>
          <w:p w14:paraId="13D2DC74" w14:textId="77777777" w:rsidR="00753AB8" w:rsidRPr="00A66C9F" w:rsidRDefault="00753AB8" w:rsidP="00107D5D">
            <w:pPr>
              <w:suppressAutoHyphens/>
              <w:spacing w:before="40" w:after="40" w:line="210" w:lineRule="exact"/>
              <w:ind w:right="43"/>
              <w:jc w:val="right"/>
              <w:rPr>
                <w:sz w:val="17"/>
                <w:lang w:val="fr-FR"/>
              </w:rPr>
            </w:pPr>
          </w:p>
        </w:tc>
      </w:tr>
      <w:tr w:rsidR="00753AB8" w:rsidRPr="00A66C9F" w14:paraId="34555B58" w14:textId="77777777" w:rsidTr="00100F73">
        <w:tc>
          <w:tcPr>
            <w:tcW w:w="2984" w:type="dxa"/>
            <w:shd w:val="clear" w:color="auto" w:fill="auto"/>
            <w:noWrap/>
            <w:vAlign w:val="bottom"/>
          </w:tcPr>
          <w:p w14:paraId="4F1945D3"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Organisation des Nations Unies</w:t>
            </w:r>
            <w:r w:rsidRPr="00A66C9F">
              <w:rPr>
                <w:i/>
                <w:iCs/>
                <w:sz w:val="17"/>
                <w:vertAlign w:val="superscript"/>
                <w:lang w:val="fr-FR"/>
              </w:rPr>
              <w:t>a</w:t>
            </w:r>
          </w:p>
        </w:tc>
        <w:tc>
          <w:tcPr>
            <w:tcW w:w="854" w:type="dxa"/>
            <w:shd w:val="clear" w:color="auto" w:fill="auto"/>
            <w:noWrap/>
            <w:vAlign w:val="bottom"/>
          </w:tcPr>
          <w:p w14:paraId="17989D20"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391</w:t>
            </w:r>
          </w:p>
        </w:tc>
        <w:tc>
          <w:tcPr>
            <w:tcW w:w="855" w:type="dxa"/>
            <w:shd w:val="clear" w:color="auto" w:fill="auto"/>
            <w:noWrap/>
            <w:vAlign w:val="bottom"/>
          </w:tcPr>
          <w:p w14:paraId="54D09690"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451</w:t>
            </w:r>
          </w:p>
        </w:tc>
        <w:tc>
          <w:tcPr>
            <w:tcW w:w="855" w:type="dxa"/>
            <w:shd w:val="clear" w:color="auto" w:fill="auto"/>
            <w:noWrap/>
            <w:vAlign w:val="bottom"/>
          </w:tcPr>
          <w:p w14:paraId="612CE628"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336</w:t>
            </w:r>
          </w:p>
        </w:tc>
        <w:tc>
          <w:tcPr>
            <w:tcW w:w="854" w:type="dxa"/>
            <w:shd w:val="clear" w:color="auto" w:fill="auto"/>
            <w:noWrap/>
            <w:vAlign w:val="bottom"/>
          </w:tcPr>
          <w:p w14:paraId="12867030"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3 230</w:t>
            </w:r>
          </w:p>
        </w:tc>
        <w:tc>
          <w:tcPr>
            <w:tcW w:w="855" w:type="dxa"/>
            <w:shd w:val="clear" w:color="auto" w:fill="auto"/>
            <w:noWrap/>
            <w:vAlign w:val="bottom"/>
          </w:tcPr>
          <w:p w14:paraId="4A8AAB3E"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2 065</w:t>
            </w:r>
          </w:p>
        </w:tc>
        <w:tc>
          <w:tcPr>
            <w:tcW w:w="855" w:type="dxa"/>
            <w:shd w:val="clear" w:color="auto" w:fill="auto"/>
            <w:noWrap/>
            <w:vAlign w:val="bottom"/>
          </w:tcPr>
          <w:p w14:paraId="44D84024"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1 073</w:t>
            </w:r>
          </w:p>
        </w:tc>
        <w:tc>
          <w:tcPr>
            <w:tcW w:w="854" w:type="dxa"/>
            <w:shd w:val="clear" w:color="auto" w:fill="auto"/>
            <w:noWrap/>
            <w:vAlign w:val="bottom"/>
          </w:tcPr>
          <w:p w14:paraId="37217E05"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126</w:t>
            </w:r>
          </w:p>
        </w:tc>
        <w:tc>
          <w:tcPr>
            <w:tcW w:w="855" w:type="dxa"/>
            <w:shd w:val="clear" w:color="auto" w:fill="auto"/>
            <w:noWrap/>
            <w:vAlign w:val="bottom"/>
          </w:tcPr>
          <w:p w14:paraId="1AEC5099"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w:t>
            </w:r>
          </w:p>
        </w:tc>
        <w:tc>
          <w:tcPr>
            <w:tcW w:w="855" w:type="dxa"/>
            <w:shd w:val="clear" w:color="auto" w:fill="auto"/>
            <w:noWrap/>
            <w:vAlign w:val="bottom"/>
          </w:tcPr>
          <w:p w14:paraId="76DCBBB2"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102</w:t>
            </w:r>
          </w:p>
        </w:tc>
        <w:tc>
          <w:tcPr>
            <w:tcW w:w="939" w:type="dxa"/>
            <w:shd w:val="clear" w:color="auto" w:fill="auto"/>
            <w:noWrap/>
            <w:vAlign w:val="bottom"/>
          </w:tcPr>
          <w:p w14:paraId="0D198BC3"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909" w:type="dxa"/>
            <w:shd w:val="clear" w:color="auto" w:fill="auto"/>
            <w:noWrap/>
            <w:vAlign w:val="bottom"/>
          </w:tcPr>
          <w:p w14:paraId="28136121"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17</w:t>
            </w:r>
          </w:p>
        </w:tc>
        <w:tc>
          <w:tcPr>
            <w:tcW w:w="716" w:type="dxa"/>
            <w:shd w:val="clear" w:color="auto" w:fill="auto"/>
            <w:noWrap/>
            <w:vAlign w:val="bottom"/>
          </w:tcPr>
          <w:p w14:paraId="0A81E5B1"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7 793</w:t>
            </w:r>
          </w:p>
        </w:tc>
      </w:tr>
      <w:tr w:rsidR="00753AB8" w:rsidRPr="00A66C9F" w14:paraId="3380BB2E" w14:textId="77777777" w:rsidTr="00100F73">
        <w:tc>
          <w:tcPr>
            <w:tcW w:w="2984" w:type="dxa"/>
            <w:shd w:val="clear" w:color="auto" w:fill="auto"/>
            <w:noWrap/>
            <w:vAlign w:val="bottom"/>
          </w:tcPr>
          <w:p w14:paraId="499E009B"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Organisation internationale du Travail</w:t>
            </w:r>
          </w:p>
        </w:tc>
        <w:tc>
          <w:tcPr>
            <w:tcW w:w="854" w:type="dxa"/>
            <w:shd w:val="clear" w:color="auto" w:fill="auto"/>
            <w:noWrap/>
            <w:vAlign w:val="bottom"/>
          </w:tcPr>
          <w:p w14:paraId="4D8A18A5"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33</w:t>
            </w:r>
          </w:p>
        </w:tc>
        <w:tc>
          <w:tcPr>
            <w:tcW w:w="855" w:type="dxa"/>
            <w:shd w:val="clear" w:color="auto" w:fill="auto"/>
            <w:noWrap/>
            <w:vAlign w:val="bottom"/>
          </w:tcPr>
          <w:p w14:paraId="45E03FB8"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19</w:t>
            </w:r>
          </w:p>
        </w:tc>
        <w:tc>
          <w:tcPr>
            <w:tcW w:w="855" w:type="dxa"/>
            <w:shd w:val="clear" w:color="auto" w:fill="auto"/>
            <w:noWrap/>
            <w:vAlign w:val="bottom"/>
          </w:tcPr>
          <w:p w14:paraId="46F93E26"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12</w:t>
            </w:r>
          </w:p>
        </w:tc>
        <w:tc>
          <w:tcPr>
            <w:tcW w:w="854" w:type="dxa"/>
            <w:shd w:val="clear" w:color="auto" w:fill="auto"/>
            <w:noWrap/>
            <w:vAlign w:val="bottom"/>
          </w:tcPr>
          <w:p w14:paraId="62D21C82"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165</w:t>
            </w:r>
          </w:p>
        </w:tc>
        <w:tc>
          <w:tcPr>
            <w:tcW w:w="855" w:type="dxa"/>
            <w:shd w:val="clear" w:color="auto" w:fill="auto"/>
            <w:noWrap/>
            <w:vAlign w:val="bottom"/>
          </w:tcPr>
          <w:p w14:paraId="319C85DD"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50</w:t>
            </w:r>
          </w:p>
        </w:tc>
        <w:tc>
          <w:tcPr>
            <w:tcW w:w="855" w:type="dxa"/>
            <w:shd w:val="clear" w:color="auto" w:fill="auto"/>
            <w:noWrap/>
            <w:vAlign w:val="bottom"/>
          </w:tcPr>
          <w:p w14:paraId="5CC83292"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18</w:t>
            </w:r>
          </w:p>
        </w:tc>
        <w:tc>
          <w:tcPr>
            <w:tcW w:w="854" w:type="dxa"/>
            <w:shd w:val="clear" w:color="auto" w:fill="auto"/>
            <w:noWrap/>
            <w:vAlign w:val="bottom"/>
          </w:tcPr>
          <w:p w14:paraId="0748E93A"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w:t>
            </w:r>
          </w:p>
        </w:tc>
        <w:tc>
          <w:tcPr>
            <w:tcW w:w="855" w:type="dxa"/>
            <w:shd w:val="clear" w:color="auto" w:fill="auto"/>
            <w:noWrap/>
            <w:vAlign w:val="bottom"/>
          </w:tcPr>
          <w:p w14:paraId="132815EA"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5" w:type="dxa"/>
            <w:shd w:val="clear" w:color="auto" w:fill="auto"/>
            <w:noWrap/>
            <w:vAlign w:val="bottom"/>
          </w:tcPr>
          <w:p w14:paraId="03DD5C32"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w:t>
            </w:r>
          </w:p>
        </w:tc>
        <w:tc>
          <w:tcPr>
            <w:tcW w:w="939" w:type="dxa"/>
            <w:shd w:val="clear" w:color="auto" w:fill="auto"/>
            <w:noWrap/>
            <w:vAlign w:val="bottom"/>
          </w:tcPr>
          <w:p w14:paraId="5E26A7C1"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909" w:type="dxa"/>
            <w:shd w:val="clear" w:color="auto" w:fill="auto"/>
            <w:noWrap/>
            <w:vAlign w:val="bottom"/>
          </w:tcPr>
          <w:p w14:paraId="0BFE7CCB"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716" w:type="dxa"/>
            <w:shd w:val="clear" w:color="auto" w:fill="auto"/>
            <w:noWrap/>
            <w:vAlign w:val="bottom"/>
          </w:tcPr>
          <w:p w14:paraId="3D063DE1"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303</w:t>
            </w:r>
          </w:p>
        </w:tc>
      </w:tr>
      <w:tr w:rsidR="00753AB8" w:rsidRPr="00A66C9F" w14:paraId="3B76DB36" w14:textId="77777777" w:rsidTr="00100F73">
        <w:tc>
          <w:tcPr>
            <w:tcW w:w="2984" w:type="dxa"/>
            <w:shd w:val="clear" w:color="auto" w:fill="auto"/>
            <w:noWrap/>
            <w:vAlign w:val="bottom"/>
          </w:tcPr>
          <w:p w14:paraId="6C999067"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Organisation des Nations Unies pour l’alimentation et l’agriculture</w:t>
            </w:r>
          </w:p>
        </w:tc>
        <w:tc>
          <w:tcPr>
            <w:tcW w:w="854" w:type="dxa"/>
            <w:shd w:val="clear" w:color="auto" w:fill="auto"/>
            <w:noWrap/>
            <w:vAlign w:val="bottom"/>
          </w:tcPr>
          <w:p w14:paraId="5A459E33"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83</w:t>
            </w:r>
          </w:p>
        </w:tc>
        <w:tc>
          <w:tcPr>
            <w:tcW w:w="855" w:type="dxa"/>
            <w:shd w:val="clear" w:color="auto" w:fill="auto"/>
            <w:noWrap/>
            <w:vAlign w:val="bottom"/>
          </w:tcPr>
          <w:p w14:paraId="3BD30230"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65</w:t>
            </w:r>
          </w:p>
        </w:tc>
        <w:tc>
          <w:tcPr>
            <w:tcW w:w="855" w:type="dxa"/>
            <w:shd w:val="clear" w:color="auto" w:fill="auto"/>
            <w:noWrap/>
            <w:vAlign w:val="bottom"/>
          </w:tcPr>
          <w:p w14:paraId="2907C85A"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19</w:t>
            </w:r>
          </w:p>
        </w:tc>
        <w:tc>
          <w:tcPr>
            <w:tcW w:w="854" w:type="dxa"/>
            <w:shd w:val="clear" w:color="auto" w:fill="auto"/>
            <w:noWrap/>
            <w:vAlign w:val="bottom"/>
          </w:tcPr>
          <w:p w14:paraId="2A9DE12A"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273</w:t>
            </w:r>
          </w:p>
        </w:tc>
        <w:tc>
          <w:tcPr>
            <w:tcW w:w="855" w:type="dxa"/>
            <w:shd w:val="clear" w:color="auto" w:fill="auto"/>
            <w:noWrap/>
            <w:vAlign w:val="bottom"/>
          </w:tcPr>
          <w:p w14:paraId="05D3D224"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111</w:t>
            </w:r>
          </w:p>
        </w:tc>
        <w:tc>
          <w:tcPr>
            <w:tcW w:w="855" w:type="dxa"/>
            <w:shd w:val="clear" w:color="auto" w:fill="auto"/>
            <w:noWrap/>
            <w:vAlign w:val="bottom"/>
          </w:tcPr>
          <w:p w14:paraId="2A31664D"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94</w:t>
            </w:r>
          </w:p>
        </w:tc>
        <w:tc>
          <w:tcPr>
            <w:tcW w:w="854" w:type="dxa"/>
            <w:shd w:val="clear" w:color="auto" w:fill="auto"/>
            <w:noWrap/>
            <w:vAlign w:val="bottom"/>
          </w:tcPr>
          <w:p w14:paraId="442E6CCB"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15</w:t>
            </w:r>
          </w:p>
        </w:tc>
        <w:tc>
          <w:tcPr>
            <w:tcW w:w="855" w:type="dxa"/>
            <w:shd w:val="clear" w:color="auto" w:fill="auto"/>
            <w:noWrap/>
            <w:vAlign w:val="bottom"/>
          </w:tcPr>
          <w:p w14:paraId="441072E6"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5" w:type="dxa"/>
            <w:shd w:val="clear" w:color="auto" w:fill="auto"/>
            <w:noWrap/>
            <w:vAlign w:val="bottom"/>
          </w:tcPr>
          <w:p w14:paraId="4614C283"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11</w:t>
            </w:r>
          </w:p>
        </w:tc>
        <w:tc>
          <w:tcPr>
            <w:tcW w:w="939" w:type="dxa"/>
            <w:shd w:val="clear" w:color="auto" w:fill="auto"/>
            <w:noWrap/>
            <w:vAlign w:val="bottom"/>
          </w:tcPr>
          <w:p w14:paraId="2576F714"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909" w:type="dxa"/>
            <w:shd w:val="clear" w:color="auto" w:fill="auto"/>
            <w:noWrap/>
            <w:vAlign w:val="bottom"/>
          </w:tcPr>
          <w:p w14:paraId="5FF18BC9"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716" w:type="dxa"/>
            <w:shd w:val="clear" w:color="auto" w:fill="auto"/>
            <w:noWrap/>
            <w:vAlign w:val="bottom"/>
          </w:tcPr>
          <w:p w14:paraId="508C8FD6"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671</w:t>
            </w:r>
          </w:p>
        </w:tc>
      </w:tr>
      <w:tr w:rsidR="00753AB8" w:rsidRPr="00A66C9F" w14:paraId="02F89363" w14:textId="77777777" w:rsidTr="00100F73">
        <w:tc>
          <w:tcPr>
            <w:tcW w:w="2984" w:type="dxa"/>
            <w:shd w:val="clear" w:color="auto" w:fill="auto"/>
            <w:noWrap/>
            <w:vAlign w:val="bottom"/>
          </w:tcPr>
          <w:p w14:paraId="59C4719F"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Organisation des Nations Unies pour l’éducation, la science et la culture</w:t>
            </w:r>
          </w:p>
        </w:tc>
        <w:tc>
          <w:tcPr>
            <w:tcW w:w="854" w:type="dxa"/>
            <w:shd w:val="clear" w:color="auto" w:fill="auto"/>
            <w:noWrap/>
            <w:vAlign w:val="bottom"/>
          </w:tcPr>
          <w:p w14:paraId="6047B3C8"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30</w:t>
            </w:r>
          </w:p>
        </w:tc>
        <w:tc>
          <w:tcPr>
            <w:tcW w:w="855" w:type="dxa"/>
            <w:shd w:val="clear" w:color="auto" w:fill="auto"/>
            <w:noWrap/>
            <w:vAlign w:val="bottom"/>
          </w:tcPr>
          <w:p w14:paraId="39C8E363"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15</w:t>
            </w:r>
          </w:p>
        </w:tc>
        <w:tc>
          <w:tcPr>
            <w:tcW w:w="855" w:type="dxa"/>
            <w:shd w:val="clear" w:color="auto" w:fill="auto"/>
            <w:noWrap/>
            <w:vAlign w:val="bottom"/>
          </w:tcPr>
          <w:p w14:paraId="6AC81DBC"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7</w:t>
            </w:r>
          </w:p>
        </w:tc>
        <w:tc>
          <w:tcPr>
            <w:tcW w:w="854" w:type="dxa"/>
            <w:shd w:val="clear" w:color="auto" w:fill="auto"/>
            <w:noWrap/>
            <w:vAlign w:val="bottom"/>
          </w:tcPr>
          <w:p w14:paraId="1A29AE29"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63</w:t>
            </w:r>
          </w:p>
        </w:tc>
        <w:tc>
          <w:tcPr>
            <w:tcW w:w="855" w:type="dxa"/>
            <w:shd w:val="clear" w:color="auto" w:fill="auto"/>
            <w:noWrap/>
            <w:vAlign w:val="bottom"/>
          </w:tcPr>
          <w:p w14:paraId="4C0B0DEC"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20</w:t>
            </w:r>
          </w:p>
        </w:tc>
        <w:tc>
          <w:tcPr>
            <w:tcW w:w="855" w:type="dxa"/>
            <w:shd w:val="clear" w:color="auto" w:fill="auto"/>
            <w:noWrap/>
            <w:vAlign w:val="bottom"/>
          </w:tcPr>
          <w:p w14:paraId="5F21E4F5"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9</w:t>
            </w:r>
          </w:p>
        </w:tc>
        <w:tc>
          <w:tcPr>
            <w:tcW w:w="854" w:type="dxa"/>
            <w:shd w:val="clear" w:color="auto" w:fill="auto"/>
            <w:noWrap/>
            <w:vAlign w:val="bottom"/>
          </w:tcPr>
          <w:p w14:paraId="32597D1F"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w:t>
            </w:r>
          </w:p>
        </w:tc>
        <w:tc>
          <w:tcPr>
            <w:tcW w:w="855" w:type="dxa"/>
            <w:shd w:val="clear" w:color="auto" w:fill="auto"/>
            <w:noWrap/>
            <w:vAlign w:val="bottom"/>
          </w:tcPr>
          <w:p w14:paraId="2E21DA3E"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5" w:type="dxa"/>
            <w:shd w:val="clear" w:color="auto" w:fill="auto"/>
            <w:noWrap/>
            <w:vAlign w:val="bottom"/>
          </w:tcPr>
          <w:p w14:paraId="63BE370A"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w:t>
            </w:r>
          </w:p>
        </w:tc>
        <w:tc>
          <w:tcPr>
            <w:tcW w:w="939" w:type="dxa"/>
            <w:shd w:val="clear" w:color="auto" w:fill="auto"/>
            <w:noWrap/>
            <w:vAlign w:val="bottom"/>
          </w:tcPr>
          <w:p w14:paraId="13527585"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909" w:type="dxa"/>
            <w:shd w:val="clear" w:color="auto" w:fill="auto"/>
            <w:noWrap/>
            <w:vAlign w:val="bottom"/>
          </w:tcPr>
          <w:p w14:paraId="5D731E98"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716" w:type="dxa"/>
            <w:shd w:val="clear" w:color="auto" w:fill="auto"/>
            <w:noWrap/>
            <w:vAlign w:val="bottom"/>
          </w:tcPr>
          <w:p w14:paraId="24699EAA"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148</w:t>
            </w:r>
          </w:p>
        </w:tc>
      </w:tr>
      <w:tr w:rsidR="00753AB8" w:rsidRPr="00A66C9F" w14:paraId="35EBE5B5" w14:textId="77777777" w:rsidTr="00100F73">
        <w:tc>
          <w:tcPr>
            <w:tcW w:w="2984" w:type="dxa"/>
            <w:shd w:val="clear" w:color="auto" w:fill="auto"/>
            <w:noWrap/>
            <w:vAlign w:val="bottom"/>
          </w:tcPr>
          <w:p w14:paraId="153AF637"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Organisation mondiale de la Santé</w:t>
            </w:r>
          </w:p>
        </w:tc>
        <w:tc>
          <w:tcPr>
            <w:tcW w:w="854" w:type="dxa"/>
            <w:shd w:val="clear" w:color="auto" w:fill="auto"/>
            <w:noWrap/>
            <w:vAlign w:val="bottom"/>
          </w:tcPr>
          <w:p w14:paraId="120446C5"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87</w:t>
            </w:r>
          </w:p>
        </w:tc>
        <w:tc>
          <w:tcPr>
            <w:tcW w:w="855" w:type="dxa"/>
            <w:shd w:val="clear" w:color="auto" w:fill="auto"/>
            <w:noWrap/>
            <w:vAlign w:val="bottom"/>
          </w:tcPr>
          <w:p w14:paraId="491BB32E"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61</w:t>
            </w:r>
          </w:p>
        </w:tc>
        <w:tc>
          <w:tcPr>
            <w:tcW w:w="855" w:type="dxa"/>
            <w:shd w:val="clear" w:color="auto" w:fill="auto"/>
            <w:noWrap/>
            <w:vAlign w:val="bottom"/>
          </w:tcPr>
          <w:p w14:paraId="46B5CDB8"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22</w:t>
            </w:r>
          </w:p>
        </w:tc>
        <w:tc>
          <w:tcPr>
            <w:tcW w:w="854" w:type="dxa"/>
            <w:shd w:val="clear" w:color="auto" w:fill="auto"/>
            <w:noWrap/>
            <w:vAlign w:val="bottom"/>
          </w:tcPr>
          <w:p w14:paraId="47A1D5CC"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274</w:t>
            </w:r>
          </w:p>
        </w:tc>
        <w:tc>
          <w:tcPr>
            <w:tcW w:w="855" w:type="dxa"/>
            <w:shd w:val="clear" w:color="auto" w:fill="auto"/>
            <w:noWrap/>
            <w:vAlign w:val="bottom"/>
          </w:tcPr>
          <w:p w14:paraId="2693D7AA"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71</w:t>
            </w:r>
          </w:p>
        </w:tc>
        <w:tc>
          <w:tcPr>
            <w:tcW w:w="855" w:type="dxa"/>
            <w:shd w:val="clear" w:color="auto" w:fill="auto"/>
            <w:noWrap/>
            <w:vAlign w:val="bottom"/>
          </w:tcPr>
          <w:p w14:paraId="10C56575"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158</w:t>
            </w:r>
          </w:p>
        </w:tc>
        <w:tc>
          <w:tcPr>
            <w:tcW w:w="854" w:type="dxa"/>
            <w:shd w:val="clear" w:color="auto" w:fill="auto"/>
            <w:noWrap/>
            <w:vAlign w:val="bottom"/>
          </w:tcPr>
          <w:p w14:paraId="7FD20507"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12</w:t>
            </w:r>
          </w:p>
        </w:tc>
        <w:tc>
          <w:tcPr>
            <w:tcW w:w="855" w:type="dxa"/>
            <w:shd w:val="clear" w:color="auto" w:fill="auto"/>
            <w:noWrap/>
            <w:vAlign w:val="bottom"/>
          </w:tcPr>
          <w:p w14:paraId="3717E158"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5" w:type="dxa"/>
            <w:shd w:val="clear" w:color="auto" w:fill="auto"/>
            <w:noWrap/>
            <w:vAlign w:val="bottom"/>
          </w:tcPr>
          <w:p w14:paraId="2A2CB3ED"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15</w:t>
            </w:r>
          </w:p>
        </w:tc>
        <w:tc>
          <w:tcPr>
            <w:tcW w:w="939" w:type="dxa"/>
            <w:shd w:val="clear" w:color="auto" w:fill="auto"/>
            <w:noWrap/>
            <w:vAlign w:val="bottom"/>
          </w:tcPr>
          <w:p w14:paraId="0FFF6577"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w:t>
            </w:r>
          </w:p>
        </w:tc>
        <w:tc>
          <w:tcPr>
            <w:tcW w:w="909" w:type="dxa"/>
            <w:shd w:val="clear" w:color="auto" w:fill="auto"/>
            <w:noWrap/>
            <w:vAlign w:val="bottom"/>
          </w:tcPr>
          <w:p w14:paraId="53E43BF4"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w:t>
            </w:r>
          </w:p>
        </w:tc>
        <w:tc>
          <w:tcPr>
            <w:tcW w:w="716" w:type="dxa"/>
            <w:shd w:val="clear" w:color="auto" w:fill="auto"/>
            <w:noWrap/>
            <w:vAlign w:val="bottom"/>
          </w:tcPr>
          <w:p w14:paraId="75DCE28B"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702</w:t>
            </w:r>
          </w:p>
        </w:tc>
      </w:tr>
      <w:tr w:rsidR="00753AB8" w:rsidRPr="00A66C9F" w14:paraId="76715D05" w14:textId="77777777" w:rsidTr="00100F73">
        <w:tc>
          <w:tcPr>
            <w:tcW w:w="2984" w:type="dxa"/>
            <w:shd w:val="clear" w:color="auto" w:fill="auto"/>
            <w:noWrap/>
            <w:vAlign w:val="bottom"/>
          </w:tcPr>
          <w:p w14:paraId="35D82A4B"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Organisation de l’aviation civile internationale</w:t>
            </w:r>
          </w:p>
        </w:tc>
        <w:tc>
          <w:tcPr>
            <w:tcW w:w="854" w:type="dxa"/>
            <w:shd w:val="clear" w:color="auto" w:fill="auto"/>
            <w:noWrap/>
            <w:vAlign w:val="bottom"/>
          </w:tcPr>
          <w:p w14:paraId="40DB5B68"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9</w:t>
            </w:r>
          </w:p>
        </w:tc>
        <w:tc>
          <w:tcPr>
            <w:tcW w:w="855" w:type="dxa"/>
            <w:shd w:val="clear" w:color="auto" w:fill="auto"/>
            <w:noWrap/>
            <w:vAlign w:val="bottom"/>
          </w:tcPr>
          <w:p w14:paraId="3A4E8EA8"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9</w:t>
            </w:r>
          </w:p>
        </w:tc>
        <w:tc>
          <w:tcPr>
            <w:tcW w:w="855" w:type="dxa"/>
            <w:shd w:val="clear" w:color="auto" w:fill="auto"/>
            <w:noWrap/>
            <w:vAlign w:val="bottom"/>
          </w:tcPr>
          <w:p w14:paraId="72C38FC1"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w:t>
            </w:r>
          </w:p>
        </w:tc>
        <w:tc>
          <w:tcPr>
            <w:tcW w:w="854" w:type="dxa"/>
            <w:shd w:val="clear" w:color="auto" w:fill="auto"/>
            <w:noWrap/>
            <w:vAlign w:val="bottom"/>
          </w:tcPr>
          <w:p w14:paraId="536EDF51"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57</w:t>
            </w:r>
          </w:p>
        </w:tc>
        <w:tc>
          <w:tcPr>
            <w:tcW w:w="855" w:type="dxa"/>
            <w:shd w:val="clear" w:color="auto" w:fill="auto"/>
            <w:noWrap/>
            <w:vAlign w:val="bottom"/>
          </w:tcPr>
          <w:p w14:paraId="5F79F82C"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w:t>
            </w:r>
          </w:p>
        </w:tc>
        <w:tc>
          <w:tcPr>
            <w:tcW w:w="855" w:type="dxa"/>
            <w:shd w:val="clear" w:color="auto" w:fill="auto"/>
            <w:noWrap/>
            <w:vAlign w:val="bottom"/>
          </w:tcPr>
          <w:p w14:paraId="65329057"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w:t>
            </w:r>
          </w:p>
        </w:tc>
        <w:tc>
          <w:tcPr>
            <w:tcW w:w="854" w:type="dxa"/>
            <w:shd w:val="clear" w:color="auto" w:fill="auto"/>
            <w:noWrap/>
            <w:vAlign w:val="bottom"/>
          </w:tcPr>
          <w:p w14:paraId="5FD84A12"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5" w:type="dxa"/>
            <w:shd w:val="clear" w:color="auto" w:fill="auto"/>
            <w:noWrap/>
            <w:vAlign w:val="bottom"/>
          </w:tcPr>
          <w:p w14:paraId="079E8709"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5" w:type="dxa"/>
            <w:shd w:val="clear" w:color="auto" w:fill="auto"/>
            <w:noWrap/>
            <w:vAlign w:val="bottom"/>
          </w:tcPr>
          <w:p w14:paraId="67AF065C"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939" w:type="dxa"/>
            <w:shd w:val="clear" w:color="auto" w:fill="auto"/>
            <w:noWrap/>
            <w:vAlign w:val="bottom"/>
          </w:tcPr>
          <w:p w14:paraId="4093EA10"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909" w:type="dxa"/>
            <w:shd w:val="clear" w:color="auto" w:fill="auto"/>
            <w:noWrap/>
            <w:vAlign w:val="bottom"/>
          </w:tcPr>
          <w:p w14:paraId="05873E35"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716" w:type="dxa"/>
            <w:shd w:val="clear" w:color="auto" w:fill="auto"/>
            <w:noWrap/>
            <w:vAlign w:val="bottom"/>
          </w:tcPr>
          <w:p w14:paraId="306A3B4A"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84</w:t>
            </w:r>
          </w:p>
        </w:tc>
      </w:tr>
      <w:tr w:rsidR="00753AB8" w:rsidRPr="00A66C9F" w14:paraId="3FD7BDD2" w14:textId="77777777" w:rsidTr="00100F73">
        <w:tc>
          <w:tcPr>
            <w:tcW w:w="2984" w:type="dxa"/>
            <w:shd w:val="clear" w:color="auto" w:fill="auto"/>
            <w:noWrap/>
            <w:vAlign w:val="bottom"/>
          </w:tcPr>
          <w:p w14:paraId="760A9288"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Organisation météorologique mondiale</w:t>
            </w:r>
          </w:p>
        </w:tc>
        <w:tc>
          <w:tcPr>
            <w:tcW w:w="854" w:type="dxa"/>
            <w:shd w:val="clear" w:color="auto" w:fill="auto"/>
            <w:noWrap/>
            <w:vAlign w:val="bottom"/>
          </w:tcPr>
          <w:p w14:paraId="0EA46638"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10</w:t>
            </w:r>
          </w:p>
        </w:tc>
        <w:tc>
          <w:tcPr>
            <w:tcW w:w="855" w:type="dxa"/>
            <w:shd w:val="clear" w:color="auto" w:fill="auto"/>
            <w:noWrap/>
            <w:vAlign w:val="bottom"/>
          </w:tcPr>
          <w:p w14:paraId="53F21ABB"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w:t>
            </w:r>
          </w:p>
        </w:tc>
        <w:tc>
          <w:tcPr>
            <w:tcW w:w="855" w:type="dxa"/>
            <w:shd w:val="clear" w:color="auto" w:fill="auto"/>
            <w:noWrap/>
            <w:vAlign w:val="bottom"/>
          </w:tcPr>
          <w:p w14:paraId="09F84E1B"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4" w:type="dxa"/>
            <w:shd w:val="clear" w:color="auto" w:fill="auto"/>
            <w:noWrap/>
            <w:vAlign w:val="bottom"/>
          </w:tcPr>
          <w:p w14:paraId="15D910F1"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17</w:t>
            </w:r>
          </w:p>
        </w:tc>
        <w:tc>
          <w:tcPr>
            <w:tcW w:w="855" w:type="dxa"/>
            <w:shd w:val="clear" w:color="auto" w:fill="auto"/>
            <w:noWrap/>
            <w:vAlign w:val="bottom"/>
          </w:tcPr>
          <w:p w14:paraId="436BAAB1"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w:t>
            </w:r>
          </w:p>
        </w:tc>
        <w:tc>
          <w:tcPr>
            <w:tcW w:w="855" w:type="dxa"/>
            <w:shd w:val="clear" w:color="auto" w:fill="auto"/>
            <w:noWrap/>
            <w:vAlign w:val="bottom"/>
          </w:tcPr>
          <w:p w14:paraId="14802A89"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w:t>
            </w:r>
          </w:p>
        </w:tc>
        <w:tc>
          <w:tcPr>
            <w:tcW w:w="854" w:type="dxa"/>
            <w:shd w:val="clear" w:color="auto" w:fill="auto"/>
            <w:noWrap/>
            <w:vAlign w:val="bottom"/>
          </w:tcPr>
          <w:p w14:paraId="13EC8245"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5" w:type="dxa"/>
            <w:shd w:val="clear" w:color="auto" w:fill="auto"/>
            <w:noWrap/>
            <w:vAlign w:val="bottom"/>
          </w:tcPr>
          <w:p w14:paraId="734E42E4"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5" w:type="dxa"/>
            <w:shd w:val="clear" w:color="auto" w:fill="auto"/>
            <w:noWrap/>
            <w:vAlign w:val="bottom"/>
          </w:tcPr>
          <w:p w14:paraId="1C691D04"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w:t>
            </w:r>
          </w:p>
        </w:tc>
        <w:tc>
          <w:tcPr>
            <w:tcW w:w="939" w:type="dxa"/>
            <w:shd w:val="clear" w:color="auto" w:fill="auto"/>
            <w:noWrap/>
            <w:vAlign w:val="bottom"/>
          </w:tcPr>
          <w:p w14:paraId="078AE36B"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909" w:type="dxa"/>
            <w:shd w:val="clear" w:color="auto" w:fill="auto"/>
            <w:noWrap/>
            <w:vAlign w:val="bottom"/>
          </w:tcPr>
          <w:p w14:paraId="764345DA"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716" w:type="dxa"/>
            <w:shd w:val="clear" w:color="auto" w:fill="auto"/>
            <w:noWrap/>
            <w:vAlign w:val="bottom"/>
          </w:tcPr>
          <w:p w14:paraId="0DDBAF10"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36</w:t>
            </w:r>
          </w:p>
        </w:tc>
      </w:tr>
      <w:tr w:rsidR="00753AB8" w:rsidRPr="00A66C9F" w14:paraId="53941ACD" w14:textId="77777777" w:rsidTr="00100F73">
        <w:tc>
          <w:tcPr>
            <w:tcW w:w="2984" w:type="dxa"/>
            <w:shd w:val="clear" w:color="auto" w:fill="auto"/>
            <w:noWrap/>
            <w:vAlign w:val="bottom"/>
          </w:tcPr>
          <w:p w14:paraId="529A064B"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Agence internationale de l’énergie atomique</w:t>
            </w:r>
          </w:p>
        </w:tc>
        <w:tc>
          <w:tcPr>
            <w:tcW w:w="854" w:type="dxa"/>
            <w:shd w:val="clear" w:color="auto" w:fill="auto"/>
            <w:noWrap/>
            <w:vAlign w:val="bottom"/>
          </w:tcPr>
          <w:p w14:paraId="79F03F63"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30</w:t>
            </w:r>
          </w:p>
        </w:tc>
        <w:tc>
          <w:tcPr>
            <w:tcW w:w="855" w:type="dxa"/>
            <w:shd w:val="clear" w:color="auto" w:fill="auto"/>
            <w:noWrap/>
            <w:vAlign w:val="bottom"/>
          </w:tcPr>
          <w:p w14:paraId="10BCB87F"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19</w:t>
            </w:r>
          </w:p>
        </w:tc>
        <w:tc>
          <w:tcPr>
            <w:tcW w:w="855" w:type="dxa"/>
            <w:shd w:val="clear" w:color="auto" w:fill="auto"/>
            <w:noWrap/>
            <w:vAlign w:val="bottom"/>
          </w:tcPr>
          <w:p w14:paraId="32FE999C"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11</w:t>
            </w:r>
          </w:p>
        </w:tc>
        <w:tc>
          <w:tcPr>
            <w:tcW w:w="854" w:type="dxa"/>
            <w:shd w:val="clear" w:color="auto" w:fill="auto"/>
            <w:noWrap/>
            <w:vAlign w:val="bottom"/>
          </w:tcPr>
          <w:p w14:paraId="6C57B55C"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45</w:t>
            </w:r>
          </w:p>
        </w:tc>
        <w:tc>
          <w:tcPr>
            <w:tcW w:w="855" w:type="dxa"/>
            <w:shd w:val="clear" w:color="auto" w:fill="auto"/>
            <w:noWrap/>
            <w:vAlign w:val="bottom"/>
          </w:tcPr>
          <w:p w14:paraId="7BD57365"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13</w:t>
            </w:r>
          </w:p>
        </w:tc>
        <w:tc>
          <w:tcPr>
            <w:tcW w:w="855" w:type="dxa"/>
            <w:shd w:val="clear" w:color="auto" w:fill="auto"/>
            <w:noWrap/>
            <w:vAlign w:val="bottom"/>
          </w:tcPr>
          <w:p w14:paraId="46B8D5F6"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11</w:t>
            </w:r>
          </w:p>
        </w:tc>
        <w:tc>
          <w:tcPr>
            <w:tcW w:w="854" w:type="dxa"/>
            <w:shd w:val="clear" w:color="auto" w:fill="auto"/>
            <w:noWrap/>
            <w:vAlign w:val="bottom"/>
          </w:tcPr>
          <w:p w14:paraId="3BF52A57"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5" w:type="dxa"/>
            <w:shd w:val="clear" w:color="auto" w:fill="auto"/>
            <w:noWrap/>
            <w:vAlign w:val="bottom"/>
          </w:tcPr>
          <w:p w14:paraId="47661BA1"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5" w:type="dxa"/>
            <w:shd w:val="clear" w:color="auto" w:fill="auto"/>
            <w:noWrap/>
            <w:vAlign w:val="bottom"/>
          </w:tcPr>
          <w:p w14:paraId="333EC907"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12</w:t>
            </w:r>
          </w:p>
        </w:tc>
        <w:tc>
          <w:tcPr>
            <w:tcW w:w="939" w:type="dxa"/>
            <w:shd w:val="clear" w:color="auto" w:fill="auto"/>
            <w:noWrap/>
            <w:vAlign w:val="bottom"/>
          </w:tcPr>
          <w:p w14:paraId="0AB2EDB5"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909" w:type="dxa"/>
            <w:shd w:val="clear" w:color="auto" w:fill="auto"/>
            <w:noWrap/>
            <w:vAlign w:val="bottom"/>
          </w:tcPr>
          <w:p w14:paraId="0D55FC45"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w:t>
            </w:r>
          </w:p>
        </w:tc>
        <w:tc>
          <w:tcPr>
            <w:tcW w:w="716" w:type="dxa"/>
            <w:shd w:val="clear" w:color="auto" w:fill="auto"/>
            <w:noWrap/>
            <w:vAlign w:val="bottom"/>
          </w:tcPr>
          <w:p w14:paraId="36BB896E"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142</w:t>
            </w:r>
          </w:p>
        </w:tc>
      </w:tr>
      <w:tr w:rsidR="00753AB8" w:rsidRPr="00A66C9F" w14:paraId="4B82E7B1" w14:textId="77777777" w:rsidTr="00100F73">
        <w:tc>
          <w:tcPr>
            <w:tcW w:w="2984" w:type="dxa"/>
            <w:shd w:val="clear" w:color="auto" w:fill="auto"/>
            <w:noWrap/>
            <w:vAlign w:val="bottom"/>
          </w:tcPr>
          <w:p w14:paraId="73D4FC24"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Organisation maritime internationale</w:t>
            </w:r>
          </w:p>
        </w:tc>
        <w:tc>
          <w:tcPr>
            <w:tcW w:w="854" w:type="dxa"/>
            <w:shd w:val="clear" w:color="auto" w:fill="auto"/>
            <w:noWrap/>
            <w:vAlign w:val="bottom"/>
          </w:tcPr>
          <w:p w14:paraId="4CD9F0D5"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w:t>
            </w:r>
          </w:p>
        </w:tc>
        <w:tc>
          <w:tcPr>
            <w:tcW w:w="855" w:type="dxa"/>
            <w:shd w:val="clear" w:color="auto" w:fill="auto"/>
            <w:noWrap/>
            <w:vAlign w:val="bottom"/>
          </w:tcPr>
          <w:p w14:paraId="5FF8E9AD"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w:t>
            </w:r>
          </w:p>
        </w:tc>
        <w:tc>
          <w:tcPr>
            <w:tcW w:w="855" w:type="dxa"/>
            <w:shd w:val="clear" w:color="auto" w:fill="auto"/>
            <w:noWrap/>
            <w:vAlign w:val="bottom"/>
          </w:tcPr>
          <w:p w14:paraId="6B298AEE"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4" w:type="dxa"/>
            <w:shd w:val="clear" w:color="auto" w:fill="auto"/>
            <w:noWrap/>
            <w:vAlign w:val="bottom"/>
          </w:tcPr>
          <w:p w14:paraId="33C3BAAE"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7</w:t>
            </w:r>
          </w:p>
        </w:tc>
        <w:tc>
          <w:tcPr>
            <w:tcW w:w="855" w:type="dxa"/>
            <w:shd w:val="clear" w:color="auto" w:fill="auto"/>
            <w:noWrap/>
            <w:vAlign w:val="bottom"/>
          </w:tcPr>
          <w:p w14:paraId="76DD868A"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5" w:type="dxa"/>
            <w:shd w:val="clear" w:color="auto" w:fill="auto"/>
            <w:noWrap/>
            <w:vAlign w:val="bottom"/>
          </w:tcPr>
          <w:p w14:paraId="2B7F5A77"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4" w:type="dxa"/>
            <w:shd w:val="clear" w:color="auto" w:fill="auto"/>
            <w:noWrap/>
            <w:vAlign w:val="bottom"/>
          </w:tcPr>
          <w:p w14:paraId="4FBE444C"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5" w:type="dxa"/>
            <w:shd w:val="clear" w:color="auto" w:fill="auto"/>
            <w:noWrap/>
            <w:vAlign w:val="bottom"/>
          </w:tcPr>
          <w:p w14:paraId="514EF2DF"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5" w:type="dxa"/>
            <w:shd w:val="clear" w:color="auto" w:fill="auto"/>
            <w:noWrap/>
            <w:vAlign w:val="bottom"/>
          </w:tcPr>
          <w:p w14:paraId="5CC837FE"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w:t>
            </w:r>
          </w:p>
        </w:tc>
        <w:tc>
          <w:tcPr>
            <w:tcW w:w="939" w:type="dxa"/>
            <w:shd w:val="clear" w:color="auto" w:fill="auto"/>
            <w:noWrap/>
            <w:vAlign w:val="bottom"/>
          </w:tcPr>
          <w:p w14:paraId="0818E318"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909" w:type="dxa"/>
            <w:shd w:val="clear" w:color="auto" w:fill="auto"/>
            <w:noWrap/>
            <w:vAlign w:val="bottom"/>
          </w:tcPr>
          <w:p w14:paraId="3DCCBEB3"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716" w:type="dxa"/>
            <w:shd w:val="clear" w:color="auto" w:fill="auto"/>
            <w:noWrap/>
            <w:vAlign w:val="bottom"/>
          </w:tcPr>
          <w:p w14:paraId="72BCAE98"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13</w:t>
            </w:r>
          </w:p>
        </w:tc>
      </w:tr>
      <w:tr w:rsidR="00753AB8" w:rsidRPr="00A66C9F" w14:paraId="4534841D" w14:textId="77777777" w:rsidTr="00100F73">
        <w:tc>
          <w:tcPr>
            <w:tcW w:w="2984" w:type="dxa"/>
            <w:shd w:val="clear" w:color="auto" w:fill="auto"/>
            <w:noWrap/>
            <w:vAlign w:val="bottom"/>
          </w:tcPr>
          <w:p w14:paraId="77FF4F7C"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Union internationale des télécommunications</w:t>
            </w:r>
          </w:p>
        </w:tc>
        <w:tc>
          <w:tcPr>
            <w:tcW w:w="854" w:type="dxa"/>
            <w:shd w:val="clear" w:color="auto" w:fill="auto"/>
            <w:noWrap/>
            <w:vAlign w:val="bottom"/>
          </w:tcPr>
          <w:p w14:paraId="18992E40"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7</w:t>
            </w:r>
          </w:p>
        </w:tc>
        <w:tc>
          <w:tcPr>
            <w:tcW w:w="855" w:type="dxa"/>
            <w:shd w:val="clear" w:color="auto" w:fill="auto"/>
            <w:noWrap/>
            <w:vAlign w:val="bottom"/>
          </w:tcPr>
          <w:p w14:paraId="47901DCC"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9</w:t>
            </w:r>
          </w:p>
        </w:tc>
        <w:tc>
          <w:tcPr>
            <w:tcW w:w="855" w:type="dxa"/>
            <w:shd w:val="clear" w:color="auto" w:fill="auto"/>
            <w:noWrap/>
            <w:vAlign w:val="bottom"/>
          </w:tcPr>
          <w:p w14:paraId="7ED3FF0F"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4" w:type="dxa"/>
            <w:shd w:val="clear" w:color="auto" w:fill="auto"/>
            <w:noWrap/>
            <w:vAlign w:val="bottom"/>
          </w:tcPr>
          <w:p w14:paraId="25ECEE7E"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9</w:t>
            </w:r>
          </w:p>
        </w:tc>
        <w:tc>
          <w:tcPr>
            <w:tcW w:w="855" w:type="dxa"/>
            <w:shd w:val="clear" w:color="auto" w:fill="auto"/>
            <w:noWrap/>
            <w:vAlign w:val="bottom"/>
          </w:tcPr>
          <w:p w14:paraId="0D861DFC"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5" w:type="dxa"/>
            <w:shd w:val="clear" w:color="auto" w:fill="auto"/>
            <w:noWrap/>
            <w:vAlign w:val="bottom"/>
          </w:tcPr>
          <w:p w14:paraId="6D390797"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5</w:t>
            </w:r>
          </w:p>
        </w:tc>
        <w:tc>
          <w:tcPr>
            <w:tcW w:w="854" w:type="dxa"/>
            <w:shd w:val="clear" w:color="auto" w:fill="auto"/>
            <w:noWrap/>
            <w:vAlign w:val="bottom"/>
          </w:tcPr>
          <w:p w14:paraId="3FE50ACA"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w:t>
            </w:r>
          </w:p>
        </w:tc>
        <w:tc>
          <w:tcPr>
            <w:tcW w:w="855" w:type="dxa"/>
            <w:shd w:val="clear" w:color="auto" w:fill="auto"/>
            <w:noWrap/>
            <w:vAlign w:val="bottom"/>
          </w:tcPr>
          <w:p w14:paraId="50DBC69E"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5" w:type="dxa"/>
            <w:shd w:val="clear" w:color="auto" w:fill="auto"/>
            <w:noWrap/>
            <w:vAlign w:val="bottom"/>
          </w:tcPr>
          <w:p w14:paraId="1A5F7012"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w:t>
            </w:r>
          </w:p>
        </w:tc>
        <w:tc>
          <w:tcPr>
            <w:tcW w:w="939" w:type="dxa"/>
            <w:shd w:val="clear" w:color="auto" w:fill="auto"/>
            <w:noWrap/>
            <w:vAlign w:val="bottom"/>
          </w:tcPr>
          <w:p w14:paraId="5A5B1FC1"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909" w:type="dxa"/>
            <w:shd w:val="clear" w:color="auto" w:fill="auto"/>
            <w:noWrap/>
            <w:vAlign w:val="bottom"/>
          </w:tcPr>
          <w:p w14:paraId="74DE184F"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716" w:type="dxa"/>
            <w:shd w:val="clear" w:color="auto" w:fill="auto"/>
            <w:noWrap/>
            <w:vAlign w:val="bottom"/>
          </w:tcPr>
          <w:p w14:paraId="07578FCE"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36</w:t>
            </w:r>
          </w:p>
        </w:tc>
      </w:tr>
      <w:tr w:rsidR="00753AB8" w:rsidRPr="00A66C9F" w14:paraId="38FC4466" w14:textId="77777777" w:rsidTr="00100F73">
        <w:tc>
          <w:tcPr>
            <w:tcW w:w="2984" w:type="dxa"/>
            <w:shd w:val="clear" w:color="auto" w:fill="auto"/>
            <w:noWrap/>
            <w:vAlign w:val="bottom"/>
          </w:tcPr>
          <w:p w14:paraId="0ABD21CF"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Organisation mondiale de la propriété intellectuelle</w:t>
            </w:r>
          </w:p>
        </w:tc>
        <w:tc>
          <w:tcPr>
            <w:tcW w:w="854" w:type="dxa"/>
            <w:shd w:val="clear" w:color="auto" w:fill="auto"/>
            <w:noWrap/>
            <w:vAlign w:val="bottom"/>
          </w:tcPr>
          <w:p w14:paraId="14C6AA70"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21</w:t>
            </w:r>
          </w:p>
        </w:tc>
        <w:tc>
          <w:tcPr>
            <w:tcW w:w="855" w:type="dxa"/>
            <w:shd w:val="clear" w:color="auto" w:fill="auto"/>
            <w:noWrap/>
            <w:vAlign w:val="bottom"/>
          </w:tcPr>
          <w:p w14:paraId="248552EC"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20</w:t>
            </w:r>
          </w:p>
        </w:tc>
        <w:tc>
          <w:tcPr>
            <w:tcW w:w="855" w:type="dxa"/>
            <w:shd w:val="clear" w:color="auto" w:fill="auto"/>
            <w:noWrap/>
            <w:vAlign w:val="bottom"/>
          </w:tcPr>
          <w:p w14:paraId="29CADF1C"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w:t>
            </w:r>
          </w:p>
        </w:tc>
        <w:tc>
          <w:tcPr>
            <w:tcW w:w="854" w:type="dxa"/>
            <w:shd w:val="clear" w:color="auto" w:fill="auto"/>
            <w:noWrap/>
            <w:vAlign w:val="bottom"/>
          </w:tcPr>
          <w:p w14:paraId="66DDF190"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25</w:t>
            </w:r>
          </w:p>
        </w:tc>
        <w:tc>
          <w:tcPr>
            <w:tcW w:w="855" w:type="dxa"/>
            <w:shd w:val="clear" w:color="auto" w:fill="auto"/>
            <w:noWrap/>
            <w:vAlign w:val="bottom"/>
          </w:tcPr>
          <w:p w14:paraId="6B890A96"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w:t>
            </w:r>
          </w:p>
        </w:tc>
        <w:tc>
          <w:tcPr>
            <w:tcW w:w="855" w:type="dxa"/>
            <w:shd w:val="clear" w:color="auto" w:fill="auto"/>
            <w:noWrap/>
            <w:vAlign w:val="bottom"/>
          </w:tcPr>
          <w:p w14:paraId="0367FE34"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18</w:t>
            </w:r>
          </w:p>
        </w:tc>
        <w:tc>
          <w:tcPr>
            <w:tcW w:w="854" w:type="dxa"/>
            <w:shd w:val="clear" w:color="auto" w:fill="auto"/>
            <w:noWrap/>
            <w:vAlign w:val="bottom"/>
          </w:tcPr>
          <w:p w14:paraId="478FBEF9"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5" w:type="dxa"/>
            <w:shd w:val="clear" w:color="auto" w:fill="auto"/>
            <w:noWrap/>
            <w:vAlign w:val="bottom"/>
          </w:tcPr>
          <w:p w14:paraId="709E2521"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5" w:type="dxa"/>
            <w:shd w:val="clear" w:color="auto" w:fill="auto"/>
            <w:noWrap/>
            <w:vAlign w:val="bottom"/>
          </w:tcPr>
          <w:p w14:paraId="7E03588C"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6</w:t>
            </w:r>
          </w:p>
        </w:tc>
        <w:tc>
          <w:tcPr>
            <w:tcW w:w="939" w:type="dxa"/>
            <w:shd w:val="clear" w:color="auto" w:fill="auto"/>
            <w:noWrap/>
            <w:vAlign w:val="bottom"/>
          </w:tcPr>
          <w:p w14:paraId="6168F2E9"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909" w:type="dxa"/>
            <w:shd w:val="clear" w:color="auto" w:fill="auto"/>
            <w:noWrap/>
            <w:vAlign w:val="bottom"/>
          </w:tcPr>
          <w:p w14:paraId="123BBED2"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716" w:type="dxa"/>
            <w:shd w:val="clear" w:color="auto" w:fill="auto"/>
            <w:noWrap/>
            <w:vAlign w:val="bottom"/>
          </w:tcPr>
          <w:p w14:paraId="19144087"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94</w:t>
            </w:r>
          </w:p>
        </w:tc>
      </w:tr>
      <w:tr w:rsidR="00753AB8" w:rsidRPr="00A66C9F" w14:paraId="6CB9CA61" w14:textId="77777777" w:rsidTr="00100F73">
        <w:tc>
          <w:tcPr>
            <w:tcW w:w="2984" w:type="dxa"/>
            <w:shd w:val="clear" w:color="auto" w:fill="auto"/>
            <w:noWrap/>
            <w:vAlign w:val="bottom"/>
          </w:tcPr>
          <w:p w14:paraId="40D8D03A"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Fonds international de développement agricole</w:t>
            </w:r>
          </w:p>
        </w:tc>
        <w:tc>
          <w:tcPr>
            <w:tcW w:w="854" w:type="dxa"/>
            <w:shd w:val="clear" w:color="auto" w:fill="auto"/>
            <w:noWrap/>
            <w:vAlign w:val="bottom"/>
          </w:tcPr>
          <w:p w14:paraId="58B90C5F"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w:t>
            </w:r>
          </w:p>
        </w:tc>
        <w:tc>
          <w:tcPr>
            <w:tcW w:w="855" w:type="dxa"/>
            <w:shd w:val="clear" w:color="auto" w:fill="auto"/>
            <w:noWrap/>
            <w:vAlign w:val="bottom"/>
          </w:tcPr>
          <w:p w14:paraId="4E1C8768"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16</w:t>
            </w:r>
          </w:p>
        </w:tc>
        <w:tc>
          <w:tcPr>
            <w:tcW w:w="855" w:type="dxa"/>
            <w:shd w:val="clear" w:color="auto" w:fill="auto"/>
            <w:noWrap/>
            <w:vAlign w:val="bottom"/>
          </w:tcPr>
          <w:p w14:paraId="37837407"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w:t>
            </w:r>
          </w:p>
        </w:tc>
        <w:tc>
          <w:tcPr>
            <w:tcW w:w="854" w:type="dxa"/>
            <w:shd w:val="clear" w:color="auto" w:fill="auto"/>
            <w:noWrap/>
            <w:vAlign w:val="bottom"/>
          </w:tcPr>
          <w:p w14:paraId="490702D0"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14</w:t>
            </w:r>
          </w:p>
        </w:tc>
        <w:tc>
          <w:tcPr>
            <w:tcW w:w="855" w:type="dxa"/>
            <w:shd w:val="clear" w:color="auto" w:fill="auto"/>
            <w:noWrap/>
            <w:vAlign w:val="bottom"/>
          </w:tcPr>
          <w:p w14:paraId="2D03D056"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w:t>
            </w:r>
          </w:p>
        </w:tc>
        <w:tc>
          <w:tcPr>
            <w:tcW w:w="855" w:type="dxa"/>
            <w:shd w:val="clear" w:color="auto" w:fill="auto"/>
            <w:noWrap/>
            <w:vAlign w:val="bottom"/>
          </w:tcPr>
          <w:p w14:paraId="065C46DE"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10</w:t>
            </w:r>
          </w:p>
        </w:tc>
        <w:tc>
          <w:tcPr>
            <w:tcW w:w="854" w:type="dxa"/>
            <w:shd w:val="clear" w:color="auto" w:fill="auto"/>
            <w:noWrap/>
            <w:vAlign w:val="bottom"/>
          </w:tcPr>
          <w:p w14:paraId="1D175B0A"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w:t>
            </w:r>
          </w:p>
        </w:tc>
        <w:tc>
          <w:tcPr>
            <w:tcW w:w="855" w:type="dxa"/>
            <w:shd w:val="clear" w:color="auto" w:fill="auto"/>
            <w:noWrap/>
            <w:vAlign w:val="bottom"/>
          </w:tcPr>
          <w:p w14:paraId="240C3E70"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5" w:type="dxa"/>
            <w:shd w:val="clear" w:color="auto" w:fill="auto"/>
            <w:noWrap/>
            <w:vAlign w:val="bottom"/>
          </w:tcPr>
          <w:p w14:paraId="04C4242F"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w:t>
            </w:r>
          </w:p>
        </w:tc>
        <w:tc>
          <w:tcPr>
            <w:tcW w:w="939" w:type="dxa"/>
            <w:shd w:val="clear" w:color="auto" w:fill="auto"/>
            <w:noWrap/>
            <w:vAlign w:val="bottom"/>
          </w:tcPr>
          <w:p w14:paraId="73ACDC36"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909" w:type="dxa"/>
            <w:shd w:val="clear" w:color="auto" w:fill="auto"/>
            <w:noWrap/>
            <w:vAlign w:val="bottom"/>
          </w:tcPr>
          <w:p w14:paraId="49890C36"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716" w:type="dxa"/>
            <w:shd w:val="clear" w:color="auto" w:fill="auto"/>
            <w:noWrap/>
            <w:vAlign w:val="bottom"/>
          </w:tcPr>
          <w:p w14:paraId="29A6528E"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51</w:t>
            </w:r>
          </w:p>
        </w:tc>
      </w:tr>
      <w:tr w:rsidR="00753AB8" w:rsidRPr="00A66C9F" w14:paraId="40CF8CB2" w14:textId="77777777" w:rsidTr="00100F73">
        <w:tc>
          <w:tcPr>
            <w:tcW w:w="2984" w:type="dxa"/>
            <w:shd w:val="clear" w:color="auto" w:fill="auto"/>
            <w:noWrap/>
            <w:vAlign w:val="bottom"/>
          </w:tcPr>
          <w:p w14:paraId="2E95DF4E"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Centre international d’études pour la conservation et la restauration des biens culturels</w:t>
            </w:r>
          </w:p>
        </w:tc>
        <w:tc>
          <w:tcPr>
            <w:tcW w:w="854" w:type="dxa"/>
            <w:shd w:val="clear" w:color="auto" w:fill="auto"/>
            <w:noWrap/>
            <w:vAlign w:val="bottom"/>
          </w:tcPr>
          <w:p w14:paraId="46A474C0"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w:t>
            </w:r>
          </w:p>
        </w:tc>
        <w:tc>
          <w:tcPr>
            <w:tcW w:w="855" w:type="dxa"/>
            <w:shd w:val="clear" w:color="auto" w:fill="auto"/>
            <w:noWrap/>
            <w:vAlign w:val="bottom"/>
          </w:tcPr>
          <w:p w14:paraId="2E1FB32E"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5" w:type="dxa"/>
            <w:shd w:val="clear" w:color="auto" w:fill="auto"/>
            <w:noWrap/>
            <w:vAlign w:val="bottom"/>
          </w:tcPr>
          <w:p w14:paraId="1129C5DA"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4" w:type="dxa"/>
            <w:shd w:val="clear" w:color="auto" w:fill="auto"/>
            <w:noWrap/>
            <w:vAlign w:val="bottom"/>
          </w:tcPr>
          <w:p w14:paraId="0A980361"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5" w:type="dxa"/>
            <w:shd w:val="clear" w:color="auto" w:fill="auto"/>
            <w:noWrap/>
            <w:vAlign w:val="bottom"/>
          </w:tcPr>
          <w:p w14:paraId="04C66926"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5" w:type="dxa"/>
            <w:shd w:val="clear" w:color="auto" w:fill="auto"/>
            <w:noWrap/>
            <w:vAlign w:val="bottom"/>
          </w:tcPr>
          <w:p w14:paraId="4ABC802A"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4" w:type="dxa"/>
            <w:shd w:val="clear" w:color="auto" w:fill="auto"/>
            <w:noWrap/>
            <w:vAlign w:val="bottom"/>
          </w:tcPr>
          <w:p w14:paraId="3C8DAF4A"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5" w:type="dxa"/>
            <w:shd w:val="clear" w:color="auto" w:fill="auto"/>
            <w:noWrap/>
            <w:vAlign w:val="bottom"/>
          </w:tcPr>
          <w:p w14:paraId="228A702B"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5" w:type="dxa"/>
            <w:shd w:val="clear" w:color="auto" w:fill="auto"/>
            <w:noWrap/>
            <w:vAlign w:val="bottom"/>
          </w:tcPr>
          <w:p w14:paraId="33FDE3A2"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939" w:type="dxa"/>
            <w:shd w:val="clear" w:color="auto" w:fill="auto"/>
            <w:noWrap/>
            <w:vAlign w:val="bottom"/>
          </w:tcPr>
          <w:p w14:paraId="2E1298AB"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909" w:type="dxa"/>
            <w:shd w:val="clear" w:color="auto" w:fill="auto"/>
            <w:noWrap/>
            <w:vAlign w:val="bottom"/>
          </w:tcPr>
          <w:p w14:paraId="1A77914B"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716" w:type="dxa"/>
            <w:shd w:val="clear" w:color="auto" w:fill="auto"/>
            <w:noWrap/>
            <w:vAlign w:val="bottom"/>
          </w:tcPr>
          <w:p w14:paraId="780DB46C"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w:t>
            </w:r>
          </w:p>
        </w:tc>
      </w:tr>
      <w:tr w:rsidR="00753AB8" w:rsidRPr="00A66C9F" w14:paraId="540A9D52" w14:textId="77777777" w:rsidTr="00100F73">
        <w:tc>
          <w:tcPr>
            <w:tcW w:w="2984" w:type="dxa"/>
            <w:shd w:val="clear" w:color="auto" w:fill="auto"/>
            <w:noWrap/>
            <w:vAlign w:val="bottom"/>
          </w:tcPr>
          <w:p w14:paraId="75554D12"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Organisation européenne et méditerranéenne pour la protection des plantes</w:t>
            </w:r>
          </w:p>
        </w:tc>
        <w:tc>
          <w:tcPr>
            <w:tcW w:w="854" w:type="dxa"/>
            <w:shd w:val="clear" w:color="auto" w:fill="auto"/>
            <w:noWrap/>
            <w:vAlign w:val="bottom"/>
          </w:tcPr>
          <w:p w14:paraId="647AA585"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5" w:type="dxa"/>
            <w:shd w:val="clear" w:color="auto" w:fill="auto"/>
            <w:noWrap/>
            <w:vAlign w:val="bottom"/>
          </w:tcPr>
          <w:p w14:paraId="502CD46E"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w:t>
            </w:r>
          </w:p>
        </w:tc>
        <w:tc>
          <w:tcPr>
            <w:tcW w:w="855" w:type="dxa"/>
            <w:shd w:val="clear" w:color="auto" w:fill="auto"/>
            <w:noWrap/>
            <w:vAlign w:val="bottom"/>
          </w:tcPr>
          <w:p w14:paraId="62DE5620"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4" w:type="dxa"/>
            <w:shd w:val="clear" w:color="auto" w:fill="auto"/>
            <w:noWrap/>
            <w:vAlign w:val="bottom"/>
          </w:tcPr>
          <w:p w14:paraId="069B057C"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5" w:type="dxa"/>
            <w:shd w:val="clear" w:color="auto" w:fill="auto"/>
            <w:noWrap/>
            <w:vAlign w:val="bottom"/>
          </w:tcPr>
          <w:p w14:paraId="042E2331"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5" w:type="dxa"/>
            <w:shd w:val="clear" w:color="auto" w:fill="auto"/>
            <w:noWrap/>
            <w:vAlign w:val="bottom"/>
          </w:tcPr>
          <w:p w14:paraId="7908CAAA"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4" w:type="dxa"/>
            <w:shd w:val="clear" w:color="auto" w:fill="auto"/>
            <w:noWrap/>
            <w:vAlign w:val="bottom"/>
          </w:tcPr>
          <w:p w14:paraId="6153E0FB"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5" w:type="dxa"/>
            <w:shd w:val="clear" w:color="auto" w:fill="auto"/>
            <w:noWrap/>
            <w:vAlign w:val="bottom"/>
          </w:tcPr>
          <w:p w14:paraId="69EAD586"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5" w:type="dxa"/>
            <w:shd w:val="clear" w:color="auto" w:fill="auto"/>
            <w:noWrap/>
            <w:vAlign w:val="bottom"/>
          </w:tcPr>
          <w:p w14:paraId="710E556F"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w:t>
            </w:r>
          </w:p>
        </w:tc>
        <w:tc>
          <w:tcPr>
            <w:tcW w:w="939" w:type="dxa"/>
            <w:shd w:val="clear" w:color="auto" w:fill="auto"/>
            <w:noWrap/>
            <w:vAlign w:val="bottom"/>
          </w:tcPr>
          <w:p w14:paraId="4DF088C5"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909" w:type="dxa"/>
            <w:shd w:val="clear" w:color="auto" w:fill="auto"/>
            <w:noWrap/>
            <w:vAlign w:val="bottom"/>
          </w:tcPr>
          <w:p w14:paraId="1FBBDABD"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716" w:type="dxa"/>
            <w:shd w:val="clear" w:color="auto" w:fill="auto"/>
            <w:noWrap/>
            <w:vAlign w:val="bottom"/>
          </w:tcPr>
          <w:p w14:paraId="04C35117"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w:t>
            </w:r>
          </w:p>
        </w:tc>
      </w:tr>
      <w:tr w:rsidR="00753AB8" w:rsidRPr="00A66C9F" w14:paraId="1C102608" w14:textId="77777777" w:rsidTr="00100F73">
        <w:tc>
          <w:tcPr>
            <w:tcW w:w="2984" w:type="dxa"/>
            <w:shd w:val="clear" w:color="auto" w:fill="auto"/>
            <w:noWrap/>
            <w:vAlign w:val="bottom"/>
          </w:tcPr>
          <w:p w14:paraId="364234F2"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Centre international pour le génie génétique et la biotechnologie</w:t>
            </w:r>
          </w:p>
        </w:tc>
        <w:tc>
          <w:tcPr>
            <w:tcW w:w="854" w:type="dxa"/>
            <w:shd w:val="clear" w:color="auto" w:fill="auto"/>
            <w:noWrap/>
            <w:vAlign w:val="bottom"/>
          </w:tcPr>
          <w:p w14:paraId="24F5FFCF"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w:t>
            </w:r>
          </w:p>
        </w:tc>
        <w:tc>
          <w:tcPr>
            <w:tcW w:w="855" w:type="dxa"/>
            <w:shd w:val="clear" w:color="auto" w:fill="auto"/>
            <w:noWrap/>
            <w:vAlign w:val="bottom"/>
          </w:tcPr>
          <w:p w14:paraId="0C635E27"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w:t>
            </w:r>
          </w:p>
        </w:tc>
        <w:tc>
          <w:tcPr>
            <w:tcW w:w="855" w:type="dxa"/>
            <w:shd w:val="clear" w:color="auto" w:fill="auto"/>
            <w:noWrap/>
            <w:vAlign w:val="bottom"/>
          </w:tcPr>
          <w:p w14:paraId="5B1FA940"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4" w:type="dxa"/>
            <w:shd w:val="clear" w:color="auto" w:fill="auto"/>
            <w:noWrap/>
            <w:vAlign w:val="bottom"/>
          </w:tcPr>
          <w:p w14:paraId="68ACE718"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5" w:type="dxa"/>
            <w:shd w:val="clear" w:color="auto" w:fill="auto"/>
            <w:noWrap/>
            <w:vAlign w:val="bottom"/>
          </w:tcPr>
          <w:p w14:paraId="4C2A84AB"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5" w:type="dxa"/>
            <w:shd w:val="clear" w:color="auto" w:fill="auto"/>
            <w:noWrap/>
            <w:vAlign w:val="bottom"/>
          </w:tcPr>
          <w:p w14:paraId="1630851E"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4" w:type="dxa"/>
            <w:shd w:val="clear" w:color="auto" w:fill="auto"/>
            <w:noWrap/>
            <w:vAlign w:val="bottom"/>
          </w:tcPr>
          <w:p w14:paraId="5E6F8013"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5" w:type="dxa"/>
            <w:shd w:val="clear" w:color="auto" w:fill="auto"/>
            <w:noWrap/>
            <w:vAlign w:val="bottom"/>
          </w:tcPr>
          <w:p w14:paraId="7691513C"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5" w:type="dxa"/>
            <w:shd w:val="clear" w:color="auto" w:fill="auto"/>
            <w:noWrap/>
            <w:vAlign w:val="bottom"/>
          </w:tcPr>
          <w:p w14:paraId="3FE6600F"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939" w:type="dxa"/>
            <w:shd w:val="clear" w:color="auto" w:fill="auto"/>
            <w:noWrap/>
            <w:vAlign w:val="bottom"/>
          </w:tcPr>
          <w:p w14:paraId="040003A2"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909" w:type="dxa"/>
            <w:shd w:val="clear" w:color="auto" w:fill="auto"/>
            <w:noWrap/>
            <w:vAlign w:val="bottom"/>
          </w:tcPr>
          <w:p w14:paraId="0F980BB6"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716" w:type="dxa"/>
            <w:shd w:val="clear" w:color="auto" w:fill="auto"/>
            <w:noWrap/>
            <w:vAlign w:val="bottom"/>
          </w:tcPr>
          <w:p w14:paraId="5705FEE3"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6</w:t>
            </w:r>
          </w:p>
        </w:tc>
      </w:tr>
      <w:tr w:rsidR="00753AB8" w:rsidRPr="00A66C9F" w14:paraId="108CE615" w14:textId="77777777" w:rsidTr="00100F73">
        <w:tc>
          <w:tcPr>
            <w:tcW w:w="2984" w:type="dxa"/>
            <w:shd w:val="clear" w:color="auto" w:fill="auto"/>
            <w:noWrap/>
            <w:vAlign w:val="bottom"/>
          </w:tcPr>
          <w:p w14:paraId="328FB309"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 xml:space="preserve">Organisation mondiale du tourisme </w:t>
            </w:r>
          </w:p>
        </w:tc>
        <w:tc>
          <w:tcPr>
            <w:tcW w:w="854" w:type="dxa"/>
            <w:shd w:val="clear" w:color="auto" w:fill="auto"/>
            <w:noWrap/>
            <w:vAlign w:val="bottom"/>
          </w:tcPr>
          <w:p w14:paraId="4DD4279A"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5" w:type="dxa"/>
            <w:shd w:val="clear" w:color="auto" w:fill="auto"/>
            <w:noWrap/>
            <w:vAlign w:val="bottom"/>
          </w:tcPr>
          <w:p w14:paraId="5F0015C9"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5" w:type="dxa"/>
            <w:shd w:val="clear" w:color="auto" w:fill="auto"/>
            <w:noWrap/>
            <w:vAlign w:val="bottom"/>
          </w:tcPr>
          <w:p w14:paraId="2150ADDE"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w:t>
            </w:r>
          </w:p>
        </w:tc>
        <w:tc>
          <w:tcPr>
            <w:tcW w:w="854" w:type="dxa"/>
            <w:shd w:val="clear" w:color="auto" w:fill="auto"/>
            <w:noWrap/>
            <w:vAlign w:val="bottom"/>
          </w:tcPr>
          <w:p w14:paraId="2F2ADC11"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w:t>
            </w:r>
          </w:p>
        </w:tc>
        <w:tc>
          <w:tcPr>
            <w:tcW w:w="855" w:type="dxa"/>
            <w:shd w:val="clear" w:color="auto" w:fill="auto"/>
            <w:noWrap/>
            <w:vAlign w:val="bottom"/>
          </w:tcPr>
          <w:p w14:paraId="1A49376B"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5" w:type="dxa"/>
            <w:shd w:val="clear" w:color="auto" w:fill="auto"/>
            <w:noWrap/>
            <w:vAlign w:val="bottom"/>
          </w:tcPr>
          <w:p w14:paraId="05DFC30A"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4" w:type="dxa"/>
            <w:shd w:val="clear" w:color="auto" w:fill="auto"/>
            <w:noWrap/>
            <w:vAlign w:val="bottom"/>
          </w:tcPr>
          <w:p w14:paraId="744A0ED3"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5" w:type="dxa"/>
            <w:shd w:val="clear" w:color="auto" w:fill="auto"/>
            <w:noWrap/>
            <w:vAlign w:val="bottom"/>
          </w:tcPr>
          <w:p w14:paraId="5827BDB2"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5" w:type="dxa"/>
            <w:shd w:val="clear" w:color="auto" w:fill="auto"/>
            <w:noWrap/>
            <w:vAlign w:val="bottom"/>
          </w:tcPr>
          <w:p w14:paraId="07A5380C"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939" w:type="dxa"/>
            <w:shd w:val="clear" w:color="auto" w:fill="auto"/>
            <w:noWrap/>
            <w:vAlign w:val="bottom"/>
          </w:tcPr>
          <w:p w14:paraId="6863EACA"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909" w:type="dxa"/>
            <w:shd w:val="clear" w:color="auto" w:fill="auto"/>
            <w:noWrap/>
            <w:vAlign w:val="bottom"/>
          </w:tcPr>
          <w:p w14:paraId="5C333DB1"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716" w:type="dxa"/>
            <w:shd w:val="clear" w:color="auto" w:fill="auto"/>
            <w:noWrap/>
            <w:vAlign w:val="bottom"/>
          </w:tcPr>
          <w:p w14:paraId="34D2A83C"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w:t>
            </w:r>
          </w:p>
        </w:tc>
      </w:tr>
      <w:tr w:rsidR="00753AB8" w:rsidRPr="00A66C9F" w14:paraId="66AC052F" w14:textId="77777777" w:rsidTr="00100F73">
        <w:tc>
          <w:tcPr>
            <w:tcW w:w="2984" w:type="dxa"/>
            <w:shd w:val="clear" w:color="auto" w:fill="auto"/>
            <w:noWrap/>
            <w:vAlign w:val="bottom"/>
          </w:tcPr>
          <w:p w14:paraId="086376C5"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lastRenderedPageBreak/>
              <w:t>Autorité internationale des fonds marins</w:t>
            </w:r>
          </w:p>
        </w:tc>
        <w:tc>
          <w:tcPr>
            <w:tcW w:w="854" w:type="dxa"/>
            <w:shd w:val="clear" w:color="auto" w:fill="auto"/>
            <w:noWrap/>
            <w:vAlign w:val="bottom"/>
          </w:tcPr>
          <w:p w14:paraId="6AD00D73"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w:t>
            </w:r>
          </w:p>
        </w:tc>
        <w:tc>
          <w:tcPr>
            <w:tcW w:w="855" w:type="dxa"/>
            <w:shd w:val="clear" w:color="auto" w:fill="auto"/>
            <w:noWrap/>
            <w:vAlign w:val="bottom"/>
          </w:tcPr>
          <w:p w14:paraId="4AA0E339"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w:t>
            </w:r>
          </w:p>
        </w:tc>
        <w:tc>
          <w:tcPr>
            <w:tcW w:w="855" w:type="dxa"/>
            <w:shd w:val="clear" w:color="auto" w:fill="auto"/>
            <w:noWrap/>
            <w:vAlign w:val="bottom"/>
          </w:tcPr>
          <w:p w14:paraId="1939D1A9"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4" w:type="dxa"/>
            <w:shd w:val="clear" w:color="auto" w:fill="auto"/>
            <w:noWrap/>
            <w:vAlign w:val="bottom"/>
          </w:tcPr>
          <w:p w14:paraId="5A2CEC9A"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w:t>
            </w:r>
          </w:p>
        </w:tc>
        <w:tc>
          <w:tcPr>
            <w:tcW w:w="855" w:type="dxa"/>
            <w:shd w:val="clear" w:color="auto" w:fill="auto"/>
            <w:noWrap/>
            <w:vAlign w:val="bottom"/>
          </w:tcPr>
          <w:p w14:paraId="087DB03B"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5" w:type="dxa"/>
            <w:shd w:val="clear" w:color="auto" w:fill="auto"/>
            <w:noWrap/>
            <w:vAlign w:val="bottom"/>
          </w:tcPr>
          <w:p w14:paraId="58DE8A91"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w:t>
            </w:r>
          </w:p>
        </w:tc>
        <w:tc>
          <w:tcPr>
            <w:tcW w:w="854" w:type="dxa"/>
            <w:shd w:val="clear" w:color="auto" w:fill="auto"/>
            <w:noWrap/>
            <w:vAlign w:val="bottom"/>
          </w:tcPr>
          <w:p w14:paraId="6C76D349"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5" w:type="dxa"/>
            <w:shd w:val="clear" w:color="auto" w:fill="auto"/>
            <w:noWrap/>
            <w:vAlign w:val="bottom"/>
          </w:tcPr>
          <w:p w14:paraId="259485F7"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5" w:type="dxa"/>
            <w:shd w:val="clear" w:color="auto" w:fill="auto"/>
            <w:noWrap/>
            <w:vAlign w:val="bottom"/>
          </w:tcPr>
          <w:p w14:paraId="4DE424AE"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939" w:type="dxa"/>
            <w:shd w:val="clear" w:color="auto" w:fill="auto"/>
            <w:noWrap/>
            <w:vAlign w:val="bottom"/>
          </w:tcPr>
          <w:p w14:paraId="445FF9C8"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909" w:type="dxa"/>
            <w:shd w:val="clear" w:color="auto" w:fill="auto"/>
            <w:noWrap/>
            <w:vAlign w:val="bottom"/>
          </w:tcPr>
          <w:p w14:paraId="30FE4DF1"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716" w:type="dxa"/>
            <w:shd w:val="clear" w:color="auto" w:fill="auto"/>
            <w:noWrap/>
            <w:vAlign w:val="bottom"/>
          </w:tcPr>
          <w:p w14:paraId="2700D9B0"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9</w:t>
            </w:r>
          </w:p>
        </w:tc>
      </w:tr>
      <w:tr w:rsidR="00753AB8" w:rsidRPr="00A66C9F" w14:paraId="67D0EA67" w14:textId="77777777" w:rsidTr="00100F73">
        <w:tc>
          <w:tcPr>
            <w:tcW w:w="2984" w:type="dxa"/>
            <w:shd w:val="clear" w:color="auto" w:fill="auto"/>
            <w:noWrap/>
            <w:vAlign w:val="bottom"/>
          </w:tcPr>
          <w:p w14:paraId="704FCA84"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Organisation des Nations Unies pour le développement industriel</w:t>
            </w:r>
          </w:p>
        </w:tc>
        <w:tc>
          <w:tcPr>
            <w:tcW w:w="854" w:type="dxa"/>
            <w:shd w:val="clear" w:color="auto" w:fill="auto"/>
            <w:noWrap/>
            <w:vAlign w:val="bottom"/>
          </w:tcPr>
          <w:p w14:paraId="4019201E"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w:t>
            </w:r>
          </w:p>
        </w:tc>
        <w:tc>
          <w:tcPr>
            <w:tcW w:w="855" w:type="dxa"/>
            <w:shd w:val="clear" w:color="auto" w:fill="auto"/>
            <w:noWrap/>
            <w:vAlign w:val="bottom"/>
          </w:tcPr>
          <w:p w14:paraId="1EF1E39C"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7</w:t>
            </w:r>
          </w:p>
        </w:tc>
        <w:tc>
          <w:tcPr>
            <w:tcW w:w="855" w:type="dxa"/>
            <w:shd w:val="clear" w:color="auto" w:fill="auto"/>
            <w:noWrap/>
            <w:vAlign w:val="bottom"/>
          </w:tcPr>
          <w:p w14:paraId="40B5A0CD"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w:t>
            </w:r>
          </w:p>
        </w:tc>
        <w:tc>
          <w:tcPr>
            <w:tcW w:w="854" w:type="dxa"/>
            <w:shd w:val="clear" w:color="auto" w:fill="auto"/>
            <w:noWrap/>
            <w:vAlign w:val="bottom"/>
          </w:tcPr>
          <w:p w14:paraId="12E6BD1B"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8</w:t>
            </w:r>
          </w:p>
        </w:tc>
        <w:tc>
          <w:tcPr>
            <w:tcW w:w="855" w:type="dxa"/>
            <w:shd w:val="clear" w:color="auto" w:fill="auto"/>
            <w:noWrap/>
            <w:vAlign w:val="bottom"/>
          </w:tcPr>
          <w:p w14:paraId="38F1661D"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w:t>
            </w:r>
          </w:p>
        </w:tc>
        <w:tc>
          <w:tcPr>
            <w:tcW w:w="855" w:type="dxa"/>
            <w:shd w:val="clear" w:color="auto" w:fill="auto"/>
            <w:noWrap/>
            <w:vAlign w:val="bottom"/>
          </w:tcPr>
          <w:p w14:paraId="1FE72DF2"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w:t>
            </w:r>
          </w:p>
        </w:tc>
        <w:tc>
          <w:tcPr>
            <w:tcW w:w="854" w:type="dxa"/>
            <w:shd w:val="clear" w:color="auto" w:fill="auto"/>
            <w:noWrap/>
            <w:vAlign w:val="bottom"/>
          </w:tcPr>
          <w:p w14:paraId="02DA545D"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w:t>
            </w:r>
          </w:p>
        </w:tc>
        <w:tc>
          <w:tcPr>
            <w:tcW w:w="855" w:type="dxa"/>
            <w:shd w:val="clear" w:color="auto" w:fill="auto"/>
            <w:noWrap/>
            <w:vAlign w:val="bottom"/>
          </w:tcPr>
          <w:p w14:paraId="0CE33726"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5" w:type="dxa"/>
            <w:shd w:val="clear" w:color="auto" w:fill="auto"/>
            <w:noWrap/>
            <w:vAlign w:val="bottom"/>
          </w:tcPr>
          <w:p w14:paraId="03C76B9A"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939" w:type="dxa"/>
            <w:shd w:val="clear" w:color="auto" w:fill="auto"/>
            <w:noWrap/>
            <w:vAlign w:val="bottom"/>
          </w:tcPr>
          <w:p w14:paraId="14779F4C"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909" w:type="dxa"/>
            <w:shd w:val="clear" w:color="auto" w:fill="auto"/>
            <w:noWrap/>
            <w:vAlign w:val="bottom"/>
          </w:tcPr>
          <w:p w14:paraId="4C26DF35"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716" w:type="dxa"/>
            <w:shd w:val="clear" w:color="auto" w:fill="auto"/>
            <w:noWrap/>
            <w:vAlign w:val="bottom"/>
          </w:tcPr>
          <w:p w14:paraId="0A4DDAD6"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24</w:t>
            </w:r>
          </w:p>
        </w:tc>
      </w:tr>
      <w:tr w:rsidR="00753AB8" w:rsidRPr="00A66C9F" w14:paraId="64F00FC4" w14:textId="77777777" w:rsidTr="00100F73">
        <w:tc>
          <w:tcPr>
            <w:tcW w:w="2984" w:type="dxa"/>
            <w:shd w:val="clear" w:color="auto" w:fill="auto"/>
            <w:noWrap/>
            <w:vAlign w:val="bottom"/>
          </w:tcPr>
          <w:p w14:paraId="54BD6721"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Cour pénale internationale</w:t>
            </w:r>
          </w:p>
        </w:tc>
        <w:tc>
          <w:tcPr>
            <w:tcW w:w="854" w:type="dxa"/>
            <w:shd w:val="clear" w:color="auto" w:fill="auto"/>
            <w:noWrap/>
            <w:vAlign w:val="bottom"/>
          </w:tcPr>
          <w:p w14:paraId="012A448B"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w:t>
            </w:r>
          </w:p>
        </w:tc>
        <w:tc>
          <w:tcPr>
            <w:tcW w:w="855" w:type="dxa"/>
            <w:shd w:val="clear" w:color="auto" w:fill="auto"/>
            <w:noWrap/>
            <w:vAlign w:val="bottom"/>
          </w:tcPr>
          <w:p w14:paraId="4D943D05"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w:t>
            </w:r>
          </w:p>
        </w:tc>
        <w:tc>
          <w:tcPr>
            <w:tcW w:w="855" w:type="dxa"/>
            <w:shd w:val="clear" w:color="auto" w:fill="auto"/>
            <w:noWrap/>
            <w:vAlign w:val="bottom"/>
          </w:tcPr>
          <w:p w14:paraId="4AF5CF52"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8</w:t>
            </w:r>
          </w:p>
        </w:tc>
        <w:tc>
          <w:tcPr>
            <w:tcW w:w="854" w:type="dxa"/>
            <w:shd w:val="clear" w:color="auto" w:fill="auto"/>
            <w:noWrap/>
            <w:vAlign w:val="bottom"/>
          </w:tcPr>
          <w:p w14:paraId="531F4E4F"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35</w:t>
            </w:r>
          </w:p>
        </w:tc>
        <w:tc>
          <w:tcPr>
            <w:tcW w:w="855" w:type="dxa"/>
            <w:shd w:val="clear" w:color="auto" w:fill="auto"/>
            <w:noWrap/>
            <w:vAlign w:val="bottom"/>
          </w:tcPr>
          <w:p w14:paraId="730C1E83"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6</w:t>
            </w:r>
          </w:p>
        </w:tc>
        <w:tc>
          <w:tcPr>
            <w:tcW w:w="855" w:type="dxa"/>
            <w:shd w:val="clear" w:color="auto" w:fill="auto"/>
            <w:noWrap/>
            <w:vAlign w:val="bottom"/>
          </w:tcPr>
          <w:p w14:paraId="32FB846C"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4" w:type="dxa"/>
            <w:shd w:val="clear" w:color="auto" w:fill="auto"/>
            <w:noWrap/>
            <w:vAlign w:val="bottom"/>
          </w:tcPr>
          <w:p w14:paraId="7613EE62"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5" w:type="dxa"/>
            <w:shd w:val="clear" w:color="auto" w:fill="auto"/>
            <w:noWrap/>
            <w:vAlign w:val="bottom"/>
          </w:tcPr>
          <w:p w14:paraId="75AD2CEB"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5" w:type="dxa"/>
            <w:shd w:val="clear" w:color="auto" w:fill="auto"/>
            <w:noWrap/>
            <w:vAlign w:val="bottom"/>
          </w:tcPr>
          <w:p w14:paraId="0FA13560"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w:t>
            </w:r>
          </w:p>
        </w:tc>
        <w:tc>
          <w:tcPr>
            <w:tcW w:w="939" w:type="dxa"/>
            <w:shd w:val="clear" w:color="auto" w:fill="auto"/>
            <w:noWrap/>
            <w:vAlign w:val="bottom"/>
          </w:tcPr>
          <w:p w14:paraId="36895D0C"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909" w:type="dxa"/>
            <w:shd w:val="clear" w:color="auto" w:fill="auto"/>
            <w:noWrap/>
            <w:vAlign w:val="bottom"/>
          </w:tcPr>
          <w:p w14:paraId="4EC35F8A"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w:t>
            </w:r>
          </w:p>
        </w:tc>
        <w:tc>
          <w:tcPr>
            <w:tcW w:w="716" w:type="dxa"/>
            <w:shd w:val="clear" w:color="auto" w:fill="auto"/>
            <w:noWrap/>
            <w:vAlign w:val="bottom"/>
          </w:tcPr>
          <w:p w14:paraId="3835043B"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54</w:t>
            </w:r>
          </w:p>
        </w:tc>
      </w:tr>
      <w:tr w:rsidR="00753AB8" w:rsidRPr="00A66C9F" w14:paraId="2D56F78F" w14:textId="77777777" w:rsidTr="00100F73">
        <w:tc>
          <w:tcPr>
            <w:tcW w:w="2984" w:type="dxa"/>
            <w:shd w:val="clear" w:color="auto" w:fill="auto"/>
            <w:noWrap/>
            <w:vAlign w:val="bottom"/>
          </w:tcPr>
          <w:p w14:paraId="6899C537"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Union interparlementaire</w:t>
            </w:r>
          </w:p>
        </w:tc>
        <w:tc>
          <w:tcPr>
            <w:tcW w:w="854" w:type="dxa"/>
            <w:shd w:val="clear" w:color="auto" w:fill="auto"/>
            <w:noWrap/>
            <w:vAlign w:val="bottom"/>
          </w:tcPr>
          <w:p w14:paraId="6E2FC836"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w:t>
            </w:r>
          </w:p>
        </w:tc>
        <w:tc>
          <w:tcPr>
            <w:tcW w:w="855" w:type="dxa"/>
            <w:shd w:val="clear" w:color="auto" w:fill="auto"/>
            <w:noWrap/>
            <w:vAlign w:val="bottom"/>
          </w:tcPr>
          <w:p w14:paraId="3A20BBC6"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5" w:type="dxa"/>
            <w:shd w:val="clear" w:color="auto" w:fill="auto"/>
            <w:noWrap/>
            <w:vAlign w:val="bottom"/>
          </w:tcPr>
          <w:p w14:paraId="14D07406"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w:t>
            </w:r>
          </w:p>
        </w:tc>
        <w:tc>
          <w:tcPr>
            <w:tcW w:w="854" w:type="dxa"/>
            <w:shd w:val="clear" w:color="auto" w:fill="auto"/>
            <w:noWrap/>
            <w:vAlign w:val="bottom"/>
          </w:tcPr>
          <w:p w14:paraId="1BFFBC89"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5" w:type="dxa"/>
            <w:shd w:val="clear" w:color="auto" w:fill="auto"/>
            <w:noWrap/>
            <w:vAlign w:val="bottom"/>
          </w:tcPr>
          <w:p w14:paraId="3CF089A5"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5" w:type="dxa"/>
            <w:shd w:val="clear" w:color="auto" w:fill="auto"/>
            <w:noWrap/>
            <w:vAlign w:val="bottom"/>
          </w:tcPr>
          <w:p w14:paraId="72DD496B"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4" w:type="dxa"/>
            <w:shd w:val="clear" w:color="auto" w:fill="auto"/>
            <w:noWrap/>
            <w:vAlign w:val="bottom"/>
          </w:tcPr>
          <w:p w14:paraId="2E567CD7"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5" w:type="dxa"/>
            <w:shd w:val="clear" w:color="auto" w:fill="auto"/>
            <w:noWrap/>
            <w:vAlign w:val="bottom"/>
          </w:tcPr>
          <w:p w14:paraId="47001E65"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5" w:type="dxa"/>
            <w:shd w:val="clear" w:color="auto" w:fill="auto"/>
            <w:noWrap/>
            <w:vAlign w:val="bottom"/>
          </w:tcPr>
          <w:p w14:paraId="6A9ADDCF"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939" w:type="dxa"/>
            <w:shd w:val="clear" w:color="auto" w:fill="auto"/>
            <w:noWrap/>
            <w:vAlign w:val="bottom"/>
          </w:tcPr>
          <w:p w14:paraId="523C353A"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909" w:type="dxa"/>
            <w:shd w:val="clear" w:color="auto" w:fill="auto"/>
            <w:noWrap/>
            <w:vAlign w:val="bottom"/>
          </w:tcPr>
          <w:p w14:paraId="6AD2C28A"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716" w:type="dxa"/>
            <w:shd w:val="clear" w:color="auto" w:fill="auto"/>
            <w:noWrap/>
            <w:vAlign w:val="bottom"/>
          </w:tcPr>
          <w:p w14:paraId="327E2B7C"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w:t>
            </w:r>
          </w:p>
        </w:tc>
      </w:tr>
      <w:tr w:rsidR="00753AB8" w:rsidRPr="00A66C9F" w14:paraId="0B68FDA6" w14:textId="77777777" w:rsidTr="00100F73">
        <w:tc>
          <w:tcPr>
            <w:tcW w:w="2984" w:type="dxa"/>
            <w:shd w:val="clear" w:color="auto" w:fill="auto"/>
            <w:noWrap/>
            <w:vAlign w:val="bottom"/>
          </w:tcPr>
          <w:p w14:paraId="7C63F5AC"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Organisation internationale pour les migrations</w:t>
            </w:r>
          </w:p>
        </w:tc>
        <w:tc>
          <w:tcPr>
            <w:tcW w:w="854" w:type="dxa"/>
            <w:shd w:val="clear" w:color="auto" w:fill="auto"/>
            <w:noWrap/>
            <w:vAlign w:val="bottom"/>
          </w:tcPr>
          <w:p w14:paraId="21D4C7B0"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18</w:t>
            </w:r>
          </w:p>
        </w:tc>
        <w:tc>
          <w:tcPr>
            <w:tcW w:w="855" w:type="dxa"/>
            <w:shd w:val="clear" w:color="auto" w:fill="auto"/>
            <w:noWrap/>
            <w:vAlign w:val="bottom"/>
          </w:tcPr>
          <w:p w14:paraId="7AFD7CAE"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w:t>
            </w:r>
          </w:p>
        </w:tc>
        <w:tc>
          <w:tcPr>
            <w:tcW w:w="855" w:type="dxa"/>
            <w:shd w:val="clear" w:color="auto" w:fill="auto"/>
            <w:noWrap/>
            <w:vAlign w:val="bottom"/>
          </w:tcPr>
          <w:p w14:paraId="69A525EE"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8</w:t>
            </w:r>
          </w:p>
        </w:tc>
        <w:tc>
          <w:tcPr>
            <w:tcW w:w="854" w:type="dxa"/>
            <w:shd w:val="clear" w:color="auto" w:fill="auto"/>
            <w:noWrap/>
            <w:vAlign w:val="bottom"/>
          </w:tcPr>
          <w:p w14:paraId="7FAD0C13"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259</w:t>
            </w:r>
          </w:p>
        </w:tc>
        <w:tc>
          <w:tcPr>
            <w:tcW w:w="855" w:type="dxa"/>
            <w:shd w:val="clear" w:color="auto" w:fill="auto"/>
            <w:noWrap/>
            <w:vAlign w:val="bottom"/>
          </w:tcPr>
          <w:p w14:paraId="2CB53555"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55</w:t>
            </w:r>
          </w:p>
        </w:tc>
        <w:tc>
          <w:tcPr>
            <w:tcW w:w="855" w:type="dxa"/>
            <w:shd w:val="clear" w:color="auto" w:fill="auto"/>
            <w:noWrap/>
            <w:vAlign w:val="bottom"/>
          </w:tcPr>
          <w:p w14:paraId="3ECBBE3E"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7</w:t>
            </w:r>
          </w:p>
        </w:tc>
        <w:tc>
          <w:tcPr>
            <w:tcW w:w="854" w:type="dxa"/>
            <w:shd w:val="clear" w:color="auto" w:fill="auto"/>
            <w:noWrap/>
            <w:vAlign w:val="bottom"/>
          </w:tcPr>
          <w:p w14:paraId="294E2B7D"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5" w:type="dxa"/>
            <w:shd w:val="clear" w:color="auto" w:fill="auto"/>
            <w:noWrap/>
            <w:vAlign w:val="bottom"/>
          </w:tcPr>
          <w:p w14:paraId="36E72185"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5" w:type="dxa"/>
            <w:shd w:val="clear" w:color="auto" w:fill="auto"/>
            <w:noWrap/>
            <w:vAlign w:val="bottom"/>
          </w:tcPr>
          <w:p w14:paraId="5BFDAD40"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w:t>
            </w:r>
          </w:p>
        </w:tc>
        <w:tc>
          <w:tcPr>
            <w:tcW w:w="939" w:type="dxa"/>
            <w:shd w:val="clear" w:color="auto" w:fill="auto"/>
            <w:noWrap/>
            <w:vAlign w:val="bottom"/>
          </w:tcPr>
          <w:p w14:paraId="2DEC6A76"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909" w:type="dxa"/>
            <w:shd w:val="clear" w:color="auto" w:fill="auto"/>
            <w:noWrap/>
            <w:vAlign w:val="bottom"/>
          </w:tcPr>
          <w:p w14:paraId="61BCEE28"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716" w:type="dxa"/>
            <w:shd w:val="clear" w:color="auto" w:fill="auto"/>
            <w:noWrap/>
            <w:vAlign w:val="bottom"/>
          </w:tcPr>
          <w:p w14:paraId="280964B3"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353</w:t>
            </w:r>
          </w:p>
        </w:tc>
      </w:tr>
      <w:tr w:rsidR="00753AB8" w:rsidRPr="00A66C9F" w14:paraId="31828198" w14:textId="77777777" w:rsidTr="00100F73">
        <w:tc>
          <w:tcPr>
            <w:tcW w:w="2984" w:type="dxa"/>
            <w:shd w:val="clear" w:color="auto" w:fill="auto"/>
            <w:noWrap/>
            <w:vAlign w:val="bottom"/>
          </w:tcPr>
          <w:p w14:paraId="55D77BE1"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Tribunal spécial pour le Liban</w:t>
            </w:r>
          </w:p>
        </w:tc>
        <w:tc>
          <w:tcPr>
            <w:tcW w:w="854" w:type="dxa"/>
            <w:shd w:val="clear" w:color="auto" w:fill="auto"/>
            <w:noWrap/>
            <w:vAlign w:val="bottom"/>
          </w:tcPr>
          <w:p w14:paraId="46B857E1"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w:t>
            </w:r>
          </w:p>
        </w:tc>
        <w:tc>
          <w:tcPr>
            <w:tcW w:w="855" w:type="dxa"/>
            <w:shd w:val="clear" w:color="auto" w:fill="auto"/>
            <w:noWrap/>
            <w:vAlign w:val="bottom"/>
          </w:tcPr>
          <w:p w14:paraId="29103738"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w:t>
            </w:r>
          </w:p>
        </w:tc>
        <w:tc>
          <w:tcPr>
            <w:tcW w:w="855" w:type="dxa"/>
            <w:shd w:val="clear" w:color="auto" w:fill="auto"/>
            <w:noWrap/>
            <w:vAlign w:val="bottom"/>
          </w:tcPr>
          <w:p w14:paraId="6E232912"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4" w:type="dxa"/>
            <w:shd w:val="clear" w:color="auto" w:fill="auto"/>
            <w:noWrap/>
            <w:vAlign w:val="bottom"/>
          </w:tcPr>
          <w:p w14:paraId="55EB8D8D"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10</w:t>
            </w:r>
          </w:p>
        </w:tc>
        <w:tc>
          <w:tcPr>
            <w:tcW w:w="855" w:type="dxa"/>
            <w:shd w:val="clear" w:color="auto" w:fill="auto"/>
            <w:noWrap/>
            <w:vAlign w:val="bottom"/>
          </w:tcPr>
          <w:p w14:paraId="48A2375C"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9</w:t>
            </w:r>
          </w:p>
        </w:tc>
        <w:tc>
          <w:tcPr>
            <w:tcW w:w="855" w:type="dxa"/>
            <w:shd w:val="clear" w:color="auto" w:fill="auto"/>
            <w:noWrap/>
            <w:vAlign w:val="bottom"/>
          </w:tcPr>
          <w:p w14:paraId="123295CC"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w:t>
            </w:r>
          </w:p>
        </w:tc>
        <w:tc>
          <w:tcPr>
            <w:tcW w:w="854" w:type="dxa"/>
            <w:shd w:val="clear" w:color="auto" w:fill="auto"/>
            <w:noWrap/>
            <w:vAlign w:val="bottom"/>
          </w:tcPr>
          <w:p w14:paraId="39A970A0"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5" w:type="dxa"/>
            <w:shd w:val="clear" w:color="auto" w:fill="auto"/>
            <w:noWrap/>
            <w:vAlign w:val="bottom"/>
          </w:tcPr>
          <w:p w14:paraId="345288D6"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855" w:type="dxa"/>
            <w:shd w:val="clear" w:color="auto" w:fill="auto"/>
            <w:noWrap/>
            <w:vAlign w:val="bottom"/>
          </w:tcPr>
          <w:p w14:paraId="5D5843FF"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w:t>
            </w:r>
          </w:p>
        </w:tc>
        <w:tc>
          <w:tcPr>
            <w:tcW w:w="939" w:type="dxa"/>
            <w:shd w:val="clear" w:color="auto" w:fill="auto"/>
            <w:noWrap/>
            <w:vAlign w:val="bottom"/>
          </w:tcPr>
          <w:p w14:paraId="1E3567B4"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w:t>
            </w:r>
          </w:p>
        </w:tc>
        <w:tc>
          <w:tcPr>
            <w:tcW w:w="909" w:type="dxa"/>
            <w:shd w:val="clear" w:color="auto" w:fill="auto"/>
            <w:noWrap/>
            <w:vAlign w:val="bottom"/>
          </w:tcPr>
          <w:p w14:paraId="01D8249C"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w:t>
            </w:r>
          </w:p>
        </w:tc>
        <w:tc>
          <w:tcPr>
            <w:tcW w:w="716" w:type="dxa"/>
            <w:shd w:val="clear" w:color="auto" w:fill="auto"/>
            <w:noWrap/>
            <w:vAlign w:val="bottom"/>
          </w:tcPr>
          <w:p w14:paraId="5C011B55"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25</w:t>
            </w:r>
          </w:p>
        </w:tc>
      </w:tr>
      <w:tr w:rsidR="00753AB8" w:rsidRPr="00A66C9F" w14:paraId="1743D849" w14:textId="77777777" w:rsidTr="00100F73">
        <w:tc>
          <w:tcPr>
            <w:tcW w:w="2984" w:type="dxa"/>
            <w:tcBorders>
              <w:bottom w:val="single" w:sz="4" w:space="0" w:color="auto"/>
            </w:tcBorders>
            <w:shd w:val="clear" w:color="auto" w:fill="auto"/>
            <w:noWrap/>
            <w:vAlign w:val="bottom"/>
          </w:tcPr>
          <w:p w14:paraId="76B27C68" w14:textId="77777777" w:rsidR="00753AB8" w:rsidRPr="00A66C9F" w:rsidRDefault="00753AB8" w:rsidP="00107D5D">
            <w:pPr>
              <w:tabs>
                <w:tab w:val="left" w:pos="288"/>
                <w:tab w:val="left" w:pos="576"/>
                <w:tab w:val="left" w:pos="864"/>
                <w:tab w:val="left" w:pos="1152"/>
              </w:tabs>
              <w:suppressAutoHyphens/>
              <w:spacing w:before="40" w:after="81" w:line="210" w:lineRule="exact"/>
              <w:ind w:right="40"/>
              <w:rPr>
                <w:sz w:val="17"/>
                <w:lang w:val="fr-FR"/>
              </w:rPr>
            </w:pPr>
            <w:r w:rsidRPr="00A66C9F">
              <w:rPr>
                <w:sz w:val="17"/>
                <w:lang w:val="fr-FR"/>
              </w:rPr>
              <w:t>Organisation du Traité d’interdiction complète des essais nucléaires</w:t>
            </w:r>
          </w:p>
        </w:tc>
        <w:tc>
          <w:tcPr>
            <w:tcW w:w="854" w:type="dxa"/>
            <w:tcBorders>
              <w:bottom w:val="single" w:sz="4" w:space="0" w:color="auto"/>
            </w:tcBorders>
            <w:shd w:val="clear" w:color="auto" w:fill="auto"/>
            <w:noWrap/>
            <w:vAlign w:val="bottom"/>
          </w:tcPr>
          <w:p w14:paraId="385B99F8" w14:textId="77777777" w:rsidR="00753AB8" w:rsidRPr="00A66C9F" w:rsidRDefault="00753AB8"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w:t>
            </w:r>
          </w:p>
        </w:tc>
        <w:tc>
          <w:tcPr>
            <w:tcW w:w="855" w:type="dxa"/>
            <w:tcBorders>
              <w:bottom w:val="single" w:sz="4" w:space="0" w:color="auto"/>
            </w:tcBorders>
            <w:shd w:val="clear" w:color="auto" w:fill="auto"/>
            <w:noWrap/>
            <w:vAlign w:val="bottom"/>
          </w:tcPr>
          <w:p w14:paraId="2D2E800F" w14:textId="77777777" w:rsidR="00753AB8" w:rsidRPr="00A66C9F" w:rsidRDefault="00753AB8"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1</w:t>
            </w:r>
          </w:p>
        </w:tc>
        <w:tc>
          <w:tcPr>
            <w:tcW w:w="855" w:type="dxa"/>
            <w:tcBorders>
              <w:bottom w:val="single" w:sz="4" w:space="0" w:color="auto"/>
            </w:tcBorders>
            <w:shd w:val="clear" w:color="auto" w:fill="auto"/>
            <w:noWrap/>
            <w:vAlign w:val="bottom"/>
          </w:tcPr>
          <w:p w14:paraId="6BF3856E" w14:textId="77777777" w:rsidR="00753AB8" w:rsidRPr="00A66C9F" w:rsidRDefault="00753AB8"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w:t>
            </w:r>
          </w:p>
        </w:tc>
        <w:tc>
          <w:tcPr>
            <w:tcW w:w="854" w:type="dxa"/>
            <w:tcBorders>
              <w:bottom w:val="single" w:sz="4" w:space="0" w:color="auto"/>
            </w:tcBorders>
            <w:shd w:val="clear" w:color="auto" w:fill="auto"/>
            <w:noWrap/>
            <w:vAlign w:val="bottom"/>
          </w:tcPr>
          <w:p w14:paraId="7852BFD3" w14:textId="77777777" w:rsidR="00753AB8" w:rsidRPr="00A66C9F" w:rsidRDefault="00753AB8"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2</w:t>
            </w:r>
          </w:p>
        </w:tc>
        <w:tc>
          <w:tcPr>
            <w:tcW w:w="855" w:type="dxa"/>
            <w:tcBorders>
              <w:bottom w:val="single" w:sz="4" w:space="0" w:color="auto"/>
            </w:tcBorders>
            <w:shd w:val="clear" w:color="auto" w:fill="auto"/>
            <w:noWrap/>
            <w:vAlign w:val="bottom"/>
          </w:tcPr>
          <w:p w14:paraId="1995ED07" w14:textId="77777777" w:rsidR="00753AB8" w:rsidRPr="00A66C9F" w:rsidRDefault="00753AB8"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w:t>
            </w:r>
          </w:p>
        </w:tc>
        <w:tc>
          <w:tcPr>
            <w:tcW w:w="855" w:type="dxa"/>
            <w:tcBorders>
              <w:bottom w:val="single" w:sz="4" w:space="0" w:color="auto"/>
            </w:tcBorders>
            <w:shd w:val="clear" w:color="auto" w:fill="auto"/>
            <w:noWrap/>
            <w:vAlign w:val="bottom"/>
          </w:tcPr>
          <w:p w14:paraId="27B2E442" w14:textId="77777777" w:rsidR="00753AB8" w:rsidRPr="00A66C9F" w:rsidRDefault="00753AB8"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w:t>
            </w:r>
          </w:p>
        </w:tc>
        <w:tc>
          <w:tcPr>
            <w:tcW w:w="854" w:type="dxa"/>
            <w:tcBorders>
              <w:bottom w:val="single" w:sz="4" w:space="0" w:color="auto"/>
            </w:tcBorders>
            <w:shd w:val="clear" w:color="auto" w:fill="auto"/>
            <w:noWrap/>
            <w:vAlign w:val="bottom"/>
          </w:tcPr>
          <w:p w14:paraId="14EB9318" w14:textId="77777777" w:rsidR="00753AB8" w:rsidRPr="00A66C9F" w:rsidRDefault="00753AB8"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w:t>
            </w:r>
          </w:p>
        </w:tc>
        <w:tc>
          <w:tcPr>
            <w:tcW w:w="855" w:type="dxa"/>
            <w:tcBorders>
              <w:bottom w:val="single" w:sz="4" w:space="0" w:color="auto"/>
            </w:tcBorders>
            <w:shd w:val="clear" w:color="auto" w:fill="auto"/>
            <w:noWrap/>
            <w:vAlign w:val="bottom"/>
          </w:tcPr>
          <w:p w14:paraId="2C76AE67" w14:textId="77777777" w:rsidR="00753AB8" w:rsidRPr="00A66C9F" w:rsidRDefault="00753AB8"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w:t>
            </w:r>
          </w:p>
        </w:tc>
        <w:tc>
          <w:tcPr>
            <w:tcW w:w="855" w:type="dxa"/>
            <w:tcBorders>
              <w:bottom w:val="single" w:sz="4" w:space="0" w:color="auto"/>
            </w:tcBorders>
            <w:shd w:val="clear" w:color="auto" w:fill="auto"/>
            <w:noWrap/>
            <w:vAlign w:val="bottom"/>
          </w:tcPr>
          <w:p w14:paraId="600D5F1C" w14:textId="77777777" w:rsidR="00753AB8" w:rsidRPr="00A66C9F" w:rsidRDefault="00753AB8"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w:t>
            </w:r>
          </w:p>
        </w:tc>
        <w:tc>
          <w:tcPr>
            <w:tcW w:w="939" w:type="dxa"/>
            <w:tcBorders>
              <w:bottom w:val="single" w:sz="4" w:space="0" w:color="auto"/>
            </w:tcBorders>
            <w:shd w:val="clear" w:color="auto" w:fill="auto"/>
            <w:noWrap/>
            <w:vAlign w:val="bottom"/>
          </w:tcPr>
          <w:p w14:paraId="7C06B020" w14:textId="77777777" w:rsidR="00753AB8" w:rsidRPr="00A66C9F" w:rsidRDefault="00753AB8"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w:t>
            </w:r>
          </w:p>
        </w:tc>
        <w:tc>
          <w:tcPr>
            <w:tcW w:w="909" w:type="dxa"/>
            <w:tcBorders>
              <w:bottom w:val="single" w:sz="4" w:space="0" w:color="auto"/>
            </w:tcBorders>
            <w:shd w:val="clear" w:color="auto" w:fill="auto"/>
            <w:noWrap/>
            <w:vAlign w:val="bottom"/>
          </w:tcPr>
          <w:p w14:paraId="279FBE9A" w14:textId="77777777" w:rsidR="00753AB8" w:rsidRPr="00A66C9F" w:rsidRDefault="00753AB8"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w:t>
            </w:r>
          </w:p>
        </w:tc>
        <w:tc>
          <w:tcPr>
            <w:tcW w:w="716" w:type="dxa"/>
            <w:tcBorders>
              <w:bottom w:val="single" w:sz="4" w:space="0" w:color="auto"/>
            </w:tcBorders>
            <w:shd w:val="clear" w:color="auto" w:fill="auto"/>
            <w:noWrap/>
            <w:vAlign w:val="bottom"/>
          </w:tcPr>
          <w:p w14:paraId="365FE0E7" w14:textId="77777777" w:rsidR="00753AB8" w:rsidRPr="00A66C9F" w:rsidRDefault="00753AB8"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3</w:t>
            </w:r>
          </w:p>
        </w:tc>
      </w:tr>
      <w:tr w:rsidR="00753AB8" w:rsidRPr="00A66C9F" w14:paraId="3218EDA7" w14:textId="77777777" w:rsidTr="00100F73">
        <w:tc>
          <w:tcPr>
            <w:tcW w:w="2984" w:type="dxa"/>
            <w:tcBorders>
              <w:top w:val="single" w:sz="4" w:space="0" w:color="auto"/>
              <w:bottom w:val="single" w:sz="12" w:space="0" w:color="auto"/>
            </w:tcBorders>
            <w:shd w:val="clear" w:color="auto" w:fill="auto"/>
            <w:noWrap/>
            <w:vAlign w:val="bottom"/>
          </w:tcPr>
          <w:p w14:paraId="20CD1E3F" w14:textId="77777777" w:rsidR="00753AB8" w:rsidRPr="00A66C9F" w:rsidRDefault="00753AB8" w:rsidP="00107D5D">
            <w:pPr>
              <w:tabs>
                <w:tab w:val="left" w:pos="288"/>
                <w:tab w:val="left" w:pos="576"/>
                <w:tab w:val="left" w:pos="864"/>
                <w:tab w:val="left" w:pos="1152"/>
              </w:tabs>
              <w:suppressAutoHyphens/>
              <w:spacing w:before="81" w:after="81" w:line="210" w:lineRule="exact"/>
              <w:ind w:right="40"/>
              <w:rPr>
                <w:b/>
                <w:sz w:val="17"/>
                <w:lang w:val="fr-FR"/>
              </w:rPr>
            </w:pPr>
            <w:r w:rsidRPr="00A66C9F">
              <w:rPr>
                <w:b/>
                <w:sz w:val="17"/>
                <w:lang w:val="fr-FR"/>
              </w:rPr>
              <w:tab/>
              <w:t>Total</w:t>
            </w:r>
          </w:p>
        </w:tc>
        <w:tc>
          <w:tcPr>
            <w:tcW w:w="854" w:type="dxa"/>
            <w:tcBorders>
              <w:top w:val="single" w:sz="4" w:space="0" w:color="auto"/>
              <w:bottom w:val="single" w:sz="12" w:space="0" w:color="auto"/>
            </w:tcBorders>
            <w:shd w:val="clear" w:color="auto" w:fill="auto"/>
            <w:noWrap/>
            <w:vAlign w:val="bottom"/>
          </w:tcPr>
          <w:p w14:paraId="780E136D" w14:textId="77777777" w:rsidR="00753AB8" w:rsidRPr="00A66C9F" w:rsidRDefault="00753AB8"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736</w:t>
            </w:r>
          </w:p>
        </w:tc>
        <w:tc>
          <w:tcPr>
            <w:tcW w:w="855" w:type="dxa"/>
            <w:tcBorders>
              <w:top w:val="single" w:sz="4" w:space="0" w:color="auto"/>
              <w:bottom w:val="single" w:sz="12" w:space="0" w:color="auto"/>
            </w:tcBorders>
            <w:shd w:val="clear" w:color="auto" w:fill="auto"/>
            <w:noWrap/>
            <w:vAlign w:val="bottom"/>
          </w:tcPr>
          <w:p w14:paraId="4F0C33CF" w14:textId="77777777" w:rsidR="00753AB8" w:rsidRPr="00A66C9F" w:rsidRDefault="00753AB8"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708</w:t>
            </w:r>
          </w:p>
        </w:tc>
        <w:tc>
          <w:tcPr>
            <w:tcW w:w="855" w:type="dxa"/>
            <w:tcBorders>
              <w:top w:val="single" w:sz="4" w:space="0" w:color="auto"/>
              <w:bottom w:val="single" w:sz="12" w:space="0" w:color="auto"/>
            </w:tcBorders>
            <w:shd w:val="clear" w:color="auto" w:fill="auto"/>
            <w:noWrap/>
            <w:vAlign w:val="bottom"/>
          </w:tcPr>
          <w:p w14:paraId="222C65BE" w14:textId="77777777" w:rsidR="00753AB8" w:rsidRPr="00A66C9F" w:rsidRDefault="00753AB8"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432</w:t>
            </w:r>
          </w:p>
        </w:tc>
        <w:tc>
          <w:tcPr>
            <w:tcW w:w="854" w:type="dxa"/>
            <w:tcBorders>
              <w:top w:val="single" w:sz="4" w:space="0" w:color="auto"/>
              <w:bottom w:val="single" w:sz="12" w:space="0" w:color="auto"/>
            </w:tcBorders>
            <w:shd w:val="clear" w:color="auto" w:fill="auto"/>
            <w:noWrap/>
            <w:vAlign w:val="bottom"/>
          </w:tcPr>
          <w:p w14:paraId="1C47DFD3" w14:textId="77777777" w:rsidR="00753AB8" w:rsidRPr="00A66C9F" w:rsidRDefault="00753AB8"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4 498</w:t>
            </w:r>
          </w:p>
        </w:tc>
        <w:tc>
          <w:tcPr>
            <w:tcW w:w="855" w:type="dxa"/>
            <w:tcBorders>
              <w:top w:val="single" w:sz="4" w:space="0" w:color="auto"/>
              <w:bottom w:val="single" w:sz="12" w:space="0" w:color="auto"/>
            </w:tcBorders>
            <w:shd w:val="clear" w:color="auto" w:fill="auto"/>
            <w:noWrap/>
            <w:vAlign w:val="bottom"/>
          </w:tcPr>
          <w:p w14:paraId="0C62652B" w14:textId="77777777" w:rsidR="00753AB8" w:rsidRPr="00A66C9F" w:rsidRDefault="00753AB8"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2 412</w:t>
            </w:r>
          </w:p>
        </w:tc>
        <w:tc>
          <w:tcPr>
            <w:tcW w:w="855" w:type="dxa"/>
            <w:tcBorders>
              <w:top w:val="single" w:sz="4" w:space="0" w:color="auto"/>
              <w:bottom w:val="single" w:sz="12" w:space="0" w:color="auto"/>
            </w:tcBorders>
            <w:shd w:val="clear" w:color="auto" w:fill="auto"/>
            <w:noWrap/>
            <w:vAlign w:val="bottom"/>
          </w:tcPr>
          <w:p w14:paraId="35CFC8FC" w14:textId="77777777" w:rsidR="00753AB8" w:rsidRPr="00A66C9F" w:rsidRDefault="00753AB8"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1 415</w:t>
            </w:r>
          </w:p>
        </w:tc>
        <w:tc>
          <w:tcPr>
            <w:tcW w:w="854" w:type="dxa"/>
            <w:tcBorders>
              <w:top w:val="single" w:sz="4" w:space="0" w:color="auto"/>
              <w:bottom w:val="single" w:sz="12" w:space="0" w:color="auto"/>
            </w:tcBorders>
            <w:shd w:val="clear" w:color="auto" w:fill="auto"/>
            <w:noWrap/>
            <w:vAlign w:val="bottom"/>
          </w:tcPr>
          <w:p w14:paraId="7F5E4562" w14:textId="77777777" w:rsidR="00753AB8" w:rsidRPr="00A66C9F" w:rsidRDefault="00753AB8"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163</w:t>
            </w:r>
          </w:p>
        </w:tc>
        <w:tc>
          <w:tcPr>
            <w:tcW w:w="855" w:type="dxa"/>
            <w:tcBorders>
              <w:top w:val="single" w:sz="4" w:space="0" w:color="auto"/>
              <w:bottom w:val="single" w:sz="12" w:space="0" w:color="auto"/>
            </w:tcBorders>
            <w:shd w:val="clear" w:color="auto" w:fill="auto"/>
            <w:noWrap/>
            <w:vAlign w:val="bottom"/>
          </w:tcPr>
          <w:p w14:paraId="5E98B8A3" w14:textId="77777777" w:rsidR="00753AB8" w:rsidRPr="00A66C9F" w:rsidRDefault="00753AB8"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2</w:t>
            </w:r>
          </w:p>
        </w:tc>
        <w:tc>
          <w:tcPr>
            <w:tcW w:w="855" w:type="dxa"/>
            <w:tcBorders>
              <w:top w:val="single" w:sz="4" w:space="0" w:color="auto"/>
              <w:bottom w:val="single" w:sz="12" w:space="0" w:color="auto"/>
            </w:tcBorders>
            <w:shd w:val="clear" w:color="auto" w:fill="auto"/>
            <w:noWrap/>
            <w:vAlign w:val="bottom"/>
          </w:tcPr>
          <w:p w14:paraId="23F01EC2" w14:textId="77777777" w:rsidR="00753AB8" w:rsidRPr="00A66C9F" w:rsidRDefault="00753AB8"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167</w:t>
            </w:r>
          </w:p>
        </w:tc>
        <w:tc>
          <w:tcPr>
            <w:tcW w:w="939" w:type="dxa"/>
            <w:tcBorders>
              <w:top w:val="single" w:sz="4" w:space="0" w:color="auto"/>
              <w:bottom w:val="single" w:sz="12" w:space="0" w:color="auto"/>
            </w:tcBorders>
            <w:shd w:val="clear" w:color="auto" w:fill="auto"/>
            <w:noWrap/>
            <w:vAlign w:val="bottom"/>
          </w:tcPr>
          <w:p w14:paraId="4DD8AE46" w14:textId="77777777" w:rsidR="00753AB8" w:rsidRPr="00A66C9F" w:rsidRDefault="00753AB8"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1</w:t>
            </w:r>
          </w:p>
        </w:tc>
        <w:tc>
          <w:tcPr>
            <w:tcW w:w="909" w:type="dxa"/>
            <w:tcBorders>
              <w:top w:val="single" w:sz="4" w:space="0" w:color="auto"/>
              <w:bottom w:val="single" w:sz="12" w:space="0" w:color="auto"/>
            </w:tcBorders>
            <w:shd w:val="clear" w:color="auto" w:fill="auto"/>
            <w:noWrap/>
            <w:vAlign w:val="bottom"/>
          </w:tcPr>
          <w:p w14:paraId="0CA29D4F" w14:textId="77777777" w:rsidR="00753AB8" w:rsidRPr="00A66C9F" w:rsidRDefault="00753AB8"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21</w:t>
            </w:r>
          </w:p>
        </w:tc>
        <w:tc>
          <w:tcPr>
            <w:tcW w:w="716" w:type="dxa"/>
            <w:tcBorders>
              <w:top w:val="single" w:sz="4" w:space="0" w:color="auto"/>
              <w:bottom w:val="single" w:sz="12" w:space="0" w:color="auto"/>
            </w:tcBorders>
            <w:shd w:val="clear" w:color="auto" w:fill="auto"/>
            <w:noWrap/>
            <w:vAlign w:val="bottom"/>
          </w:tcPr>
          <w:p w14:paraId="55798610" w14:textId="77777777" w:rsidR="00753AB8" w:rsidRPr="00A66C9F" w:rsidRDefault="00753AB8"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10 555</w:t>
            </w:r>
          </w:p>
        </w:tc>
      </w:tr>
    </w:tbl>
    <w:p w14:paraId="0161F158" w14:textId="77777777" w:rsidR="00753AB8" w:rsidRPr="00A66C9F" w:rsidRDefault="00753AB8" w:rsidP="00753AB8">
      <w:pPr>
        <w:pStyle w:val="SingleTxt"/>
        <w:spacing w:after="0" w:line="120" w:lineRule="exact"/>
        <w:rPr>
          <w:sz w:val="10"/>
          <w:lang w:val="fr-FR"/>
        </w:rPr>
      </w:pPr>
    </w:p>
    <w:p w14:paraId="25746FFF" w14:textId="77777777" w:rsidR="00753AB8" w:rsidRPr="00A66C9F" w:rsidRDefault="00753AB8" w:rsidP="00753AB8">
      <w:pPr>
        <w:pStyle w:val="FootnoteText"/>
        <w:tabs>
          <w:tab w:val="right" w:pos="216"/>
          <w:tab w:val="left" w:pos="288"/>
          <w:tab w:val="right" w:pos="576"/>
          <w:tab w:val="left" w:pos="648"/>
        </w:tabs>
        <w:ind w:left="288" w:hanging="288"/>
        <w:rPr>
          <w:lang w:val="fr-FR"/>
        </w:rPr>
      </w:pPr>
      <w:r w:rsidRPr="00A66C9F">
        <w:rPr>
          <w:lang w:val="fr-FR"/>
        </w:rPr>
        <w:tab/>
      </w:r>
      <w:r w:rsidRPr="00A66C9F">
        <w:rPr>
          <w:i/>
          <w:iCs/>
          <w:vertAlign w:val="superscript"/>
          <w:lang w:val="fr-FR"/>
        </w:rPr>
        <w:t>a</w:t>
      </w:r>
      <w:r w:rsidRPr="00A66C9F">
        <w:rPr>
          <w:lang w:val="fr-FR"/>
        </w:rPr>
        <w:tab/>
        <w:t>Siège et bureaux régionaux de l’ONU et fonds et programmes des Nations Unies.</w:t>
      </w:r>
    </w:p>
    <w:p w14:paraId="4A38BC25" w14:textId="796EFC9B" w:rsidR="00744544" w:rsidRPr="00A66C9F" w:rsidRDefault="00744544" w:rsidP="00744544">
      <w:pPr>
        <w:pStyle w:val="SingleTxt"/>
        <w:rPr>
          <w:lang w:val="fr-FR"/>
        </w:rPr>
      </w:pPr>
    </w:p>
    <w:p w14:paraId="3B592770" w14:textId="77777777" w:rsidR="00753AB8" w:rsidRPr="00A66C9F" w:rsidRDefault="00753AB8" w:rsidP="00744544">
      <w:pPr>
        <w:pStyle w:val="SingleTxt"/>
        <w:rPr>
          <w:lang w:val="fr-FR"/>
        </w:rPr>
      </w:pPr>
    </w:p>
    <w:p w14:paraId="25D28E2A" w14:textId="77777777" w:rsidR="00753AB8" w:rsidRPr="00A66C9F" w:rsidRDefault="00753AB8" w:rsidP="00744544">
      <w:pPr>
        <w:pStyle w:val="SingleTxt"/>
        <w:rPr>
          <w:lang w:val="fr-FR"/>
        </w:rPr>
        <w:sectPr w:rsidR="00753AB8" w:rsidRPr="00A66C9F" w:rsidSect="00753AB8">
          <w:headerReference w:type="even" r:id="rId49"/>
          <w:headerReference w:type="default" r:id="rId50"/>
          <w:footerReference w:type="even" r:id="rId51"/>
          <w:footerReference w:type="default" r:id="rId52"/>
          <w:pgSz w:w="15840" w:h="12240" w:orient="landscape"/>
          <w:pgMar w:top="1195" w:right="1440" w:bottom="1195" w:left="1152" w:header="576" w:footer="1037" w:gutter="0"/>
          <w:cols w:space="720"/>
          <w:noEndnote/>
          <w:bidi/>
          <w:rtlGutter/>
          <w:docGrid w:linePitch="360"/>
        </w:sectPr>
      </w:pPr>
    </w:p>
    <w:p w14:paraId="59F906C3" w14:textId="77777777" w:rsidR="00753AB8" w:rsidRPr="00A66C9F" w:rsidRDefault="00753AB8" w:rsidP="00753AB8">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lastRenderedPageBreak/>
        <w:tab/>
      </w:r>
      <w:r w:rsidRPr="00A66C9F">
        <w:rPr>
          <w:lang w:val="fr-FR"/>
        </w:rPr>
        <w:tab/>
        <w:t>Tableau 3</w:t>
      </w:r>
      <w:bookmarkStart w:id="617" w:name="_Toc511309539"/>
      <w:bookmarkStart w:id="618" w:name="_Toc38529195"/>
      <w:bookmarkStart w:id="619" w:name="_Hlk6390219"/>
    </w:p>
    <w:p w14:paraId="418556DC" w14:textId="77777777" w:rsidR="00753AB8" w:rsidRPr="00A66C9F" w:rsidRDefault="00753AB8" w:rsidP="00753A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Analyse des prestations périodiques servies pendant l’année terminée le 31 décembre 2019</w:t>
      </w:r>
      <w:bookmarkEnd w:id="617"/>
      <w:bookmarkEnd w:id="618"/>
    </w:p>
    <w:p w14:paraId="3361FE9A" w14:textId="77777777" w:rsidR="00753AB8" w:rsidRPr="00A66C9F" w:rsidRDefault="00753AB8" w:rsidP="0073101C">
      <w:pPr>
        <w:pStyle w:val="SingleTxt"/>
        <w:spacing w:after="0" w:line="100" w:lineRule="exact"/>
        <w:rPr>
          <w:sz w:val="10"/>
          <w:lang w:val="fr-FR"/>
        </w:rPr>
      </w:pPr>
    </w:p>
    <w:p w14:paraId="51713B20" w14:textId="77777777" w:rsidR="00753AB8" w:rsidRPr="00A66C9F" w:rsidRDefault="00753AB8" w:rsidP="0073101C">
      <w:pPr>
        <w:pStyle w:val="SingleTxt"/>
        <w:spacing w:after="0" w:line="100" w:lineRule="exact"/>
        <w:rPr>
          <w:sz w:val="10"/>
          <w:lang w:val="fr-FR"/>
        </w:rPr>
      </w:pPr>
    </w:p>
    <w:tbl>
      <w:tblPr>
        <w:tblW w:w="8568" w:type="dxa"/>
        <w:tblInd w:w="1267" w:type="dxa"/>
        <w:tblLayout w:type="fixed"/>
        <w:tblCellMar>
          <w:left w:w="0" w:type="dxa"/>
          <w:right w:w="0" w:type="dxa"/>
        </w:tblCellMar>
        <w:tblLook w:val="04A0" w:firstRow="1" w:lastRow="0" w:firstColumn="1" w:lastColumn="0" w:noHBand="0" w:noVBand="1"/>
      </w:tblPr>
      <w:tblGrid>
        <w:gridCol w:w="2423"/>
        <w:gridCol w:w="1229"/>
        <w:gridCol w:w="1229"/>
        <w:gridCol w:w="1229"/>
        <w:gridCol w:w="1229"/>
        <w:gridCol w:w="1229"/>
      </w:tblGrid>
      <w:tr w:rsidR="00753AB8" w:rsidRPr="00A66C9F" w14:paraId="4F557DBA" w14:textId="77777777" w:rsidTr="0073101C">
        <w:trPr>
          <w:tblHeader/>
        </w:trPr>
        <w:tc>
          <w:tcPr>
            <w:tcW w:w="2423" w:type="dxa"/>
            <w:tcBorders>
              <w:top w:val="single" w:sz="4" w:space="0" w:color="auto"/>
              <w:bottom w:val="single" w:sz="12" w:space="0" w:color="auto"/>
            </w:tcBorders>
            <w:shd w:val="clear" w:color="auto" w:fill="auto"/>
            <w:vAlign w:val="bottom"/>
            <w:hideMark/>
          </w:tcPr>
          <w:p w14:paraId="7FF62B04" w14:textId="77777777" w:rsidR="00753AB8" w:rsidRPr="00A66C9F" w:rsidRDefault="00753AB8" w:rsidP="00107D5D">
            <w:pPr>
              <w:suppressAutoHyphens/>
              <w:spacing w:before="81" w:after="81" w:line="160" w:lineRule="exact"/>
              <w:ind w:right="40"/>
              <w:rPr>
                <w:i/>
                <w:sz w:val="14"/>
                <w:lang w:val="fr-FR"/>
              </w:rPr>
            </w:pPr>
            <w:bookmarkStart w:id="620" w:name="_Toc339633765"/>
            <w:bookmarkStart w:id="621" w:name="_Toc339634100"/>
            <w:bookmarkStart w:id="622" w:name="_Toc339633767"/>
            <w:bookmarkStart w:id="623" w:name="_Toc339634102"/>
            <w:bookmarkStart w:id="624" w:name="_Toc339633776"/>
            <w:bookmarkStart w:id="625" w:name="_Toc339634111"/>
            <w:bookmarkStart w:id="626" w:name="_Toc339633788"/>
            <w:bookmarkStart w:id="627" w:name="_Toc339634123"/>
            <w:bookmarkStart w:id="628" w:name="_Toc339633793"/>
            <w:bookmarkStart w:id="629" w:name="_Toc339634128"/>
            <w:bookmarkStart w:id="630" w:name="_Toc339633794"/>
            <w:bookmarkStart w:id="631" w:name="_Toc339634129"/>
            <w:bookmarkStart w:id="632" w:name="_Toc339633795"/>
            <w:bookmarkStart w:id="633" w:name="_Toc339634130"/>
            <w:bookmarkStart w:id="634" w:name="_Toc339633796"/>
            <w:bookmarkStart w:id="635" w:name="_Toc339634131"/>
            <w:bookmarkStart w:id="636" w:name="_Toc339633805"/>
            <w:bookmarkStart w:id="637" w:name="_Toc339634140"/>
            <w:bookmarkStart w:id="638" w:name="_Toc339633806"/>
            <w:bookmarkStart w:id="639" w:name="_Toc339634141"/>
            <w:bookmarkStart w:id="640" w:name="_Toc339633807"/>
            <w:bookmarkStart w:id="641" w:name="_Toc339634142"/>
            <w:bookmarkStart w:id="642" w:name="_Toc339633809"/>
            <w:bookmarkStart w:id="643" w:name="_Toc339634144"/>
            <w:bookmarkStart w:id="644" w:name="_Toc339633810"/>
            <w:bookmarkStart w:id="645" w:name="_Toc339634145"/>
            <w:bookmarkStart w:id="646" w:name="_Toc339633811"/>
            <w:bookmarkStart w:id="647" w:name="_Toc339634146"/>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rsidRPr="00A66C9F">
              <w:rPr>
                <w:i/>
                <w:sz w:val="14"/>
                <w:lang w:val="fr-FR"/>
              </w:rPr>
              <w:t>Type de prestation</w:t>
            </w:r>
          </w:p>
        </w:tc>
        <w:tc>
          <w:tcPr>
            <w:tcW w:w="1229" w:type="dxa"/>
            <w:tcBorders>
              <w:top w:val="single" w:sz="4" w:space="0" w:color="auto"/>
              <w:bottom w:val="single" w:sz="12" w:space="0" w:color="auto"/>
            </w:tcBorders>
            <w:shd w:val="clear" w:color="auto" w:fill="auto"/>
            <w:vAlign w:val="bottom"/>
            <w:hideMark/>
          </w:tcPr>
          <w:p w14:paraId="21DD23FA" w14:textId="77777777" w:rsidR="00753AB8" w:rsidRPr="00A66C9F" w:rsidRDefault="00753AB8" w:rsidP="00107D5D">
            <w:pPr>
              <w:suppressAutoHyphens/>
              <w:spacing w:before="81" w:after="81" w:line="160" w:lineRule="exact"/>
              <w:ind w:right="43"/>
              <w:jc w:val="right"/>
              <w:rPr>
                <w:i/>
                <w:sz w:val="14"/>
                <w:lang w:val="fr-FR"/>
              </w:rPr>
            </w:pPr>
            <w:r w:rsidRPr="00A66C9F">
              <w:rPr>
                <w:i/>
                <w:sz w:val="14"/>
                <w:lang w:val="fr-FR"/>
              </w:rPr>
              <w:t>Total au</w:t>
            </w:r>
            <w:r w:rsidRPr="00A66C9F">
              <w:rPr>
                <w:i/>
                <w:sz w:val="14"/>
                <w:lang w:val="fr-FR"/>
              </w:rPr>
              <w:br/>
              <w:t>31 décembre 2018</w:t>
            </w:r>
          </w:p>
        </w:tc>
        <w:tc>
          <w:tcPr>
            <w:tcW w:w="1229" w:type="dxa"/>
            <w:tcBorders>
              <w:top w:val="single" w:sz="4" w:space="0" w:color="auto"/>
              <w:bottom w:val="single" w:sz="12" w:space="0" w:color="auto"/>
            </w:tcBorders>
            <w:shd w:val="clear" w:color="auto" w:fill="auto"/>
            <w:vAlign w:val="bottom"/>
            <w:hideMark/>
          </w:tcPr>
          <w:p w14:paraId="3BB9FA79" w14:textId="77777777" w:rsidR="00753AB8" w:rsidRPr="00A66C9F" w:rsidRDefault="00753AB8" w:rsidP="00107D5D">
            <w:pPr>
              <w:suppressAutoHyphens/>
              <w:spacing w:before="81" w:after="81" w:line="160" w:lineRule="exact"/>
              <w:ind w:right="43"/>
              <w:jc w:val="right"/>
              <w:rPr>
                <w:i/>
                <w:sz w:val="14"/>
                <w:lang w:val="fr-FR"/>
              </w:rPr>
            </w:pPr>
            <w:r w:rsidRPr="00A66C9F">
              <w:rPr>
                <w:i/>
                <w:sz w:val="14"/>
                <w:lang w:val="fr-FR"/>
              </w:rPr>
              <w:t>Nouvelles prestations</w:t>
            </w:r>
          </w:p>
        </w:tc>
        <w:tc>
          <w:tcPr>
            <w:tcW w:w="1229" w:type="dxa"/>
            <w:tcBorders>
              <w:top w:val="single" w:sz="4" w:space="0" w:color="auto"/>
              <w:bottom w:val="single" w:sz="12" w:space="0" w:color="auto"/>
            </w:tcBorders>
            <w:shd w:val="clear" w:color="auto" w:fill="auto"/>
            <w:vAlign w:val="bottom"/>
            <w:hideMark/>
          </w:tcPr>
          <w:p w14:paraId="68CAC6D3" w14:textId="77777777" w:rsidR="00753AB8" w:rsidRPr="00A66C9F" w:rsidRDefault="00753AB8" w:rsidP="00107D5D">
            <w:pPr>
              <w:suppressAutoHyphens/>
              <w:spacing w:before="81" w:after="81" w:line="160" w:lineRule="exact"/>
              <w:ind w:right="43"/>
              <w:jc w:val="right"/>
              <w:rPr>
                <w:i/>
                <w:sz w:val="14"/>
                <w:lang w:val="fr-FR"/>
              </w:rPr>
            </w:pPr>
            <w:r w:rsidRPr="00A66C9F">
              <w:rPr>
                <w:i/>
                <w:sz w:val="14"/>
                <w:lang w:val="fr-FR"/>
              </w:rPr>
              <w:t>Prestations transformées</w:t>
            </w:r>
            <w:r w:rsidRPr="00A66C9F">
              <w:rPr>
                <w:i/>
                <w:sz w:val="14"/>
                <w:lang w:val="fr-FR"/>
              </w:rPr>
              <w:br/>
              <w:t>en pensions</w:t>
            </w:r>
            <w:r w:rsidRPr="00A66C9F">
              <w:rPr>
                <w:i/>
                <w:sz w:val="14"/>
                <w:lang w:val="fr-FR"/>
              </w:rPr>
              <w:br/>
              <w:t>de réversion</w:t>
            </w:r>
          </w:p>
        </w:tc>
        <w:tc>
          <w:tcPr>
            <w:tcW w:w="1229" w:type="dxa"/>
            <w:tcBorders>
              <w:top w:val="single" w:sz="4" w:space="0" w:color="auto"/>
              <w:bottom w:val="single" w:sz="12" w:space="0" w:color="auto"/>
            </w:tcBorders>
            <w:shd w:val="clear" w:color="auto" w:fill="auto"/>
            <w:vAlign w:val="bottom"/>
            <w:hideMark/>
          </w:tcPr>
          <w:p w14:paraId="463A88CF" w14:textId="77777777" w:rsidR="00753AB8" w:rsidRPr="00A66C9F" w:rsidRDefault="00753AB8" w:rsidP="00107D5D">
            <w:pPr>
              <w:suppressAutoHyphens/>
              <w:spacing w:before="81" w:after="81" w:line="160" w:lineRule="exact"/>
              <w:ind w:right="43"/>
              <w:jc w:val="right"/>
              <w:rPr>
                <w:i/>
                <w:sz w:val="14"/>
                <w:lang w:val="fr-FR"/>
              </w:rPr>
            </w:pPr>
            <w:r w:rsidRPr="00A66C9F">
              <w:rPr>
                <w:i/>
                <w:sz w:val="14"/>
                <w:lang w:val="fr-FR"/>
              </w:rPr>
              <w:t>Autres prestations ayant pris fin</w:t>
            </w:r>
          </w:p>
        </w:tc>
        <w:tc>
          <w:tcPr>
            <w:tcW w:w="1229" w:type="dxa"/>
            <w:tcBorders>
              <w:top w:val="single" w:sz="4" w:space="0" w:color="auto"/>
              <w:bottom w:val="single" w:sz="12" w:space="0" w:color="auto"/>
            </w:tcBorders>
            <w:shd w:val="clear" w:color="auto" w:fill="auto"/>
            <w:vAlign w:val="bottom"/>
            <w:hideMark/>
          </w:tcPr>
          <w:p w14:paraId="4E9F4637" w14:textId="77777777" w:rsidR="00753AB8" w:rsidRPr="00A66C9F" w:rsidRDefault="00753AB8" w:rsidP="00107D5D">
            <w:pPr>
              <w:suppressAutoHyphens/>
              <w:spacing w:before="81" w:after="81" w:line="160" w:lineRule="exact"/>
              <w:ind w:right="43"/>
              <w:jc w:val="right"/>
              <w:rPr>
                <w:i/>
                <w:sz w:val="14"/>
                <w:lang w:val="fr-FR"/>
              </w:rPr>
            </w:pPr>
            <w:r w:rsidRPr="00A66C9F">
              <w:rPr>
                <w:i/>
                <w:sz w:val="14"/>
                <w:lang w:val="fr-FR"/>
              </w:rPr>
              <w:t>Total au</w:t>
            </w:r>
            <w:r w:rsidRPr="00A66C9F">
              <w:rPr>
                <w:i/>
                <w:sz w:val="14"/>
                <w:lang w:val="fr-FR"/>
              </w:rPr>
              <w:br/>
              <w:t>31 décembre 2019</w:t>
            </w:r>
          </w:p>
        </w:tc>
      </w:tr>
      <w:tr w:rsidR="00753AB8" w:rsidRPr="00A66C9F" w14:paraId="0EE96BD5" w14:textId="77777777" w:rsidTr="0073101C">
        <w:trPr>
          <w:trHeight w:hRule="exact" w:val="115"/>
          <w:tblHeader/>
        </w:trPr>
        <w:tc>
          <w:tcPr>
            <w:tcW w:w="2423" w:type="dxa"/>
            <w:tcBorders>
              <w:top w:val="single" w:sz="12" w:space="0" w:color="auto"/>
            </w:tcBorders>
            <w:shd w:val="clear" w:color="auto" w:fill="auto"/>
            <w:noWrap/>
            <w:vAlign w:val="bottom"/>
          </w:tcPr>
          <w:p w14:paraId="1DC528EE" w14:textId="77777777" w:rsidR="00753AB8" w:rsidRPr="00A66C9F" w:rsidRDefault="00753AB8" w:rsidP="00107D5D">
            <w:pPr>
              <w:suppressAutoHyphens/>
              <w:spacing w:before="40" w:after="40" w:line="210" w:lineRule="exact"/>
              <w:ind w:right="40"/>
              <w:rPr>
                <w:sz w:val="17"/>
                <w:lang w:val="fr-FR"/>
              </w:rPr>
            </w:pPr>
          </w:p>
        </w:tc>
        <w:tc>
          <w:tcPr>
            <w:tcW w:w="1229" w:type="dxa"/>
            <w:tcBorders>
              <w:top w:val="single" w:sz="12" w:space="0" w:color="auto"/>
            </w:tcBorders>
            <w:shd w:val="clear" w:color="auto" w:fill="auto"/>
            <w:noWrap/>
            <w:vAlign w:val="bottom"/>
          </w:tcPr>
          <w:p w14:paraId="2FBFFC91" w14:textId="77777777" w:rsidR="00753AB8" w:rsidRPr="00A66C9F" w:rsidRDefault="00753AB8" w:rsidP="00107D5D">
            <w:pPr>
              <w:suppressAutoHyphens/>
              <w:spacing w:before="40" w:after="40" w:line="210" w:lineRule="exact"/>
              <w:ind w:right="43"/>
              <w:jc w:val="right"/>
              <w:rPr>
                <w:sz w:val="17"/>
                <w:lang w:val="fr-FR"/>
              </w:rPr>
            </w:pPr>
          </w:p>
        </w:tc>
        <w:tc>
          <w:tcPr>
            <w:tcW w:w="1229" w:type="dxa"/>
            <w:tcBorders>
              <w:top w:val="single" w:sz="12" w:space="0" w:color="auto"/>
            </w:tcBorders>
            <w:shd w:val="clear" w:color="auto" w:fill="auto"/>
            <w:noWrap/>
            <w:vAlign w:val="bottom"/>
          </w:tcPr>
          <w:p w14:paraId="734912CD" w14:textId="77777777" w:rsidR="00753AB8" w:rsidRPr="00A66C9F" w:rsidRDefault="00753AB8" w:rsidP="00107D5D">
            <w:pPr>
              <w:suppressAutoHyphens/>
              <w:spacing w:before="40" w:after="40" w:line="210" w:lineRule="exact"/>
              <w:ind w:right="43"/>
              <w:jc w:val="right"/>
              <w:rPr>
                <w:sz w:val="17"/>
                <w:lang w:val="fr-FR"/>
              </w:rPr>
            </w:pPr>
          </w:p>
        </w:tc>
        <w:tc>
          <w:tcPr>
            <w:tcW w:w="1229" w:type="dxa"/>
            <w:tcBorders>
              <w:top w:val="single" w:sz="12" w:space="0" w:color="auto"/>
            </w:tcBorders>
            <w:shd w:val="clear" w:color="auto" w:fill="auto"/>
            <w:noWrap/>
            <w:vAlign w:val="bottom"/>
          </w:tcPr>
          <w:p w14:paraId="5563314A" w14:textId="77777777" w:rsidR="00753AB8" w:rsidRPr="00A66C9F" w:rsidRDefault="00753AB8" w:rsidP="00107D5D">
            <w:pPr>
              <w:suppressAutoHyphens/>
              <w:spacing w:before="40" w:after="40" w:line="210" w:lineRule="exact"/>
              <w:ind w:right="43"/>
              <w:jc w:val="right"/>
              <w:rPr>
                <w:sz w:val="17"/>
                <w:lang w:val="fr-FR"/>
              </w:rPr>
            </w:pPr>
          </w:p>
        </w:tc>
        <w:tc>
          <w:tcPr>
            <w:tcW w:w="1229" w:type="dxa"/>
            <w:tcBorders>
              <w:top w:val="single" w:sz="12" w:space="0" w:color="auto"/>
            </w:tcBorders>
            <w:shd w:val="clear" w:color="auto" w:fill="auto"/>
            <w:noWrap/>
            <w:vAlign w:val="bottom"/>
          </w:tcPr>
          <w:p w14:paraId="5966D699" w14:textId="77777777" w:rsidR="00753AB8" w:rsidRPr="00A66C9F" w:rsidRDefault="00753AB8" w:rsidP="00107D5D">
            <w:pPr>
              <w:suppressAutoHyphens/>
              <w:spacing w:before="40" w:after="40" w:line="210" w:lineRule="exact"/>
              <w:ind w:right="43"/>
              <w:jc w:val="right"/>
              <w:rPr>
                <w:sz w:val="17"/>
                <w:lang w:val="fr-FR"/>
              </w:rPr>
            </w:pPr>
          </w:p>
        </w:tc>
        <w:tc>
          <w:tcPr>
            <w:tcW w:w="1229" w:type="dxa"/>
            <w:tcBorders>
              <w:top w:val="single" w:sz="12" w:space="0" w:color="auto"/>
            </w:tcBorders>
            <w:shd w:val="clear" w:color="auto" w:fill="auto"/>
            <w:noWrap/>
            <w:vAlign w:val="bottom"/>
          </w:tcPr>
          <w:p w14:paraId="594388F1" w14:textId="77777777" w:rsidR="00753AB8" w:rsidRPr="00A66C9F" w:rsidRDefault="00753AB8" w:rsidP="00107D5D">
            <w:pPr>
              <w:suppressAutoHyphens/>
              <w:spacing w:before="40" w:after="40" w:line="210" w:lineRule="exact"/>
              <w:ind w:right="43"/>
              <w:jc w:val="right"/>
              <w:rPr>
                <w:sz w:val="17"/>
                <w:lang w:val="fr-FR"/>
              </w:rPr>
            </w:pPr>
          </w:p>
        </w:tc>
      </w:tr>
      <w:tr w:rsidR="00753AB8" w:rsidRPr="00A66C9F" w14:paraId="004D5DFF" w14:textId="77777777" w:rsidTr="0073101C">
        <w:tc>
          <w:tcPr>
            <w:tcW w:w="2423" w:type="dxa"/>
            <w:shd w:val="clear" w:color="auto" w:fill="auto"/>
            <w:noWrap/>
            <w:vAlign w:val="bottom"/>
            <w:hideMark/>
          </w:tcPr>
          <w:p w14:paraId="2BDA7B89"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Retraite</w:t>
            </w:r>
          </w:p>
        </w:tc>
        <w:tc>
          <w:tcPr>
            <w:tcW w:w="1229" w:type="dxa"/>
            <w:shd w:val="clear" w:color="auto" w:fill="auto"/>
            <w:noWrap/>
            <w:vAlign w:val="bottom"/>
          </w:tcPr>
          <w:p w14:paraId="77C1F03D"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29 179 </w:t>
            </w:r>
          </w:p>
        </w:tc>
        <w:tc>
          <w:tcPr>
            <w:tcW w:w="1229" w:type="dxa"/>
            <w:shd w:val="clear" w:color="auto" w:fill="auto"/>
            <w:noWrap/>
            <w:vAlign w:val="bottom"/>
          </w:tcPr>
          <w:p w14:paraId="662A3A36"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736 </w:t>
            </w:r>
          </w:p>
        </w:tc>
        <w:tc>
          <w:tcPr>
            <w:tcW w:w="1229" w:type="dxa"/>
            <w:shd w:val="clear" w:color="auto" w:fill="auto"/>
            <w:noWrap/>
            <w:vAlign w:val="bottom"/>
          </w:tcPr>
          <w:p w14:paraId="7D0812BD"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(267)</w:t>
            </w:r>
          </w:p>
        </w:tc>
        <w:tc>
          <w:tcPr>
            <w:tcW w:w="1229" w:type="dxa"/>
            <w:shd w:val="clear" w:color="auto" w:fill="auto"/>
            <w:noWrap/>
            <w:vAlign w:val="bottom"/>
          </w:tcPr>
          <w:p w14:paraId="39C3D6CB"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(423)</w:t>
            </w:r>
          </w:p>
        </w:tc>
        <w:tc>
          <w:tcPr>
            <w:tcW w:w="1229" w:type="dxa"/>
            <w:shd w:val="clear" w:color="auto" w:fill="auto"/>
            <w:noWrap/>
            <w:vAlign w:val="bottom"/>
          </w:tcPr>
          <w:p w14:paraId="29140695"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29 225 </w:t>
            </w:r>
          </w:p>
        </w:tc>
      </w:tr>
      <w:tr w:rsidR="00753AB8" w:rsidRPr="00A66C9F" w14:paraId="56F5E464" w14:textId="77777777" w:rsidTr="0073101C">
        <w:tc>
          <w:tcPr>
            <w:tcW w:w="2423" w:type="dxa"/>
            <w:shd w:val="clear" w:color="auto" w:fill="auto"/>
            <w:noWrap/>
            <w:vAlign w:val="bottom"/>
            <w:hideMark/>
          </w:tcPr>
          <w:p w14:paraId="331BA746"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Départ à la retraite anticipé</w:t>
            </w:r>
          </w:p>
        </w:tc>
        <w:tc>
          <w:tcPr>
            <w:tcW w:w="1229" w:type="dxa"/>
            <w:shd w:val="clear" w:color="auto" w:fill="auto"/>
            <w:noWrap/>
            <w:vAlign w:val="bottom"/>
          </w:tcPr>
          <w:p w14:paraId="46ED05A4"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16 744 </w:t>
            </w:r>
          </w:p>
        </w:tc>
        <w:tc>
          <w:tcPr>
            <w:tcW w:w="1229" w:type="dxa"/>
            <w:shd w:val="clear" w:color="auto" w:fill="auto"/>
            <w:noWrap/>
            <w:vAlign w:val="bottom"/>
          </w:tcPr>
          <w:p w14:paraId="0DFE4B4F"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708 </w:t>
            </w:r>
          </w:p>
        </w:tc>
        <w:tc>
          <w:tcPr>
            <w:tcW w:w="1229" w:type="dxa"/>
            <w:shd w:val="clear" w:color="auto" w:fill="auto"/>
            <w:noWrap/>
            <w:vAlign w:val="bottom"/>
          </w:tcPr>
          <w:p w14:paraId="6F9BCA4C"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(170)</w:t>
            </w:r>
          </w:p>
        </w:tc>
        <w:tc>
          <w:tcPr>
            <w:tcW w:w="1229" w:type="dxa"/>
            <w:shd w:val="clear" w:color="auto" w:fill="auto"/>
            <w:noWrap/>
            <w:vAlign w:val="bottom"/>
          </w:tcPr>
          <w:p w14:paraId="46ACB314"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(217)</w:t>
            </w:r>
          </w:p>
        </w:tc>
        <w:tc>
          <w:tcPr>
            <w:tcW w:w="1229" w:type="dxa"/>
            <w:shd w:val="clear" w:color="auto" w:fill="auto"/>
            <w:noWrap/>
            <w:vAlign w:val="bottom"/>
          </w:tcPr>
          <w:p w14:paraId="6A5EEEA3"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17 065 </w:t>
            </w:r>
          </w:p>
        </w:tc>
      </w:tr>
      <w:tr w:rsidR="00753AB8" w:rsidRPr="00A66C9F" w14:paraId="44069E9E" w14:textId="77777777" w:rsidTr="0073101C">
        <w:tc>
          <w:tcPr>
            <w:tcW w:w="2423" w:type="dxa"/>
            <w:shd w:val="clear" w:color="auto" w:fill="auto"/>
            <w:noWrap/>
            <w:vAlign w:val="bottom"/>
            <w:hideMark/>
          </w:tcPr>
          <w:p w14:paraId="3247AFDD"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Départ à la retraite ajourné</w:t>
            </w:r>
          </w:p>
        </w:tc>
        <w:tc>
          <w:tcPr>
            <w:tcW w:w="1229" w:type="dxa"/>
            <w:shd w:val="clear" w:color="auto" w:fill="auto"/>
            <w:noWrap/>
            <w:vAlign w:val="bottom"/>
          </w:tcPr>
          <w:p w14:paraId="03327B78"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7 847 </w:t>
            </w:r>
          </w:p>
        </w:tc>
        <w:tc>
          <w:tcPr>
            <w:tcW w:w="1229" w:type="dxa"/>
            <w:shd w:val="clear" w:color="auto" w:fill="auto"/>
            <w:noWrap/>
            <w:vAlign w:val="bottom"/>
          </w:tcPr>
          <w:p w14:paraId="42B75753"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432 </w:t>
            </w:r>
          </w:p>
        </w:tc>
        <w:tc>
          <w:tcPr>
            <w:tcW w:w="1229" w:type="dxa"/>
            <w:shd w:val="clear" w:color="auto" w:fill="auto"/>
            <w:noWrap/>
            <w:vAlign w:val="bottom"/>
          </w:tcPr>
          <w:p w14:paraId="0E9DF5DB"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(46)</w:t>
            </w:r>
          </w:p>
        </w:tc>
        <w:tc>
          <w:tcPr>
            <w:tcW w:w="1229" w:type="dxa"/>
            <w:shd w:val="clear" w:color="auto" w:fill="auto"/>
            <w:noWrap/>
            <w:vAlign w:val="bottom"/>
          </w:tcPr>
          <w:p w14:paraId="5CED8FD9"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(131)</w:t>
            </w:r>
          </w:p>
        </w:tc>
        <w:tc>
          <w:tcPr>
            <w:tcW w:w="1229" w:type="dxa"/>
            <w:shd w:val="clear" w:color="auto" w:fill="auto"/>
            <w:noWrap/>
            <w:vAlign w:val="bottom"/>
          </w:tcPr>
          <w:p w14:paraId="20B46800"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8 102 </w:t>
            </w:r>
          </w:p>
        </w:tc>
      </w:tr>
      <w:tr w:rsidR="00753AB8" w:rsidRPr="00A66C9F" w14:paraId="394AC15A" w14:textId="77777777" w:rsidTr="0073101C">
        <w:tc>
          <w:tcPr>
            <w:tcW w:w="2423" w:type="dxa"/>
            <w:shd w:val="clear" w:color="auto" w:fill="auto"/>
            <w:noWrap/>
            <w:vAlign w:val="bottom"/>
            <w:hideMark/>
          </w:tcPr>
          <w:p w14:paraId="4CFFEC56"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Veuve</w:t>
            </w:r>
          </w:p>
        </w:tc>
        <w:tc>
          <w:tcPr>
            <w:tcW w:w="1229" w:type="dxa"/>
            <w:shd w:val="clear" w:color="auto" w:fill="auto"/>
            <w:noWrap/>
            <w:vAlign w:val="bottom"/>
          </w:tcPr>
          <w:p w14:paraId="111A9063"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11 580 </w:t>
            </w:r>
          </w:p>
        </w:tc>
        <w:tc>
          <w:tcPr>
            <w:tcW w:w="1229" w:type="dxa"/>
            <w:shd w:val="clear" w:color="auto" w:fill="auto"/>
            <w:noWrap/>
            <w:vAlign w:val="bottom"/>
          </w:tcPr>
          <w:p w14:paraId="4321E415"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141 </w:t>
            </w:r>
          </w:p>
        </w:tc>
        <w:tc>
          <w:tcPr>
            <w:tcW w:w="1229" w:type="dxa"/>
            <w:shd w:val="clear" w:color="auto" w:fill="auto"/>
            <w:noWrap/>
            <w:vAlign w:val="bottom"/>
          </w:tcPr>
          <w:p w14:paraId="0637C35D"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495 </w:t>
            </w:r>
          </w:p>
        </w:tc>
        <w:tc>
          <w:tcPr>
            <w:tcW w:w="1229" w:type="dxa"/>
            <w:shd w:val="clear" w:color="auto" w:fill="auto"/>
            <w:noWrap/>
            <w:vAlign w:val="bottom"/>
          </w:tcPr>
          <w:p w14:paraId="244E7013"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(441)</w:t>
            </w:r>
          </w:p>
        </w:tc>
        <w:tc>
          <w:tcPr>
            <w:tcW w:w="1229" w:type="dxa"/>
            <w:shd w:val="clear" w:color="auto" w:fill="auto"/>
            <w:noWrap/>
            <w:vAlign w:val="bottom"/>
          </w:tcPr>
          <w:p w14:paraId="702E3F99"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11 775 </w:t>
            </w:r>
          </w:p>
        </w:tc>
      </w:tr>
      <w:tr w:rsidR="00753AB8" w:rsidRPr="00A66C9F" w14:paraId="4D78EEE4" w14:textId="77777777" w:rsidTr="0073101C">
        <w:tc>
          <w:tcPr>
            <w:tcW w:w="2423" w:type="dxa"/>
            <w:shd w:val="clear" w:color="auto" w:fill="auto"/>
            <w:noWrap/>
            <w:vAlign w:val="bottom"/>
            <w:hideMark/>
          </w:tcPr>
          <w:p w14:paraId="03E85B69"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Veuf</w:t>
            </w:r>
          </w:p>
        </w:tc>
        <w:tc>
          <w:tcPr>
            <w:tcW w:w="1229" w:type="dxa"/>
            <w:shd w:val="clear" w:color="auto" w:fill="auto"/>
            <w:noWrap/>
            <w:vAlign w:val="bottom"/>
          </w:tcPr>
          <w:p w14:paraId="04078A17"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1 055 </w:t>
            </w:r>
          </w:p>
        </w:tc>
        <w:tc>
          <w:tcPr>
            <w:tcW w:w="1229" w:type="dxa"/>
            <w:shd w:val="clear" w:color="auto" w:fill="auto"/>
            <w:noWrap/>
            <w:vAlign w:val="bottom"/>
          </w:tcPr>
          <w:p w14:paraId="304937A6"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22 </w:t>
            </w:r>
          </w:p>
        </w:tc>
        <w:tc>
          <w:tcPr>
            <w:tcW w:w="1229" w:type="dxa"/>
            <w:shd w:val="clear" w:color="auto" w:fill="auto"/>
            <w:noWrap/>
            <w:vAlign w:val="bottom"/>
          </w:tcPr>
          <w:p w14:paraId="03E8A3FD"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76 </w:t>
            </w:r>
          </w:p>
        </w:tc>
        <w:tc>
          <w:tcPr>
            <w:tcW w:w="1229" w:type="dxa"/>
            <w:shd w:val="clear" w:color="auto" w:fill="auto"/>
            <w:noWrap/>
            <w:vAlign w:val="bottom"/>
          </w:tcPr>
          <w:p w14:paraId="0EE7DBBB"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(32)</w:t>
            </w:r>
          </w:p>
        </w:tc>
        <w:tc>
          <w:tcPr>
            <w:tcW w:w="1229" w:type="dxa"/>
            <w:shd w:val="clear" w:color="auto" w:fill="auto"/>
            <w:noWrap/>
            <w:vAlign w:val="bottom"/>
          </w:tcPr>
          <w:p w14:paraId="6FE55EF6"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1 121 </w:t>
            </w:r>
          </w:p>
        </w:tc>
      </w:tr>
      <w:tr w:rsidR="00753AB8" w:rsidRPr="00A66C9F" w14:paraId="4625D7E9" w14:textId="77777777" w:rsidTr="0073101C">
        <w:tc>
          <w:tcPr>
            <w:tcW w:w="2423" w:type="dxa"/>
            <w:shd w:val="clear" w:color="auto" w:fill="auto"/>
            <w:noWrap/>
            <w:vAlign w:val="bottom"/>
            <w:hideMark/>
          </w:tcPr>
          <w:p w14:paraId="33716D7B"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Incapacité</w:t>
            </w:r>
          </w:p>
        </w:tc>
        <w:tc>
          <w:tcPr>
            <w:tcW w:w="1229" w:type="dxa"/>
            <w:shd w:val="clear" w:color="auto" w:fill="auto"/>
            <w:noWrap/>
            <w:vAlign w:val="bottom"/>
          </w:tcPr>
          <w:p w14:paraId="2181DA8E"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1 676 </w:t>
            </w:r>
          </w:p>
        </w:tc>
        <w:tc>
          <w:tcPr>
            <w:tcW w:w="1229" w:type="dxa"/>
            <w:shd w:val="clear" w:color="auto" w:fill="auto"/>
            <w:noWrap/>
            <w:vAlign w:val="bottom"/>
          </w:tcPr>
          <w:p w14:paraId="0DAA4F62"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167 </w:t>
            </w:r>
          </w:p>
        </w:tc>
        <w:tc>
          <w:tcPr>
            <w:tcW w:w="1229" w:type="dxa"/>
            <w:shd w:val="clear" w:color="auto" w:fill="auto"/>
            <w:noWrap/>
            <w:vAlign w:val="bottom"/>
          </w:tcPr>
          <w:p w14:paraId="59B41540"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(14)</w:t>
            </w:r>
          </w:p>
        </w:tc>
        <w:tc>
          <w:tcPr>
            <w:tcW w:w="1229" w:type="dxa"/>
            <w:shd w:val="clear" w:color="auto" w:fill="auto"/>
            <w:noWrap/>
            <w:vAlign w:val="bottom"/>
          </w:tcPr>
          <w:p w14:paraId="6CA0305C"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(31)</w:t>
            </w:r>
          </w:p>
        </w:tc>
        <w:tc>
          <w:tcPr>
            <w:tcW w:w="1229" w:type="dxa"/>
            <w:shd w:val="clear" w:color="auto" w:fill="auto"/>
            <w:noWrap/>
            <w:vAlign w:val="bottom"/>
          </w:tcPr>
          <w:p w14:paraId="586C19C7"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1 798 </w:t>
            </w:r>
          </w:p>
        </w:tc>
      </w:tr>
      <w:tr w:rsidR="00753AB8" w:rsidRPr="00A66C9F" w14:paraId="673FDBD1" w14:textId="77777777" w:rsidTr="0073101C">
        <w:tc>
          <w:tcPr>
            <w:tcW w:w="2423" w:type="dxa"/>
            <w:shd w:val="clear" w:color="auto" w:fill="auto"/>
            <w:noWrap/>
            <w:vAlign w:val="bottom"/>
            <w:hideMark/>
          </w:tcPr>
          <w:p w14:paraId="34D8DFB6"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Enfant</w:t>
            </w:r>
          </w:p>
        </w:tc>
        <w:tc>
          <w:tcPr>
            <w:tcW w:w="1229" w:type="dxa"/>
            <w:shd w:val="clear" w:color="auto" w:fill="auto"/>
            <w:noWrap/>
            <w:vAlign w:val="bottom"/>
          </w:tcPr>
          <w:p w14:paraId="7F0B0954"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10 601 </w:t>
            </w:r>
          </w:p>
        </w:tc>
        <w:tc>
          <w:tcPr>
            <w:tcW w:w="1229" w:type="dxa"/>
            <w:shd w:val="clear" w:color="auto" w:fill="auto"/>
            <w:noWrap/>
            <w:vAlign w:val="bottom"/>
          </w:tcPr>
          <w:p w14:paraId="6571CEE7"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1 415 </w:t>
            </w:r>
          </w:p>
        </w:tc>
        <w:tc>
          <w:tcPr>
            <w:tcW w:w="1229" w:type="dxa"/>
            <w:shd w:val="clear" w:color="auto" w:fill="auto"/>
            <w:noWrap/>
            <w:vAlign w:val="bottom"/>
          </w:tcPr>
          <w:p w14:paraId="5A1B69A1"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23 </w:t>
            </w:r>
          </w:p>
        </w:tc>
        <w:tc>
          <w:tcPr>
            <w:tcW w:w="1229" w:type="dxa"/>
            <w:shd w:val="clear" w:color="auto" w:fill="auto"/>
            <w:noWrap/>
            <w:vAlign w:val="bottom"/>
          </w:tcPr>
          <w:p w14:paraId="68B02D09"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(1 184)</w:t>
            </w:r>
          </w:p>
        </w:tc>
        <w:tc>
          <w:tcPr>
            <w:tcW w:w="1229" w:type="dxa"/>
            <w:shd w:val="clear" w:color="auto" w:fill="auto"/>
            <w:noWrap/>
            <w:vAlign w:val="bottom"/>
          </w:tcPr>
          <w:p w14:paraId="49BCB385"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10 855 </w:t>
            </w:r>
          </w:p>
        </w:tc>
      </w:tr>
      <w:tr w:rsidR="00753AB8" w:rsidRPr="00A66C9F" w14:paraId="0C72ABB2" w14:textId="77777777" w:rsidTr="0073101C">
        <w:tc>
          <w:tcPr>
            <w:tcW w:w="2423" w:type="dxa"/>
            <w:tcBorders>
              <w:bottom w:val="single" w:sz="4" w:space="0" w:color="auto"/>
            </w:tcBorders>
            <w:shd w:val="clear" w:color="auto" w:fill="auto"/>
            <w:noWrap/>
            <w:vAlign w:val="bottom"/>
            <w:hideMark/>
          </w:tcPr>
          <w:p w14:paraId="17E0CD5A" w14:textId="77777777" w:rsidR="00753AB8" w:rsidRPr="00A66C9F" w:rsidRDefault="00753AB8" w:rsidP="0073101C">
            <w:pPr>
              <w:tabs>
                <w:tab w:val="left" w:pos="288"/>
                <w:tab w:val="left" w:pos="576"/>
                <w:tab w:val="left" w:pos="864"/>
                <w:tab w:val="left" w:pos="1152"/>
              </w:tabs>
              <w:suppressAutoHyphens/>
              <w:spacing w:before="40" w:after="81" w:line="210" w:lineRule="exact"/>
              <w:rPr>
                <w:sz w:val="17"/>
                <w:lang w:val="fr-FR"/>
              </w:rPr>
            </w:pPr>
            <w:r w:rsidRPr="00A66C9F">
              <w:rPr>
                <w:sz w:val="17"/>
                <w:lang w:val="fr-FR"/>
              </w:rPr>
              <w:t>Personne indirectement à charge</w:t>
            </w:r>
          </w:p>
        </w:tc>
        <w:tc>
          <w:tcPr>
            <w:tcW w:w="1229" w:type="dxa"/>
            <w:tcBorders>
              <w:bottom w:val="single" w:sz="4" w:space="0" w:color="auto"/>
            </w:tcBorders>
            <w:shd w:val="clear" w:color="auto" w:fill="auto"/>
            <w:noWrap/>
            <w:vAlign w:val="bottom"/>
          </w:tcPr>
          <w:p w14:paraId="2632A2CE" w14:textId="77777777" w:rsidR="00753AB8" w:rsidRPr="00A66C9F" w:rsidRDefault="00753AB8"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34 </w:t>
            </w:r>
          </w:p>
        </w:tc>
        <w:tc>
          <w:tcPr>
            <w:tcW w:w="1229" w:type="dxa"/>
            <w:tcBorders>
              <w:bottom w:val="single" w:sz="4" w:space="0" w:color="auto"/>
            </w:tcBorders>
            <w:shd w:val="clear" w:color="auto" w:fill="auto"/>
            <w:noWrap/>
            <w:vAlign w:val="bottom"/>
          </w:tcPr>
          <w:p w14:paraId="7F9C79A5" w14:textId="77777777" w:rsidR="00753AB8" w:rsidRPr="00A66C9F" w:rsidRDefault="00753AB8"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1 </w:t>
            </w:r>
          </w:p>
        </w:tc>
        <w:tc>
          <w:tcPr>
            <w:tcW w:w="1229" w:type="dxa"/>
            <w:tcBorders>
              <w:bottom w:val="single" w:sz="4" w:space="0" w:color="auto"/>
            </w:tcBorders>
            <w:shd w:val="clear" w:color="auto" w:fill="auto"/>
            <w:noWrap/>
            <w:vAlign w:val="bottom"/>
          </w:tcPr>
          <w:p w14:paraId="30F3B3B7" w14:textId="77777777" w:rsidR="00753AB8" w:rsidRPr="00A66C9F" w:rsidRDefault="00753AB8"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 </w:t>
            </w:r>
          </w:p>
        </w:tc>
        <w:tc>
          <w:tcPr>
            <w:tcW w:w="1229" w:type="dxa"/>
            <w:tcBorders>
              <w:bottom w:val="single" w:sz="4" w:space="0" w:color="auto"/>
            </w:tcBorders>
            <w:shd w:val="clear" w:color="auto" w:fill="auto"/>
            <w:noWrap/>
            <w:vAlign w:val="bottom"/>
          </w:tcPr>
          <w:p w14:paraId="1042483A" w14:textId="77777777" w:rsidR="00753AB8" w:rsidRPr="00A66C9F" w:rsidRDefault="00753AB8"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(1)</w:t>
            </w:r>
          </w:p>
        </w:tc>
        <w:tc>
          <w:tcPr>
            <w:tcW w:w="1229" w:type="dxa"/>
            <w:tcBorders>
              <w:bottom w:val="single" w:sz="4" w:space="0" w:color="auto"/>
            </w:tcBorders>
            <w:shd w:val="clear" w:color="auto" w:fill="auto"/>
            <w:noWrap/>
            <w:vAlign w:val="bottom"/>
          </w:tcPr>
          <w:p w14:paraId="59D99D41" w14:textId="77777777" w:rsidR="00753AB8" w:rsidRPr="00A66C9F" w:rsidRDefault="00753AB8"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34 </w:t>
            </w:r>
          </w:p>
        </w:tc>
      </w:tr>
      <w:tr w:rsidR="00753AB8" w:rsidRPr="00A66C9F" w14:paraId="080A7564" w14:textId="77777777" w:rsidTr="0073101C">
        <w:tc>
          <w:tcPr>
            <w:tcW w:w="2423" w:type="dxa"/>
            <w:tcBorders>
              <w:top w:val="single" w:sz="4" w:space="0" w:color="auto"/>
              <w:bottom w:val="single" w:sz="12" w:space="0" w:color="auto"/>
            </w:tcBorders>
            <w:shd w:val="clear" w:color="auto" w:fill="auto"/>
            <w:noWrap/>
            <w:vAlign w:val="bottom"/>
            <w:hideMark/>
          </w:tcPr>
          <w:p w14:paraId="2631806A" w14:textId="77777777" w:rsidR="00753AB8" w:rsidRPr="00A66C9F" w:rsidRDefault="00753AB8" w:rsidP="00107D5D">
            <w:pPr>
              <w:tabs>
                <w:tab w:val="left" w:pos="288"/>
                <w:tab w:val="left" w:pos="576"/>
                <w:tab w:val="left" w:pos="864"/>
                <w:tab w:val="left" w:pos="1152"/>
              </w:tabs>
              <w:suppressAutoHyphens/>
              <w:spacing w:before="81" w:after="81" w:line="210" w:lineRule="exact"/>
              <w:ind w:right="40"/>
              <w:rPr>
                <w:b/>
                <w:sz w:val="17"/>
                <w:lang w:val="fr-FR"/>
              </w:rPr>
            </w:pPr>
            <w:r w:rsidRPr="00A66C9F">
              <w:rPr>
                <w:b/>
                <w:sz w:val="17"/>
                <w:lang w:val="fr-FR"/>
              </w:rPr>
              <w:tab/>
              <w:t xml:space="preserve">Total </w:t>
            </w:r>
          </w:p>
        </w:tc>
        <w:tc>
          <w:tcPr>
            <w:tcW w:w="1229" w:type="dxa"/>
            <w:tcBorders>
              <w:top w:val="single" w:sz="4" w:space="0" w:color="auto"/>
              <w:bottom w:val="single" w:sz="12" w:space="0" w:color="auto"/>
            </w:tcBorders>
            <w:shd w:val="clear" w:color="auto" w:fill="auto"/>
            <w:noWrap/>
            <w:vAlign w:val="bottom"/>
          </w:tcPr>
          <w:p w14:paraId="5418378D" w14:textId="77777777" w:rsidR="00753AB8" w:rsidRPr="00A66C9F" w:rsidRDefault="00753AB8"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78 716 </w:t>
            </w:r>
          </w:p>
        </w:tc>
        <w:tc>
          <w:tcPr>
            <w:tcW w:w="1229" w:type="dxa"/>
            <w:tcBorders>
              <w:top w:val="single" w:sz="4" w:space="0" w:color="auto"/>
              <w:bottom w:val="single" w:sz="12" w:space="0" w:color="auto"/>
            </w:tcBorders>
            <w:shd w:val="clear" w:color="auto" w:fill="auto"/>
            <w:noWrap/>
            <w:vAlign w:val="bottom"/>
          </w:tcPr>
          <w:p w14:paraId="4017FC48" w14:textId="77777777" w:rsidR="00753AB8" w:rsidRPr="00A66C9F" w:rsidRDefault="00753AB8"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3 622 </w:t>
            </w:r>
          </w:p>
        </w:tc>
        <w:tc>
          <w:tcPr>
            <w:tcW w:w="1229" w:type="dxa"/>
            <w:tcBorders>
              <w:top w:val="single" w:sz="4" w:space="0" w:color="auto"/>
              <w:bottom w:val="single" w:sz="12" w:space="0" w:color="auto"/>
            </w:tcBorders>
            <w:shd w:val="clear" w:color="auto" w:fill="auto"/>
            <w:noWrap/>
            <w:vAlign w:val="bottom"/>
          </w:tcPr>
          <w:p w14:paraId="73362ABF" w14:textId="77777777" w:rsidR="00753AB8" w:rsidRPr="00A66C9F" w:rsidRDefault="00753AB8"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97</w:t>
            </w:r>
          </w:p>
        </w:tc>
        <w:tc>
          <w:tcPr>
            <w:tcW w:w="1229" w:type="dxa"/>
            <w:tcBorders>
              <w:top w:val="single" w:sz="4" w:space="0" w:color="auto"/>
              <w:bottom w:val="single" w:sz="12" w:space="0" w:color="auto"/>
            </w:tcBorders>
            <w:shd w:val="clear" w:color="auto" w:fill="auto"/>
            <w:noWrap/>
            <w:vAlign w:val="bottom"/>
          </w:tcPr>
          <w:p w14:paraId="0012E45E" w14:textId="77777777" w:rsidR="00753AB8" w:rsidRPr="00A66C9F" w:rsidRDefault="00753AB8"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(2 460)</w:t>
            </w:r>
          </w:p>
        </w:tc>
        <w:tc>
          <w:tcPr>
            <w:tcW w:w="1229" w:type="dxa"/>
            <w:tcBorders>
              <w:top w:val="single" w:sz="4" w:space="0" w:color="auto"/>
              <w:bottom w:val="single" w:sz="12" w:space="0" w:color="auto"/>
            </w:tcBorders>
            <w:shd w:val="clear" w:color="auto" w:fill="auto"/>
            <w:noWrap/>
            <w:vAlign w:val="bottom"/>
          </w:tcPr>
          <w:p w14:paraId="6FCF8ABD" w14:textId="77777777" w:rsidR="00753AB8" w:rsidRPr="00A66C9F" w:rsidRDefault="00753AB8"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79 975 </w:t>
            </w:r>
          </w:p>
        </w:tc>
      </w:tr>
    </w:tbl>
    <w:p w14:paraId="144640D7" w14:textId="051D409B" w:rsidR="00753AB8" w:rsidRPr="00A66C9F" w:rsidRDefault="00753AB8" w:rsidP="0073101C">
      <w:pPr>
        <w:pStyle w:val="SingleTxt"/>
        <w:spacing w:after="0" w:line="120" w:lineRule="exact"/>
        <w:rPr>
          <w:sz w:val="10"/>
          <w:lang w:val="fr-FR"/>
        </w:rPr>
      </w:pPr>
    </w:p>
    <w:p w14:paraId="4E44368D" w14:textId="29ED9A90" w:rsidR="0073101C" w:rsidRPr="00A66C9F" w:rsidRDefault="0073101C" w:rsidP="0073101C">
      <w:pPr>
        <w:pStyle w:val="SingleTxt"/>
        <w:spacing w:after="0" w:line="120" w:lineRule="exact"/>
        <w:rPr>
          <w:sz w:val="10"/>
          <w:lang w:val="fr-FR"/>
        </w:rPr>
      </w:pPr>
    </w:p>
    <w:p w14:paraId="1B4F49E6" w14:textId="77777777" w:rsidR="0073101C" w:rsidRPr="00A66C9F" w:rsidRDefault="0073101C" w:rsidP="0073101C">
      <w:pPr>
        <w:pStyle w:val="SingleTxt"/>
        <w:spacing w:after="0" w:line="100" w:lineRule="exact"/>
        <w:rPr>
          <w:sz w:val="10"/>
          <w:lang w:val="fr-FR"/>
        </w:rPr>
      </w:pPr>
    </w:p>
    <w:p w14:paraId="35422B04" w14:textId="77777777" w:rsidR="00753AB8" w:rsidRPr="00A66C9F" w:rsidRDefault="00753AB8" w:rsidP="00753AB8">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648" w:name="_Toc38013639"/>
      <w:bookmarkStart w:id="649" w:name="_Toc38529196"/>
      <w:r w:rsidRPr="00A66C9F">
        <w:rPr>
          <w:lang w:val="fr-FR"/>
        </w:rPr>
        <w:tab/>
      </w:r>
      <w:r w:rsidRPr="00A66C9F">
        <w:rPr>
          <w:lang w:val="fr-FR"/>
        </w:rPr>
        <w:tab/>
        <w:t>Tableau 4</w:t>
      </w:r>
    </w:p>
    <w:p w14:paraId="467911D8" w14:textId="77777777" w:rsidR="00753AB8" w:rsidRPr="00A66C9F" w:rsidRDefault="00753AB8" w:rsidP="00753A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66C9F">
        <w:rPr>
          <w:lang w:val="fr-FR"/>
        </w:rPr>
        <w:tab/>
      </w:r>
      <w:r w:rsidRPr="00A66C9F">
        <w:rPr>
          <w:lang w:val="fr-FR"/>
        </w:rPr>
        <w:tab/>
        <w:t>Situation des dossiers à traiter</w:t>
      </w:r>
      <w:bookmarkEnd w:id="648"/>
      <w:bookmarkEnd w:id="649"/>
    </w:p>
    <w:p w14:paraId="2DAE59B2" w14:textId="77777777" w:rsidR="00753AB8" w:rsidRPr="00A66C9F" w:rsidRDefault="00753AB8" w:rsidP="0073101C">
      <w:pPr>
        <w:pStyle w:val="SingleTxt"/>
        <w:spacing w:after="0" w:line="100" w:lineRule="exact"/>
        <w:rPr>
          <w:sz w:val="10"/>
          <w:lang w:val="fr-FR"/>
        </w:rPr>
      </w:pPr>
    </w:p>
    <w:p w14:paraId="14B3CD6B" w14:textId="038ED503" w:rsidR="00753AB8" w:rsidRPr="00A66C9F" w:rsidRDefault="00753AB8" w:rsidP="0073101C">
      <w:pPr>
        <w:pStyle w:val="SingleTxt"/>
        <w:spacing w:after="0" w:line="100" w:lineRule="exact"/>
        <w:rPr>
          <w:sz w:val="10"/>
          <w:lang w:val="fr-FR"/>
        </w:rPr>
      </w:pPr>
    </w:p>
    <w:tbl>
      <w:tblPr>
        <w:tblW w:w="8586" w:type="dxa"/>
        <w:tblInd w:w="1260" w:type="dxa"/>
        <w:tblLayout w:type="fixed"/>
        <w:tblCellMar>
          <w:left w:w="0" w:type="dxa"/>
          <w:right w:w="0" w:type="dxa"/>
        </w:tblCellMar>
        <w:tblLook w:val="04A0" w:firstRow="1" w:lastRow="0" w:firstColumn="1" w:lastColumn="0" w:noHBand="0" w:noVBand="1"/>
      </w:tblPr>
      <w:tblGrid>
        <w:gridCol w:w="5400"/>
        <w:gridCol w:w="1530"/>
        <w:gridCol w:w="1656"/>
      </w:tblGrid>
      <w:tr w:rsidR="00753AB8" w:rsidRPr="00A66C9F" w14:paraId="4C756700" w14:textId="77777777" w:rsidTr="00532EEE">
        <w:trPr>
          <w:tblHeader/>
        </w:trPr>
        <w:tc>
          <w:tcPr>
            <w:tcW w:w="5400" w:type="dxa"/>
            <w:tcBorders>
              <w:top w:val="single" w:sz="4" w:space="0" w:color="auto"/>
            </w:tcBorders>
            <w:shd w:val="clear" w:color="auto" w:fill="auto"/>
            <w:vAlign w:val="bottom"/>
          </w:tcPr>
          <w:p w14:paraId="50DC4DD9" w14:textId="77777777" w:rsidR="00753AB8" w:rsidRPr="00A66C9F" w:rsidRDefault="00753AB8" w:rsidP="00107D5D">
            <w:pPr>
              <w:suppressAutoHyphens/>
              <w:spacing w:before="81" w:after="81" w:line="160" w:lineRule="exact"/>
              <w:ind w:right="40"/>
              <w:rPr>
                <w:i/>
                <w:sz w:val="14"/>
                <w:lang w:val="fr-FR"/>
              </w:rPr>
            </w:pPr>
          </w:p>
        </w:tc>
        <w:tc>
          <w:tcPr>
            <w:tcW w:w="3186" w:type="dxa"/>
            <w:gridSpan w:val="2"/>
            <w:tcBorders>
              <w:top w:val="single" w:sz="4" w:space="0" w:color="auto"/>
              <w:bottom w:val="single" w:sz="4" w:space="0" w:color="auto"/>
            </w:tcBorders>
            <w:shd w:val="clear" w:color="auto" w:fill="auto"/>
            <w:vAlign w:val="bottom"/>
          </w:tcPr>
          <w:p w14:paraId="2EA35EB7" w14:textId="77777777" w:rsidR="00753AB8" w:rsidRPr="00A66C9F" w:rsidRDefault="00753AB8" w:rsidP="00107D5D">
            <w:pPr>
              <w:suppressAutoHyphens/>
              <w:spacing w:before="81" w:after="81" w:line="160" w:lineRule="exact"/>
              <w:ind w:right="43"/>
              <w:jc w:val="center"/>
              <w:rPr>
                <w:i/>
                <w:sz w:val="14"/>
                <w:lang w:val="fr-FR"/>
              </w:rPr>
            </w:pPr>
            <w:r w:rsidRPr="00A66C9F">
              <w:rPr>
                <w:i/>
                <w:sz w:val="14"/>
                <w:lang w:val="fr-FR"/>
              </w:rPr>
              <w:t>Nombre de cas</w:t>
            </w:r>
          </w:p>
        </w:tc>
      </w:tr>
      <w:tr w:rsidR="00753AB8" w:rsidRPr="00A66C9F" w14:paraId="576B0071" w14:textId="77777777" w:rsidTr="00532EEE">
        <w:trPr>
          <w:tblHeader/>
        </w:trPr>
        <w:tc>
          <w:tcPr>
            <w:tcW w:w="5400" w:type="dxa"/>
            <w:tcBorders>
              <w:bottom w:val="single" w:sz="12" w:space="0" w:color="auto"/>
            </w:tcBorders>
            <w:shd w:val="clear" w:color="auto" w:fill="auto"/>
            <w:vAlign w:val="bottom"/>
            <w:hideMark/>
          </w:tcPr>
          <w:p w14:paraId="4EFD40A4" w14:textId="77777777" w:rsidR="00753AB8" w:rsidRPr="00A66C9F" w:rsidRDefault="00753AB8" w:rsidP="00107D5D">
            <w:pPr>
              <w:suppressAutoHyphens/>
              <w:spacing w:before="81" w:after="81" w:line="160" w:lineRule="exact"/>
              <w:ind w:right="40"/>
              <w:rPr>
                <w:i/>
                <w:sz w:val="14"/>
                <w:lang w:val="fr-FR"/>
              </w:rPr>
            </w:pPr>
          </w:p>
        </w:tc>
        <w:tc>
          <w:tcPr>
            <w:tcW w:w="1530" w:type="dxa"/>
            <w:tcBorders>
              <w:top w:val="single" w:sz="4" w:space="0" w:color="auto"/>
              <w:bottom w:val="single" w:sz="12" w:space="0" w:color="auto"/>
            </w:tcBorders>
            <w:shd w:val="clear" w:color="auto" w:fill="auto"/>
            <w:vAlign w:val="bottom"/>
            <w:hideMark/>
          </w:tcPr>
          <w:p w14:paraId="64A5C505" w14:textId="77777777" w:rsidR="00753AB8" w:rsidRPr="00A66C9F" w:rsidRDefault="00753AB8" w:rsidP="00107D5D">
            <w:pPr>
              <w:suppressAutoHyphens/>
              <w:spacing w:before="81" w:after="81" w:line="160" w:lineRule="exact"/>
              <w:ind w:right="43"/>
              <w:jc w:val="right"/>
              <w:rPr>
                <w:i/>
                <w:sz w:val="14"/>
                <w:lang w:val="fr-FR"/>
              </w:rPr>
            </w:pPr>
            <w:r w:rsidRPr="00A66C9F">
              <w:rPr>
                <w:i/>
                <w:sz w:val="14"/>
                <w:lang w:val="fr-FR"/>
              </w:rPr>
              <w:t>Au 31 décembre 2019</w:t>
            </w:r>
          </w:p>
        </w:tc>
        <w:tc>
          <w:tcPr>
            <w:tcW w:w="1656" w:type="dxa"/>
            <w:tcBorders>
              <w:top w:val="single" w:sz="4" w:space="0" w:color="auto"/>
              <w:bottom w:val="single" w:sz="12" w:space="0" w:color="auto"/>
            </w:tcBorders>
            <w:shd w:val="clear" w:color="auto" w:fill="auto"/>
            <w:vAlign w:val="bottom"/>
            <w:hideMark/>
          </w:tcPr>
          <w:p w14:paraId="46842ACE" w14:textId="77777777" w:rsidR="00753AB8" w:rsidRPr="00A66C9F" w:rsidRDefault="00753AB8" w:rsidP="00107D5D">
            <w:pPr>
              <w:suppressAutoHyphens/>
              <w:spacing w:before="81" w:after="81" w:line="160" w:lineRule="exact"/>
              <w:ind w:right="43"/>
              <w:jc w:val="right"/>
              <w:rPr>
                <w:i/>
                <w:sz w:val="14"/>
                <w:lang w:val="fr-FR"/>
              </w:rPr>
            </w:pPr>
            <w:r w:rsidRPr="00A66C9F">
              <w:rPr>
                <w:i/>
                <w:sz w:val="14"/>
                <w:lang w:val="fr-FR"/>
              </w:rPr>
              <w:t>Au 31 décembre 2018</w:t>
            </w:r>
          </w:p>
        </w:tc>
      </w:tr>
      <w:tr w:rsidR="00753AB8" w:rsidRPr="00A66C9F" w14:paraId="6C075859" w14:textId="77777777" w:rsidTr="00532EEE">
        <w:trPr>
          <w:trHeight w:hRule="exact" w:val="115"/>
          <w:tblHeader/>
        </w:trPr>
        <w:tc>
          <w:tcPr>
            <w:tcW w:w="5400" w:type="dxa"/>
            <w:tcBorders>
              <w:top w:val="single" w:sz="12" w:space="0" w:color="auto"/>
            </w:tcBorders>
            <w:shd w:val="clear" w:color="auto" w:fill="auto"/>
            <w:noWrap/>
            <w:vAlign w:val="bottom"/>
          </w:tcPr>
          <w:p w14:paraId="3EFCE690" w14:textId="77777777" w:rsidR="00753AB8" w:rsidRPr="00A66C9F" w:rsidRDefault="00753AB8" w:rsidP="00107D5D">
            <w:pPr>
              <w:suppressAutoHyphens/>
              <w:spacing w:before="40" w:after="40" w:line="210" w:lineRule="exact"/>
              <w:ind w:right="40"/>
              <w:rPr>
                <w:sz w:val="17"/>
                <w:lang w:val="fr-FR"/>
              </w:rPr>
            </w:pPr>
          </w:p>
        </w:tc>
        <w:tc>
          <w:tcPr>
            <w:tcW w:w="1530" w:type="dxa"/>
            <w:tcBorders>
              <w:top w:val="single" w:sz="12" w:space="0" w:color="auto"/>
            </w:tcBorders>
            <w:shd w:val="clear" w:color="auto" w:fill="auto"/>
            <w:noWrap/>
            <w:vAlign w:val="bottom"/>
          </w:tcPr>
          <w:p w14:paraId="0725F14A" w14:textId="77777777" w:rsidR="00753AB8" w:rsidRPr="00A66C9F" w:rsidRDefault="00753AB8" w:rsidP="00107D5D">
            <w:pPr>
              <w:suppressAutoHyphens/>
              <w:spacing w:before="40" w:after="40" w:line="210" w:lineRule="exact"/>
              <w:ind w:right="43"/>
              <w:jc w:val="right"/>
              <w:rPr>
                <w:sz w:val="17"/>
                <w:lang w:val="fr-FR"/>
              </w:rPr>
            </w:pPr>
          </w:p>
        </w:tc>
        <w:tc>
          <w:tcPr>
            <w:tcW w:w="1656" w:type="dxa"/>
            <w:tcBorders>
              <w:top w:val="single" w:sz="12" w:space="0" w:color="auto"/>
            </w:tcBorders>
            <w:shd w:val="clear" w:color="auto" w:fill="auto"/>
            <w:noWrap/>
            <w:vAlign w:val="bottom"/>
          </w:tcPr>
          <w:p w14:paraId="55A66897" w14:textId="77777777" w:rsidR="00753AB8" w:rsidRPr="00A66C9F" w:rsidRDefault="00753AB8" w:rsidP="00107D5D">
            <w:pPr>
              <w:suppressAutoHyphens/>
              <w:spacing w:before="40" w:after="40" w:line="210" w:lineRule="exact"/>
              <w:ind w:right="43"/>
              <w:jc w:val="right"/>
              <w:rPr>
                <w:sz w:val="17"/>
                <w:lang w:val="fr-FR"/>
              </w:rPr>
            </w:pPr>
          </w:p>
        </w:tc>
      </w:tr>
      <w:tr w:rsidR="00753AB8" w:rsidRPr="00A66C9F" w14:paraId="0733CB6C" w14:textId="77777777" w:rsidTr="00532EEE">
        <w:tc>
          <w:tcPr>
            <w:tcW w:w="5400" w:type="dxa"/>
            <w:shd w:val="clear" w:color="auto" w:fill="auto"/>
            <w:noWrap/>
            <w:vAlign w:val="bottom"/>
          </w:tcPr>
          <w:p w14:paraId="70D532F5"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b/>
                <w:bCs/>
                <w:sz w:val="17"/>
                <w:lang w:val="fr-FR"/>
              </w:rPr>
            </w:pPr>
            <w:r w:rsidRPr="00A66C9F">
              <w:rPr>
                <w:b/>
                <w:bCs/>
                <w:sz w:val="17"/>
                <w:lang w:val="fr-FR"/>
              </w:rPr>
              <w:t xml:space="preserve">Aucun versement dû </w:t>
            </w:r>
          </w:p>
        </w:tc>
        <w:tc>
          <w:tcPr>
            <w:tcW w:w="1530" w:type="dxa"/>
            <w:shd w:val="clear" w:color="auto" w:fill="auto"/>
            <w:noWrap/>
            <w:vAlign w:val="bottom"/>
          </w:tcPr>
          <w:p w14:paraId="3E10DF1C"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p>
        </w:tc>
        <w:tc>
          <w:tcPr>
            <w:tcW w:w="1656" w:type="dxa"/>
            <w:shd w:val="clear" w:color="auto" w:fill="auto"/>
            <w:noWrap/>
            <w:vAlign w:val="bottom"/>
          </w:tcPr>
          <w:p w14:paraId="284C03A0"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p>
        </w:tc>
      </w:tr>
      <w:tr w:rsidR="00753AB8" w:rsidRPr="00A66C9F" w14:paraId="011E5502" w14:textId="77777777" w:rsidTr="00532EEE">
        <w:tc>
          <w:tcPr>
            <w:tcW w:w="5400" w:type="dxa"/>
            <w:shd w:val="clear" w:color="auto" w:fill="auto"/>
            <w:noWrap/>
            <w:vAlign w:val="bottom"/>
          </w:tcPr>
          <w:p w14:paraId="690FADD9"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pacing w:val="1"/>
                <w:sz w:val="17"/>
                <w:lang w:val="fr-FR"/>
              </w:rPr>
            </w:pPr>
            <w:r w:rsidRPr="00A66C9F">
              <w:rPr>
                <w:spacing w:val="1"/>
                <w:sz w:val="17"/>
                <w:lang w:val="fr-FR"/>
              </w:rPr>
              <w:t xml:space="preserve">Reprise de service possible, en application de l’article 21 des Statuts de la Caisse (dossiers à clôturer après confirmation de réadmission à la Caisse) </w:t>
            </w:r>
          </w:p>
        </w:tc>
        <w:tc>
          <w:tcPr>
            <w:tcW w:w="1530" w:type="dxa"/>
            <w:shd w:val="clear" w:color="auto" w:fill="auto"/>
            <w:noWrap/>
            <w:vAlign w:val="bottom"/>
          </w:tcPr>
          <w:p w14:paraId="198D3FD7"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101 </w:t>
            </w:r>
          </w:p>
        </w:tc>
        <w:tc>
          <w:tcPr>
            <w:tcW w:w="1656" w:type="dxa"/>
            <w:shd w:val="clear" w:color="auto" w:fill="auto"/>
            <w:noWrap/>
            <w:vAlign w:val="bottom"/>
          </w:tcPr>
          <w:p w14:paraId="5AD6E50F"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327</w:t>
            </w:r>
          </w:p>
        </w:tc>
      </w:tr>
      <w:tr w:rsidR="00753AB8" w:rsidRPr="00A66C9F" w14:paraId="4DC4170A" w14:textId="77777777" w:rsidTr="00532EEE">
        <w:tc>
          <w:tcPr>
            <w:tcW w:w="5400" w:type="dxa"/>
            <w:shd w:val="clear" w:color="auto" w:fill="auto"/>
            <w:noWrap/>
            <w:vAlign w:val="bottom"/>
          </w:tcPr>
          <w:p w14:paraId="03AFD811"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b/>
                <w:bCs/>
                <w:sz w:val="17"/>
                <w:lang w:val="fr-FR"/>
              </w:rPr>
            </w:pPr>
            <w:r w:rsidRPr="00A66C9F">
              <w:rPr>
                <w:b/>
                <w:bCs/>
                <w:sz w:val="17"/>
                <w:lang w:val="fr-FR"/>
              </w:rPr>
              <w:t>Aucun versement immédiat dû</w:t>
            </w:r>
          </w:p>
        </w:tc>
        <w:tc>
          <w:tcPr>
            <w:tcW w:w="1530" w:type="dxa"/>
            <w:shd w:val="clear" w:color="auto" w:fill="auto"/>
            <w:noWrap/>
            <w:vAlign w:val="bottom"/>
          </w:tcPr>
          <w:p w14:paraId="0C00A958"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p>
        </w:tc>
        <w:tc>
          <w:tcPr>
            <w:tcW w:w="1656" w:type="dxa"/>
            <w:shd w:val="clear" w:color="auto" w:fill="auto"/>
            <w:noWrap/>
            <w:vAlign w:val="bottom"/>
          </w:tcPr>
          <w:p w14:paraId="106D578B"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p>
        </w:tc>
      </w:tr>
      <w:tr w:rsidR="00753AB8" w:rsidRPr="00A66C9F" w14:paraId="772AABF1" w14:textId="77777777" w:rsidTr="00532EEE">
        <w:tc>
          <w:tcPr>
            <w:tcW w:w="5400" w:type="dxa"/>
            <w:shd w:val="clear" w:color="auto" w:fill="auto"/>
            <w:noWrap/>
            <w:vAlign w:val="bottom"/>
          </w:tcPr>
          <w:p w14:paraId="76B4B8B9"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 xml:space="preserve">Pension de retraite différée, en application de l’article 30 des Statuts de la Caisse (la prestation n’est due qu’à compter de l’âge de la retraite ou en cas de retraite anticipée) </w:t>
            </w:r>
          </w:p>
        </w:tc>
        <w:tc>
          <w:tcPr>
            <w:tcW w:w="1530" w:type="dxa"/>
            <w:shd w:val="clear" w:color="auto" w:fill="auto"/>
            <w:noWrap/>
            <w:vAlign w:val="bottom"/>
          </w:tcPr>
          <w:p w14:paraId="0E1F7850"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499 </w:t>
            </w:r>
          </w:p>
        </w:tc>
        <w:tc>
          <w:tcPr>
            <w:tcW w:w="1656" w:type="dxa"/>
            <w:shd w:val="clear" w:color="auto" w:fill="auto"/>
            <w:noWrap/>
            <w:vAlign w:val="bottom"/>
          </w:tcPr>
          <w:p w14:paraId="68574623"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499 </w:t>
            </w:r>
          </w:p>
        </w:tc>
      </w:tr>
      <w:tr w:rsidR="00753AB8" w:rsidRPr="00A66C9F" w14:paraId="48B981A6" w14:textId="77777777" w:rsidTr="00532EEE">
        <w:tc>
          <w:tcPr>
            <w:tcW w:w="5400" w:type="dxa"/>
            <w:tcBorders>
              <w:bottom w:val="single" w:sz="4" w:space="0" w:color="auto"/>
            </w:tcBorders>
            <w:shd w:val="clear" w:color="auto" w:fill="auto"/>
            <w:noWrap/>
            <w:vAlign w:val="bottom"/>
          </w:tcPr>
          <w:p w14:paraId="3B1326BA" w14:textId="77777777" w:rsidR="00753AB8" w:rsidRPr="00A66C9F" w:rsidRDefault="00753AB8" w:rsidP="00107D5D">
            <w:pPr>
              <w:tabs>
                <w:tab w:val="left" w:pos="288"/>
                <w:tab w:val="left" w:pos="576"/>
                <w:tab w:val="left" w:pos="864"/>
                <w:tab w:val="left" w:pos="1152"/>
              </w:tabs>
              <w:suppressAutoHyphens/>
              <w:spacing w:before="40" w:after="81" w:line="210" w:lineRule="exact"/>
              <w:ind w:right="40"/>
              <w:rPr>
                <w:sz w:val="17"/>
                <w:lang w:val="fr-FR"/>
              </w:rPr>
            </w:pPr>
            <w:r w:rsidRPr="00A66C9F">
              <w:rPr>
                <w:sz w:val="17"/>
                <w:lang w:val="fr-FR"/>
              </w:rPr>
              <w:t>Ajournement d’un versement ou de l’exercice du droit d’option, en application de l’article 32 des Statuts de la Caisse (le paiement du versement de départ ou l’exercice du droit d’option est différé de 36 mois au maximum à la demande des participants)</w:t>
            </w:r>
          </w:p>
        </w:tc>
        <w:tc>
          <w:tcPr>
            <w:tcW w:w="1530" w:type="dxa"/>
            <w:tcBorders>
              <w:bottom w:val="single" w:sz="4" w:space="0" w:color="auto"/>
            </w:tcBorders>
            <w:shd w:val="clear" w:color="auto" w:fill="auto"/>
            <w:noWrap/>
            <w:vAlign w:val="bottom"/>
          </w:tcPr>
          <w:p w14:paraId="68C16FE1" w14:textId="77777777" w:rsidR="00753AB8" w:rsidRPr="00A66C9F" w:rsidRDefault="00753AB8"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3 615 </w:t>
            </w:r>
          </w:p>
        </w:tc>
        <w:tc>
          <w:tcPr>
            <w:tcW w:w="1656" w:type="dxa"/>
            <w:tcBorders>
              <w:bottom w:val="single" w:sz="4" w:space="0" w:color="auto"/>
            </w:tcBorders>
            <w:shd w:val="clear" w:color="auto" w:fill="auto"/>
            <w:noWrap/>
            <w:vAlign w:val="bottom"/>
          </w:tcPr>
          <w:p w14:paraId="5FEE016C" w14:textId="77777777" w:rsidR="00753AB8" w:rsidRPr="00A66C9F" w:rsidRDefault="00753AB8"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3 717</w:t>
            </w:r>
          </w:p>
        </w:tc>
      </w:tr>
      <w:tr w:rsidR="00753AB8" w:rsidRPr="00A66C9F" w14:paraId="32D7E100" w14:textId="77777777" w:rsidTr="00532EEE">
        <w:tc>
          <w:tcPr>
            <w:tcW w:w="5400" w:type="dxa"/>
            <w:tcBorders>
              <w:top w:val="single" w:sz="4" w:space="0" w:color="auto"/>
              <w:bottom w:val="single" w:sz="4" w:space="0" w:color="auto"/>
            </w:tcBorders>
            <w:shd w:val="clear" w:color="auto" w:fill="auto"/>
            <w:noWrap/>
            <w:vAlign w:val="bottom"/>
          </w:tcPr>
          <w:p w14:paraId="0FAF88FC" w14:textId="77777777" w:rsidR="00753AB8" w:rsidRPr="00A66C9F" w:rsidRDefault="00753AB8" w:rsidP="00107D5D">
            <w:pPr>
              <w:tabs>
                <w:tab w:val="left" w:pos="288"/>
                <w:tab w:val="left" w:pos="576"/>
                <w:tab w:val="left" w:pos="864"/>
                <w:tab w:val="left" w:pos="1152"/>
              </w:tabs>
              <w:suppressAutoHyphens/>
              <w:spacing w:before="81" w:after="81" w:line="210" w:lineRule="exact"/>
              <w:ind w:right="40"/>
              <w:rPr>
                <w:b/>
                <w:sz w:val="17"/>
                <w:lang w:val="fr-FR"/>
              </w:rPr>
            </w:pPr>
            <w:r w:rsidRPr="00A66C9F">
              <w:rPr>
                <w:b/>
                <w:sz w:val="17"/>
                <w:lang w:val="fr-FR"/>
              </w:rPr>
              <w:tab/>
              <w:t xml:space="preserve">Total </w:t>
            </w:r>
          </w:p>
        </w:tc>
        <w:tc>
          <w:tcPr>
            <w:tcW w:w="1530" w:type="dxa"/>
            <w:tcBorders>
              <w:top w:val="single" w:sz="4" w:space="0" w:color="auto"/>
              <w:bottom w:val="single" w:sz="4" w:space="0" w:color="auto"/>
            </w:tcBorders>
            <w:shd w:val="clear" w:color="auto" w:fill="auto"/>
            <w:noWrap/>
            <w:vAlign w:val="bottom"/>
          </w:tcPr>
          <w:p w14:paraId="5C26F08E" w14:textId="77777777" w:rsidR="00753AB8" w:rsidRPr="00A66C9F" w:rsidRDefault="00753AB8"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4 114 </w:t>
            </w:r>
          </w:p>
        </w:tc>
        <w:tc>
          <w:tcPr>
            <w:tcW w:w="1656" w:type="dxa"/>
            <w:tcBorders>
              <w:top w:val="single" w:sz="4" w:space="0" w:color="auto"/>
              <w:bottom w:val="single" w:sz="4" w:space="0" w:color="auto"/>
            </w:tcBorders>
            <w:shd w:val="clear" w:color="auto" w:fill="auto"/>
            <w:noWrap/>
            <w:vAlign w:val="bottom"/>
          </w:tcPr>
          <w:p w14:paraId="5CE75C96" w14:textId="77777777" w:rsidR="00753AB8" w:rsidRPr="00A66C9F" w:rsidRDefault="00753AB8"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4 216</w:t>
            </w:r>
          </w:p>
        </w:tc>
      </w:tr>
      <w:tr w:rsidR="00753AB8" w:rsidRPr="00A66C9F" w14:paraId="67E953FA" w14:textId="77777777" w:rsidTr="00532EEE">
        <w:tc>
          <w:tcPr>
            <w:tcW w:w="5400" w:type="dxa"/>
            <w:tcBorders>
              <w:top w:val="single" w:sz="4" w:space="0" w:color="auto"/>
            </w:tcBorders>
            <w:shd w:val="clear" w:color="auto" w:fill="auto"/>
            <w:noWrap/>
            <w:vAlign w:val="bottom"/>
          </w:tcPr>
          <w:p w14:paraId="1EDF962B" w14:textId="77777777" w:rsidR="00753AB8" w:rsidRPr="00A66C9F" w:rsidRDefault="00753AB8" w:rsidP="00107D5D">
            <w:pPr>
              <w:tabs>
                <w:tab w:val="left" w:pos="288"/>
                <w:tab w:val="left" w:pos="576"/>
                <w:tab w:val="left" w:pos="864"/>
                <w:tab w:val="left" w:pos="1152"/>
              </w:tabs>
              <w:suppressAutoHyphens/>
              <w:spacing w:before="81" w:after="40" w:line="210" w:lineRule="exact"/>
              <w:ind w:right="40"/>
              <w:rPr>
                <w:b/>
                <w:bCs/>
                <w:sz w:val="17"/>
                <w:lang w:val="fr-FR"/>
              </w:rPr>
            </w:pPr>
            <w:r w:rsidRPr="00A66C9F">
              <w:rPr>
                <w:b/>
                <w:bCs/>
                <w:sz w:val="17"/>
                <w:lang w:val="fr-FR"/>
              </w:rPr>
              <w:t>Conditions non réunies pour un versement</w:t>
            </w:r>
          </w:p>
        </w:tc>
        <w:tc>
          <w:tcPr>
            <w:tcW w:w="1530" w:type="dxa"/>
            <w:tcBorders>
              <w:top w:val="single" w:sz="4" w:space="0" w:color="auto"/>
            </w:tcBorders>
            <w:shd w:val="clear" w:color="auto" w:fill="auto"/>
            <w:noWrap/>
            <w:vAlign w:val="bottom"/>
          </w:tcPr>
          <w:p w14:paraId="0290A8F2" w14:textId="77777777" w:rsidR="00753AB8" w:rsidRPr="00A66C9F" w:rsidRDefault="00753AB8" w:rsidP="00107D5D">
            <w:pPr>
              <w:tabs>
                <w:tab w:val="left" w:pos="288"/>
                <w:tab w:val="left" w:pos="576"/>
                <w:tab w:val="left" w:pos="864"/>
                <w:tab w:val="left" w:pos="1152"/>
              </w:tabs>
              <w:suppressAutoHyphens/>
              <w:spacing w:before="81" w:after="40" w:line="210" w:lineRule="exact"/>
              <w:ind w:right="43"/>
              <w:jc w:val="right"/>
              <w:rPr>
                <w:sz w:val="17"/>
                <w:lang w:val="fr-FR"/>
              </w:rPr>
            </w:pPr>
          </w:p>
        </w:tc>
        <w:tc>
          <w:tcPr>
            <w:tcW w:w="1656" w:type="dxa"/>
            <w:tcBorders>
              <w:top w:val="single" w:sz="4" w:space="0" w:color="auto"/>
            </w:tcBorders>
            <w:shd w:val="clear" w:color="auto" w:fill="auto"/>
            <w:noWrap/>
            <w:vAlign w:val="bottom"/>
          </w:tcPr>
          <w:p w14:paraId="02ADFDAC" w14:textId="77777777" w:rsidR="00753AB8" w:rsidRPr="00A66C9F" w:rsidRDefault="00753AB8" w:rsidP="00107D5D">
            <w:pPr>
              <w:tabs>
                <w:tab w:val="left" w:pos="288"/>
                <w:tab w:val="left" w:pos="576"/>
                <w:tab w:val="left" w:pos="864"/>
                <w:tab w:val="left" w:pos="1152"/>
              </w:tabs>
              <w:suppressAutoHyphens/>
              <w:spacing w:before="81" w:after="40" w:line="210" w:lineRule="exact"/>
              <w:ind w:right="43"/>
              <w:jc w:val="right"/>
              <w:rPr>
                <w:sz w:val="17"/>
                <w:lang w:val="fr-FR"/>
              </w:rPr>
            </w:pPr>
          </w:p>
        </w:tc>
      </w:tr>
      <w:tr w:rsidR="00753AB8" w:rsidRPr="00A66C9F" w14:paraId="106EC6DD" w14:textId="77777777" w:rsidTr="00532EEE">
        <w:tc>
          <w:tcPr>
            <w:tcW w:w="5400" w:type="dxa"/>
            <w:shd w:val="clear" w:color="auto" w:fill="auto"/>
            <w:noWrap/>
            <w:vAlign w:val="bottom"/>
          </w:tcPr>
          <w:p w14:paraId="7D4779E6"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Dossiers examinés mais en suspens en raison d’anomalies ou de justificatifs supplémentaires manquants</w:t>
            </w:r>
          </w:p>
        </w:tc>
        <w:tc>
          <w:tcPr>
            <w:tcW w:w="1530" w:type="dxa"/>
            <w:shd w:val="clear" w:color="auto" w:fill="auto"/>
            <w:noWrap/>
            <w:vAlign w:val="bottom"/>
          </w:tcPr>
          <w:p w14:paraId="3A1C6E2E"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900 </w:t>
            </w:r>
          </w:p>
        </w:tc>
        <w:tc>
          <w:tcPr>
            <w:tcW w:w="1656" w:type="dxa"/>
            <w:shd w:val="clear" w:color="auto" w:fill="auto"/>
            <w:noWrap/>
            <w:vAlign w:val="bottom"/>
          </w:tcPr>
          <w:p w14:paraId="6FBBBDD7"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701 </w:t>
            </w:r>
          </w:p>
        </w:tc>
      </w:tr>
      <w:tr w:rsidR="00753AB8" w:rsidRPr="00A66C9F" w14:paraId="43B0B058" w14:textId="77777777" w:rsidTr="00532EEE">
        <w:tc>
          <w:tcPr>
            <w:tcW w:w="5400" w:type="dxa"/>
            <w:shd w:val="clear" w:color="auto" w:fill="auto"/>
            <w:noWrap/>
            <w:vAlign w:val="bottom"/>
          </w:tcPr>
          <w:p w14:paraId="04CFB32D"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b/>
                <w:bCs/>
                <w:sz w:val="17"/>
                <w:lang w:val="fr-FR"/>
              </w:rPr>
            </w:pPr>
            <w:r w:rsidRPr="00A66C9F">
              <w:rPr>
                <w:b/>
                <w:bCs/>
                <w:sz w:val="17"/>
                <w:lang w:val="fr-FR"/>
              </w:rPr>
              <w:t>Versement à effectuer (dossiers en attente)</w:t>
            </w:r>
          </w:p>
        </w:tc>
        <w:tc>
          <w:tcPr>
            <w:tcW w:w="1530" w:type="dxa"/>
            <w:shd w:val="clear" w:color="auto" w:fill="auto"/>
            <w:noWrap/>
            <w:vAlign w:val="bottom"/>
          </w:tcPr>
          <w:p w14:paraId="2F19833D"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p>
        </w:tc>
        <w:tc>
          <w:tcPr>
            <w:tcW w:w="1656" w:type="dxa"/>
            <w:shd w:val="clear" w:color="auto" w:fill="auto"/>
            <w:noWrap/>
            <w:vAlign w:val="bottom"/>
          </w:tcPr>
          <w:p w14:paraId="00CC965A"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p>
        </w:tc>
      </w:tr>
      <w:tr w:rsidR="00753AB8" w:rsidRPr="00A66C9F" w14:paraId="1D76C377" w14:textId="77777777" w:rsidTr="00532EEE">
        <w:tc>
          <w:tcPr>
            <w:tcW w:w="5400" w:type="dxa"/>
            <w:shd w:val="clear" w:color="auto" w:fill="auto"/>
            <w:noWrap/>
            <w:vAlign w:val="bottom"/>
          </w:tcPr>
          <w:p w14:paraId="6C69FBE8" w14:textId="77777777" w:rsidR="00753AB8" w:rsidRPr="00A66C9F" w:rsidRDefault="00753AB8" w:rsidP="00107D5D">
            <w:pPr>
              <w:tabs>
                <w:tab w:val="left" w:pos="288"/>
                <w:tab w:val="left" w:pos="576"/>
                <w:tab w:val="left" w:pos="864"/>
                <w:tab w:val="left" w:pos="1152"/>
              </w:tabs>
              <w:suppressAutoHyphens/>
              <w:spacing w:before="40" w:after="40" w:line="210" w:lineRule="exact"/>
              <w:ind w:right="40"/>
              <w:rPr>
                <w:sz w:val="17"/>
                <w:lang w:val="fr-FR"/>
              </w:rPr>
            </w:pPr>
            <w:r w:rsidRPr="00A66C9F">
              <w:rPr>
                <w:sz w:val="17"/>
                <w:lang w:val="fr-FR"/>
              </w:rPr>
              <w:t>Dossiers en cours de traitement</w:t>
            </w:r>
          </w:p>
        </w:tc>
        <w:tc>
          <w:tcPr>
            <w:tcW w:w="1530" w:type="dxa"/>
            <w:shd w:val="clear" w:color="auto" w:fill="auto"/>
            <w:noWrap/>
            <w:vAlign w:val="bottom"/>
          </w:tcPr>
          <w:p w14:paraId="38F1D3B7"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86</w:t>
            </w:r>
          </w:p>
        </w:tc>
        <w:tc>
          <w:tcPr>
            <w:tcW w:w="1656" w:type="dxa"/>
            <w:shd w:val="clear" w:color="auto" w:fill="auto"/>
            <w:noWrap/>
            <w:vAlign w:val="bottom"/>
          </w:tcPr>
          <w:p w14:paraId="3053E4A1" w14:textId="77777777" w:rsidR="00753AB8" w:rsidRPr="00A66C9F" w:rsidRDefault="00753AB8" w:rsidP="00107D5D">
            <w:pPr>
              <w:tabs>
                <w:tab w:val="left" w:pos="288"/>
                <w:tab w:val="left" w:pos="576"/>
                <w:tab w:val="left" w:pos="864"/>
                <w:tab w:val="left" w:pos="1152"/>
              </w:tabs>
              <w:suppressAutoHyphens/>
              <w:spacing w:before="40" w:after="40" w:line="210" w:lineRule="exact"/>
              <w:ind w:right="43"/>
              <w:jc w:val="right"/>
              <w:rPr>
                <w:sz w:val="17"/>
                <w:lang w:val="fr-FR"/>
              </w:rPr>
            </w:pPr>
            <w:r w:rsidRPr="00A66C9F">
              <w:rPr>
                <w:sz w:val="17"/>
                <w:lang w:val="fr-FR"/>
              </w:rPr>
              <w:t xml:space="preserve">329 </w:t>
            </w:r>
          </w:p>
        </w:tc>
      </w:tr>
      <w:tr w:rsidR="00753AB8" w:rsidRPr="00A66C9F" w14:paraId="0EBC90C6" w14:textId="77777777" w:rsidTr="00532EEE">
        <w:tc>
          <w:tcPr>
            <w:tcW w:w="5400" w:type="dxa"/>
            <w:tcBorders>
              <w:bottom w:val="single" w:sz="4" w:space="0" w:color="auto"/>
            </w:tcBorders>
            <w:shd w:val="clear" w:color="auto" w:fill="auto"/>
            <w:noWrap/>
            <w:vAlign w:val="bottom"/>
          </w:tcPr>
          <w:p w14:paraId="703570F0" w14:textId="77777777" w:rsidR="00753AB8" w:rsidRPr="00A66C9F" w:rsidRDefault="00753AB8" w:rsidP="00107D5D">
            <w:pPr>
              <w:tabs>
                <w:tab w:val="left" w:pos="288"/>
                <w:tab w:val="left" w:pos="576"/>
                <w:tab w:val="left" w:pos="864"/>
                <w:tab w:val="left" w:pos="1152"/>
              </w:tabs>
              <w:suppressAutoHyphens/>
              <w:spacing w:before="40" w:after="81" w:line="210" w:lineRule="exact"/>
              <w:ind w:right="40"/>
              <w:rPr>
                <w:sz w:val="17"/>
                <w:lang w:val="fr-FR"/>
              </w:rPr>
            </w:pPr>
            <w:r w:rsidRPr="00A66C9F">
              <w:rPr>
                <w:sz w:val="17"/>
                <w:lang w:val="fr-FR"/>
              </w:rPr>
              <w:t>Dossiers à examiner</w:t>
            </w:r>
          </w:p>
        </w:tc>
        <w:tc>
          <w:tcPr>
            <w:tcW w:w="1530" w:type="dxa"/>
            <w:tcBorders>
              <w:bottom w:val="single" w:sz="4" w:space="0" w:color="auto"/>
            </w:tcBorders>
            <w:shd w:val="clear" w:color="auto" w:fill="auto"/>
            <w:noWrap/>
            <w:vAlign w:val="bottom"/>
          </w:tcPr>
          <w:p w14:paraId="4D3A96AE" w14:textId="77777777" w:rsidR="00753AB8" w:rsidRPr="00A66C9F" w:rsidRDefault="00753AB8"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181</w:t>
            </w:r>
          </w:p>
        </w:tc>
        <w:tc>
          <w:tcPr>
            <w:tcW w:w="1656" w:type="dxa"/>
            <w:tcBorders>
              <w:bottom w:val="single" w:sz="4" w:space="0" w:color="auto"/>
            </w:tcBorders>
            <w:shd w:val="clear" w:color="auto" w:fill="auto"/>
            <w:noWrap/>
            <w:vAlign w:val="bottom"/>
          </w:tcPr>
          <w:p w14:paraId="5BB375D7" w14:textId="77777777" w:rsidR="00753AB8" w:rsidRPr="00A66C9F" w:rsidRDefault="00753AB8" w:rsidP="00107D5D">
            <w:pPr>
              <w:tabs>
                <w:tab w:val="left" w:pos="288"/>
                <w:tab w:val="left" w:pos="576"/>
                <w:tab w:val="left" w:pos="864"/>
                <w:tab w:val="left" w:pos="1152"/>
              </w:tabs>
              <w:suppressAutoHyphens/>
              <w:spacing w:before="40" w:after="81" w:line="210" w:lineRule="exact"/>
              <w:ind w:right="43"/>
              <w:jc w:val="right"/>
              <w:rPr>
                <w:sz w:val="17"/>
                <w:lang w:val="fr-FR"/>
              </w:rPr>
            </w:pPr>
            <w:r w:rsidRPr="00A66C9F">
              <w:rPr>
                <w:sz w:val="17"/>
                <w:lang w:val="fr-FR"/>
              </w:rPr>
              <w:t xml:space="preserve">595 </w:t>
            </w:r>
          </w:p>
        </w:tc>
      </w:tr>
      <w:tr w:rsidR="00753AB8" w:rsidRPr="00A66C9F" w14:paraId="4E6F3EA4" w14:textId="77777777" w:rsidTr="00532EEE">
        <w:tc>
          <w:tcPr>
            <w:tcW w:w="5400" w:type="dxa"/>
            <w:tcBorders>
              <w:top w:val="single" w:sz="4" w:space="0" w:color="auto"/>
              <w:bottom w:val="single" w:sz="4" w:space="0" w:color="auto"/>
            </w:tcBorders>
            <w:shd w:val="clear" w:color="auto" w:fill="auto"/>
            <w:noWrap/>
            <w:vAlign w:val="bottom"/>
          </w:tcPr>
          <w:p w14:paraId="730AC355" w14:textId="6881560D" w:rsidR="00753AB8" w:rsidRPr="00A66C9F" w:rsidRDefault="00753AB8" w:rsidP="00107D5D">
            <w:pPr>
              <w:tabs>
                <w:tab w:val="left" w:pos="288"/>
                <w:tab w:val="left" w:pos="576"/>
                <w:tab w:val="left" w:pos="864"/>
                <w:tab w:val="left" w:pos="1152"/>
              </w:tabs>
              <w:suppressAutoHyphens/>
              <w:spacing w:before="81" w:after="81" w:line="210" w:lineRule="exact"/>
              <w:ind w:right="40"/>
              <w:rPr>
                <w:b/>
                <w:sz w:val="17"/>
                <w:lang w:val="fr-FR"/>
              </w:rPr>
            </w:pPr>
            <w:r w:rsidRPr="00A66C9F">
              <w:rPr>
                <w:b/>
                <w:sz w:val="17"/>
                <w:lang w:val="fr-FR"/>
              </w:rPr>
              <w:tab/>
              <w:t xml:space="preserve">Total </w:t>
            </w:r>
          </w:p>
        </w:tc>
        <w:tc>
          <w:tcPr>
            <w:tcW w:w="1530" w:type="dxa"/>
            <w:tcBorders>
              <w:top w:val="single" w:sz="4" w:space="0" w:color="auto"/>
              <w:bottom w:val="single" w:sz="4" w:space="0" w:color="auto"/>
            </w:tcBorders>
            <w:shd w:val="clear" w:color="auto" w:fill="auto"/>
            <w:noWrap/>
            <w:vAlign w:val="bottom"/>
          </w:tcPr>
          <w:p w14:paraId="7EF4980D" w14:textId="77777777" w:rsidR="00753AB8" w:rsidRPr="00A66C9F" w:rsidRDefault="00753AB8"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267</w:t>
            </w:r>
          </w:p>
        </w:tc>
        <w:tc>
          <w:tcPr>
            <w:tcW w:w="1656" w:type="dxa"/>
            <w:tcBorders>
              <w:top w:val="single" w:sz="4" w:space="0" w:color="auto"/>
              <w:bottom w:val="single" w:sz="4" w:space="0" w:color="auto"/>
            </w:tcBorders>
            <w:shd w:val="clear" w:color="auto" w:fill="auto"/>
            <w:noWrap/>
            <w:vAlign w:val="bottom"/>
          </w:tcPr>
          <w:p w14:paraId="087A1473" w14:textId="77777777" w:rsidR="00753AB8" w:rsidRPr="00A66C9F" w:rsidRDefault="00753AB8"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 xml:space="preserve">924 </w:t>
            </w:r>
          </w:p>
        </w:tc>
      </w:tr>
      <w:tr w:rsidR="00753AB8" w:rsidRPr="00A66C9F" w14:paraId="76DC2DDA" w14:textId="77777777" w:rsidTr="00532EEE">
        <w:tc>
          <w:tcPr>
            <w:tcW w:w="5400" w:type="dxa"/>
            <w:tcBorders>
              <w:top w:val="single" w:sz="4" w:space="0" w:color="auto"/>
              <w:bottom w:val="single" w:sz="12" w:space="0" w:color="auto"/>
            </w:tcBorders>
            <w:shd w:val="clear" w:color="auto" w:fill="auto"/>
            <w:noWrap/>
            <w:vAlign w:val="bottom"/>
          </w:tcPr>
          <w:p w14:paraId="1CC302A1" w14:textId="77777777" w:rsidR="00753AB8" w:rsidRPr="00A66C9F" w:rsidRDefault="00753AB8" w:rsidP="00107D5D">
            <w:pPr>
              <w:tabs>
                <w:tab w:val="left" w:pos="288"/>
                <w:tab w:val="left" w:pos="576"/>
                <w:tab w:val="left" w:pos="864"/>
                <w:tab w:val="left" w:pos="1152"/>
              </w:tabs>
              <w:suppressAutoHyphens/>
              <w:spacing w:before="81" w:after="81" w:line="210" w:lineRule="exact"/>
              <w:ind w:right="40"/>
              <w:rPr>
                <w:b/>
                <w:sz w:val="17"/>
                <w:lang w:val="fr-FR"/>
              </w:rPr>
            </w:pPr>
            <w:r w:rsidRPr="00A66C9F">
              <w:rPr>
                <w:b/>
                <w:sz w:val="17"/>
                <w:lang w:val="fr-FR"/>
              </w:rPr>
              <w:tab/>
              <w:t>Total des affaires traitables</w:t>
            </w:r>
          </w:p>
        </w:tc>
        <w:tc>
          <w:tcPr>
            <w:tcW w:w="1530" w:type="dxa"/>
            <w:tcBorders>
              <w:top w:val="single" w:sz="4" w:space="0" w:color="auto"/>
              <w:bottom w:val="single" w:sz="12" w:space="0" w:color="auto"/>
            </w:tcBorders>
            <w:shd w:val="clear" w:color="auto" w:fill="auto"/>
            <w:noWrap/>
            <w:vAlign w:val="bottom"/>
          </w:tcPr>
          <w:p w14:paraId="0048A74B" w14:textId="77777777" w:rsidR="00753AB8" w:rsidRPr="00A66C9F" w:rsidRDefault="00753AB8"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5 382</w:t>
            </w:r>
          </w:p>
        </w:tc>
        <w:tc>
          <w:tcPr>
            <w:tcW w:w="1656" w:type="dxa"/>
            <w:tcBorders>
              <w:top w:val="single" w:sz="4" w:space="0" w:color="auto"/>
              <w:bottom w:val="single" w:sz="12" w:space="0" w:color="auto"/>
            </w:tcBorders>
            <w:shd w:val="clear" w:color="auto" w:fill="auto"/>
            <w:noWrap/>
            <w:vAlign w:val="bottom"/>
          </w:tcPr>
          <w:p w14:paraId="7E46A2B0" w14:textId="77777777" w:rsidR="00753AB8" w:rsidRPr="00A66C9F" w:rsidRDefault="00753AB8" w:rsidP="00107D5D">
            <w:pPr>
              <w:tabs>
                <w:tab w:val="left" w:pos="288"/>
                <w:tab w:val="left" w:pos="576"/>
                <w:tab w:val="left" w:pos="864"/>
                <w:tab w:val="left" w:pos="1152"/>
              </w:tabs>
              <w:suppressAutoHyphens/>
              <w:spacing w:before="81" w:after="81" w:line="210" w:lineRule="exact"/>
              <w:ind w:right="43"/>
              <w:jc w:val="right"/>
              <w:rPr>
                <w:b/>
                <w:sz w:val="17"/>
                <w:lang w:val="fr-FR"/>
              </w:rPr>
            </w:pPr>
            <w:r w:rsidRPr="00A66C9F">
              <w:rPr>
                <w:b/>
                <w:sz w:val="17"/>
                <w:lang w:val="fr-FR"/>
              </w:rPr>
              <w:t>6 168</w:t>
            </w:r>
          </w:p>
        </w:tc>
      </w:tr>
    </w:tbl>
    <w:bookmarkEnd w:id="619"/>
    <w:p w14:paraId="5CC4E11E" w14:textId="0D50FFA5" w:rsidR="00753AB8" w:rsidRPr="00A66C9F" w:rsidRDefault="00753AB8" w:rsidP="00753AB8">
      <w:pPr>
        <w:pStyle w:val="SingleTxt"/>
        <w:spacing w:after="0" w:line="240" w:lineRule="auto"/>
        <w:rPr>
          <w:lang w:val="fr-FR"/>
        </w:rPr>
      </w:pPr>
      <w:r w:rsidRPr="00A66C9F">
        <w:rPr>
          <w:noProof/>
          <w:w w:val="100"/>
          <w:lang w:val="fr-FR"/>
        </w:rPr>
        <mc:AlternateContent>
          <mc:Choice Requires="wps">
            <w:drawing>
              <wp:anchor distT="0" distB="0" distL="114300" distR="114300" simplePos="0" relativeHeight="251659264" behindDoc="0" locked="0" layoutInCell="1" allowOverlap="1" wp14:anchorId="3195B830" wp14:editId="776C1369">
                <wp:simplePos x="0" y="0"/>
                <wp:positionH relativeFrom="page">
                  <wp:posOffset>3429000</wp:posOffset>
                </wp:positionH>
                <wp:positionV relativeFrom="paragraph">
                  <wp:posOffset>304800</wp:posOffset>
                </wp:positionV>
                <wp:extent cx="914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B7E572" id="Straight Connector 8"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AI&#10;dJTs2gEAAAwEAAAOAAAAAAAAAAAAAAAAAC4CAABkcnMvZTJvRG9jLnhtbFBLAQItABQABgAIAAAA&#10;IQAlTjiC3gAAAAkBAAAPAAAAAAAAAAAAAAAAADQEAABkcnMvZG93bnJldi54bWxQSwUGAAAAAAQA&#10;BADzAAAAPwUAAAAA&#10;" strokecolor="#010000" strokeweight=".25pt">
                <w10:wrap anchorx="page"/>
              </v:line>
            </w:pict>
          </mc:Fallback>
        </mc:AlternateContent>
      </w:r>
      <w:bookmarkStart w:id="650" w:name="EndPage"/>
      <w:bookmarkEnd w:id="650"/>
    </w:p>
    <w:sectPr w:rsidR="00753AB8" w:rsidRPr="00A66C9F" w:rsidSect="00D62B67">
      <w:headerReference w:type="even" r:id="rId53"/>
      <w:headerReference w:type="default" r:id="rId54"/>
      <w:footerReference w:type="even" r:id="rId55"/>
      <w:footerReference w:type="default" r:id="rId56"/>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199C0" w14:textId="77777777" w:rsidR="005D5AF3" w:rsidRDefault="005D5AF3" w:rsidP="00101B18">
      <w:pPr>
        <w:spacing w:line="240" w:lineRule="auto"/>
      </w:pPr>
      <w:r>
        <w:separator/>
      </w:r>
    </w:p>
  </w:endnote>
  <w:endnote w:type="continuationSeparator" w:id="0">
    <w:p w14:paraId="18661E9B" w14:textId="77777777" w:rsidR="005D5AF3" w:rsidRDefault="005D5AF3"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wC_Logo">
    <w:altName w:val="Symbol"/>
    <w:charset w:val="02"/>
    <w:family w:val="auto"/>
    <w:pitch w:val="variable"/>
    <w:sig w:usb0="00000000" w:usb1="10000000" w:usb2="00000000" w:usb3="00000000" w:csb0="80000000" w:csb1="00000000"/>
  </w:font>
  <w:font w:name="HelveticaNeueLT Std">
    <w:altName w:val="Arial"/>
    <w:panose1 w:val="00000000000000000000"/>
    <w:charset w:val="00"/>
    <w:family w:val="roman"/>
    <w:notTrueType/>
    <w:pitch w:val="default"/>
    <w:sig w:usb0="00000003" w:usb1="00000000" w:usb2="00000000" w:usb3="00000000" w:csb0="00000001" w:csb1="00000000"/>
  </w:font>
  <w:font w:name="HelveticaNeue Condense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100F73" w:rsidRPr="00E56F8B" w14:paraId="2EB86F98" w14:textId="77777777" w:rsidTr="0011166C">
      <w:tc>
        <w:tcPr>
          <w:tcW w:w="4920" w:type="dxa"/>
          <w:shd w:val="clear" w:color="auto" w:fill="auto"/>
        </w:tcPr>
        <w:p w14:paraId="5E3D2095" w14:textId="32F706C4" w:rsidR="00100F73" w:rsidRPr="00E56F8B" w:rsidRDefault="00100F73" w:rsidP="00100F73">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87</w:t>
          </w:r>
          <w:r>
            <w:rPr>
              <w:w w:val="103"/>
            </w:rPr>
            <w:fldChar w:fldCharType="end"/>
          </w:r>
          <w:r>
            <w:rPr>
              <w:w w:val="103"/>
            </w:rPr>
            <w:t>/</w:t>
          </w:r>
          <w:r>
            <w:rPr>
              <w:w w:val="103"/>
            </w:rPr>
            <w:fldChar w:fldCharType="begin"/>
          </w:r>
          <w:r>
            <w:rPr>
              <w:w w:val="103"/>
            </w:rPr>
            <w:instrText xml:space="preserve"> PAGEREF  EndPage  \* MERGEFORMAT </w:instrText>
          </w:r>
          <w:r>
            <w:rPr>
              <w:w w:val="103"/>
            </w:rPr>
            <w:fldChar w:fldCharType="separate"/>
          </w:r>
          <w:r w:rsidR="006361FA">
            <w:rPr>
              <w:noProof/>
              <w:w w:val="103"/>
            </w:rPr>
            <w:t>88</w:t>
          </w:r>
          <w:r>
            <w:rPr>
              <w:w w:val="103"/>
            </w:rPr>
            <w:fldChar w:fldCharType="end"/>
          </w:r>
        </w:p>
      </w:tc>
      <w:tc>
        <w:tcPr>
          <w:tcW w:w="4920" w:type="dxa"/>
          <w:shd w:val="clear" w:color="auto" w:fill="auto"/>
        </w:tcPr>
        <w:p w14:paraId="6A17D0F6" w14:textId="77777777" w:rsidR="00100F73" w:rsidRPr="00E56F8B" w:rsidRDefault="00100F73" w:rsidP="00100F7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fldChar w:fldCharType="end"/>
          </w:r>
        </w:p>
      </w:tc>
    </w:tr>
  </w:tbl>
  <w:p w14:paraId="163D27BD" w14:textId="77777777" w:rsidR="002B3B17" w:rsidRPr="00D62B67" w:rsidRDefault="002B3B17" w:rsidP="00D62B6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2B3B17" w:rsidRPr="00744544" w14:paraId="6E37C27E" w14:textId="77777777" w:rsidTr="00744544">
      <w:trPr>
        <w:cantSplit/>
        <w:trHeight w:val="4925"/>
      </w:trPr>
      <w:tc>
        <w:tcPr>
          <w:tcW w:w="9830" w:type="dxa"/>
          <w:shd w:val="clear" w:color="auto" w:fill="auto"/>
          <w:textDirection w:val="tbRl"/>
        </w:tcPr>
        <w:p w14:paraId="05AA381F" w14:textId="2CDD7A6C" w:rsidR="002B3B17" w:rsidRPr="00744544" w:rsidRDefault="002B3B17" w:rsidP="00744544">
          <w:pPr>
            <w:pStyle w:val="Footer"/>
            <w:spacing w:line="240" w:lineRule="auto"/>
            <w:rPr>
              <w:b w:val="0"/>
              <w:w w:val="103"/>
              <w:sz w:val="14"/>
            </w:rPr>
          </w:pPr>
        </w:p>
      </w:tc>
    </w:tr>
    <w:tr w:rsidR="002B3B17" w:rsidRPr="00744544" w14:paraId="223CE26F" w14:textId="77777777" w:rsidTr="00744544">
      <w:trPr>
        <w:cantSplit/>
        <w:trHeight w:val="4925"/>
      </w:trPr>
      <w:tc>
        <w:tcPr>
          <w:tcW w:w="9830" w:type="dxa"/>
          <w:shd w:val="clear" w:color="auto" w:fill="auto"/>
          <w:textDirection w:val="tbRl"/>
        </w:tcPr>
        <w:p w14:paraId="6C2D55AE" w14:textId="702DCC10" w:rsidR="002B3B17" w:rsidRPr="00744544" w:rsidRDefault="002B3B17" w:rsidP="00744544">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Pr>
              <w:noProof/>
              <w:w w:val="103"/>
            </w:rPr>
            <w:t>96</w:t>
          </w:r>
          <w:r>
            <w:rPr>
              <w:w w:val="103"/>
            </w:rPr>
            <w:fldChar w:fldCharType="end"/>
          </w:r>
          <w:r>
            <w:rPr>
              <w:w w:val="103"/>
            </w:rPr>
            <w:t>/</w:t>
          </w:r>
          <w:r>
            <w:rPr>
              <w:w w:val="103"/>
            </w:rPr>
            <w:fldChar w:fldCharType="begin"/>
          </w:r>
          <w:r>
            <w:rPr>
              <w:w w:val="103"/>
            </w:rPr>
            <w:instrText xml:space="preserve"> PAGEREF  EndPage  \* MERGEFORMAT </w:instrText>
          </w:r>
          <w:r>
            <w:rPr>
              <w:w w:val="103"/>
            </w:rPr>
            <w:fldChar w:fldCharType="separate"/>
          </w:r>
          <w:r w:rsidR="00B34E1B">
            <w:rPr>
              <w:noProof/>
              <w:w w:val="103"/>
            </w:rPr>
            <w:t>88</w:t>
          </w:r>
          <w:r>
            <w:rPr>
              <w:w w:val="103"/>
            </w:rPr>
            <w:fldChar w:fldCharType="end"/>
          </w:r>
        </w:p>
      </w:tc>
    </w:tr>
  </w:tbl>
  <w:p w14:paraId="68BD1B95" w14:textId="77777777" w:rsidR="002B3B17" w:rsidRPr="00744544" w:rsidRDefault="002B3B17" w:rsidP="0074454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2B3B17" w:rsidRPr="00E56F8B" w14:paraId="341C8B94" w14:textId="77777777" w:rsidTr="00E56F8B">
      <w:tc>
        <w:tcPr>
          <w:tcW w:w="4920" w:type="dxa"/>
          <w:shd w:val="clear" w:color="auto" w:fill="auto"/>
        </w:tcPr>
        <w:p w14:paraId="688F9868" w14:textId="4C7CC002" w:rsidR="002B3B17" w:rsidRPr="00E56F8B" w:rsidRDefault="002B3B17" w:rsidP="00E56F8B">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121</w:t>
          </w:r>
          <w:r>
            <w:rPr>
              <w:w w:val="103"/>
            </w:rPr>
            <w:fldChar w:fldCharType="end"/>
          </w:r>
          <w:r>
            <w:rPr>
              <w:w w:val="103"/>
            </w:rPr>
            <w:t>/</w:t>
          </w:r>
          <w:r>
            <w:rPr>
              <w:w w:val="103"/>
            </w:rPr>
            <w:fldChar w:fldCharType="begin"/>
          </w:r>
          <w:r>
            <w:rPr>
              <w:w w:val="103"/>
            </w:rPr>
            <w:instrText xml:space="preserve"> PAGEREF  EndPage  \* MERGEFORMAT </w:instrText>
          </w:r>
          <w:r>
            <w:rPr>
              <w:w w:val="103"/>
            </w:rPr>
            <w:fldChar w:fldCharType="separate"/>
          </w:r>
          <w:r w:rsidR="00B34E1B">
            <w:rPr>
              <w:noProof/>
              <w:w w:val="103"/>
            </w:rPr>
            <w:t>88</w:t>
          </w:r>
          <w:r>
            <w:rPr>
              <w:w w:val="103"/>
            </w:rPr>
            <w:fldChar w:fldCharType="end"/>
          </w:r>
        </w:p>
      </w:tc>
      <w:tc>
        <w:tcPr>
          <w:tcW w:w="4920" w:type="dxa"/>
          <w:shd w:val="clear" w:color="auto" w:fill="auto"/>
        </w:tcPr>
        <w:p w14:paraId="67D6BCF9" w14:textId="2DBDF52B" w:rsidR="002B3B17" w:rsidRPr="00E56F8B" w:rsidRDefault="002B3B17" w:rsidP="00E56F8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fldChar w:fldCharType="end"/>
          </w:r>
        </w:p>
      </w:tc>
    </w:tr>
  </w:tbl>
  <w:p w14:paraId="5855037E" w14:textId="77777777" w:rsidR="002B3B17" w:rsidRDefault="002B3B17"/>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2B3B17" w:rsidRPr="00E56F8B" w14:paraId="400693CC" w14:textId="77777777" w:rsidTr="00E56F8B">
      <w:tc>
        <w:tcPr>
          <w:tcW w:w="4920" w:type="dxa"/>
          <w:shd w:val="clear" w:color="auto" w:fill="auto"/>
        </w:tcPr>
        <w:p w14:paraId="0B292BD1" w14:textId="33293798" w:rsidR="002B3B17" w:rsidRPr="00E56F8B" w:rsidRDefault="002B3B17" w:rsidP="00E56F8B">
          <w:pPr>
            <w:pStyle w:val="Footer"/>
            <w:rPr>
              <w:b w:val="0"/>
              <w:w w:val="103"/>
              <w:sz w:val="14"/>
            </w:rPr>
          </w:pPr>
        </w:p>
      </w:tc>
      <w:tc>
        <w:tcPr>
          <w:tcW w:w="4920" w:type="dxa"/>
          <w:shd w:val="clear" w:color="auto" w:fill="auto"/>
        </w:tcPr>
        <w:p w14:paraId="4582A527" w14:textId="4C95FF73" w:rsidR="002B3B17" w:rsidRPr="00E56F8B" w:rsidRDefault="002B3B17" w:rsidP="00E56F8B">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122</w:t>
          </w:r>
          <w:r>
            <w:rPr>
              <w:w w:val="103"/>
            </w:rPr>
            <w:fldChar w:fldCharType="end"/>
          </w:r>
          <w:r>
            <w:rPr>
              <w:w w:val="103"/>
            </w:rPr>
            <w:t>/</w:t>
          </w:r>
          <w:r>
            <w:rPr>
              <w:w w:val="103"/>
            </w:rPr>
            <w:fldChar w:fldCharType="begin"/>
          </w:r>
          <w:r>
            <w:rPr>
              <w:w w:val="103"/>
            </w:rPr>
            <w:instrText xml:space="preserve"> PAGEREF  EndPage  \* MERGEFORMAT </w:instrText>
          </w:r>
          <w:r>
            <w:rPr>
              <w:w w:val="103"/>
            </w:rPr>
            <w:fldChar w:fldCharType="separate"/>
          </w:r>
          <w:r w:rsidR="00B34E1B">
            <w:rPr>
              <w:noProof/>
              <w:w w:val="103"/>
            </w:rPr>
            <w:t>88</w:t>
          </w:r>
          <w:r>
            <w:rPr>
              <w:w w:val="103"/>
            </w:rPr>
            <w:fldChar w:fldCharType="end"/>
          </w:r>
        </w:p>
      </w:tc>
    </w:tr>
  </w:tbl>
  <w:p w14:paraId="380B0BA4" w14:textId="77777777" w:rsidR="002B3B17" w:rsidRDefault="002B3B17"/>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2B3B17" w:rsidRPr="00744544" w14:paraId="1B7749DE" w14:textId="77777777" w:rsidTr="00744544">
      <w:trPr>
        <w:cantSplit/>
        <w:trHeight w:val="4925"/>
      </w:trPr>
      <w:tc>
        <w:tcPr>
          <w:tcW w:w="9830" w:type="dxa"/>
          <w:shd w:val="clear" w:color="auto" w:fill="auto"/>
          <w:textDirection w:val="tbRl"/>
        </w:tcPr>
        <w:p w14:paraId="44A22521" w14:textId="7E380139" w:rsidR="002B3B17" w:rsidRPr="00744544" w:rsidRDefault="002B3B17" w:rsidP="00744544">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Pr>
              <w:noProof/>
              <w:w w:val="103"/>
            </w:rPr>
            <w:t>123</w:t>
          </w:r>
          <w:r>
            <w:rPr>
              <w:w w:val="103"/>
            </w:rPr>
            <w:fldChar w:fldCharType="end"/>
          </w:r>
          <w:r>
            <w:rPr>
              <w:w w:val="103"/>
            </w:rPr>
            <w:t>/</w:t>
          </w:r>
          <w:r>
            <w:rPr>
              <w:w w:val="103"/>
            </w:rPr>
            <w:fldChar w:fldCharType="begin"/>
          </w:r>
          <w:r>
            <w:rPr>
              <w:w w:val="103"/>
            </w:rPr>
            <w:instrText xml:space="preserve"> PAGEREF  EndPage  \* MERGEFORMAT </w:instrText>
          </w:r>
          <w:r>
            <w:rPr>
              <w:w w:val="103"/>
            </w:rPr>
            <w:fldChar w:fldCharType="separate"/>
          </w:r>
          <w:r w:rsidR="00B34E1B">
            <w:rPr>
              <w:noProof/>
              <w:w w:val="103"/>
            </w:rPr>
            <w:t>88</w:t>
          </w:r>
          <w:r>
            <w:rPr>
              <w:w w:val="103"/>
            </w:rPr>
            <w:fldChar w:fldCharType="end"/>
          </w:r>
        </w:p>
      </w:tc>
    </w:tr>
    <w:tr w:rsidR="002B3B17" w:rsidRPr="00744544" w14:paraId="6863CC4D" w14:textId="77777777" w:rsidTr="00744544">
      <w:trPr>
        <w:cantSplit/>
        <w:trHeight w:val="4925"/>
      </w:trPr>
      <w:tc>
        <w:tcPr>
          <w:tcW w:w="9830" w:type="dxa"/>
          <w:shd w:val="clear" w:color="auto" w:fill="auto"/>
          <w:textDirection w:val="tbRl"/>
        </w:tcPr>
        <w:p w14:paraId="4A598C2F" w14:textId="30CC1967" w:rsidR="002B3B17" w:rsidRPr="00744544" w:rsidRDefault="002B3B17" w:rsidP="00B34E1B">
          <w:pPr>
            <w:pStyle w:val="Footer"/>
            <w:spacing w:line="240" w:lineRule="auto"/>
            <w:rPr>
              <w:b w:val="0"/>
              <w:w w:val="103"/>
              <w:sz w:val="14"/>
            </w:rPr>
          </w:pPr>
        </w:p>
      </w:tc>
    </w:tr>
  </w:tbl>
  <w:p w14:paraId="10F239EA" w14:textId="77777777" w:rsidR="002B3B17" w:rsidRPr="00744544" w:rsidRDefault="002B3B17" w:rsidP="0074454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2B3B17" w:rsidRPr="00744544" w14:paraId="467C4F1A" w14:textId="77777777" w:rsidTr="00744544">
      <w:trPr>
        <w:cantSplit/>
        <w:trHeight w:val="4925"/>
      </w:trPr>
      <w:tc>
        <w:tcPr>
          <w:tcW w:w="9830" w:type="dxa"/>
          <w:shd w:val="clear" w:color="auto" w:fill="auto"/>
          <w:textDirection w:val="tbRl"/>
        </w:tcPr>
        <w:p w14:paraId="4F13D26C" w14:textId="0C90F8CA" w:rsidR="002B3B17" w:rsidRPr="00744544" w:rsidRDefault="002B3B17" w:rsidP="00744544">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20-09292</w:t>
          </w:r>
          <w:r>
            <w:rPr>
              <w:b w:val="0"/>
              <w:w w:val="103"/>
              <w:sz w:val="14"/>
            </w:rPr>
            <w:fldChar w:fldCharType="end"/>
          </w:r>
        </w:p>
      </w:tc>
    </w:tr>
    <w:tr w:rsidR="002B3B17" w:rsidRPr="00744544" w14:paraId="7C5FE195" w14:textId="77777777" w:rsidTr="00744544">
      <w:trPr>
        <w:cantSplit/>
        <w:trHeight w:val="4925"/>
      </w:trPr>
      <w:tc>
        <w:tcPr>
          <w:tcW w:w="9830" w:type="dxa"/>
          <w:shd w:val="clear" w:color="auto" w:fill="auto"/>
          <w:textDirection w:val="tbRl"/>
        </w:tcPr>
        <w:p w14:paraId="29F3786E" w14:textId="73E133B4" w:rsidR="002B3B17" w:rsidRPr="00744544" w:rsidRDefault="002B3B17" w:rsidP="00744544">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Pr>
              <w:noProof/>
              <w:w w:val="103"/>
            </w:rPr>
            <w:t>124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127</w:t>
          </w:r>
          <w:r>
            <w:rPr>
              <w:w w:val="103"/>
            </w:rPr>
            <w:fldChar w:fldCharType="end"/>
          </w:r>
        </w:p>
      </w:tc>
    </w:tr>
  </w:tbl>
  <w:p w14:paraId="77B3D7EF" w14:textId="77777777" w:rsidR="002B3B17" w:rsidRPr="00744544" w:rsidRDefault="002B3B17" w:rsidP="0074454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2B3B17" w:rsidRPr="00E56F8B" w14:paraId="23B9272A" w14:textId="77777777" w:rsidTr="00E56F8B">
      <w:tc>
        <w:tcPr>
          <w:tcW w:w="4920" w:type="dxa"/>
          <w:shd w:val="clear" w:color="auto" w:fill="auto"/>
        </w:tcPr>
        <w:p w14:paraId="23306052" w14:textId="4CBDB799" w:rsidR="002B3B17" w:rsidRPr="00E56F8B" w:rsidRDefault="002B3B17" w:rsidP="00E56F8B">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153</w:t>
          </w:r>
          <w:r>
            <w:rPr>
              <w:w w:val="103"/>
            </w:rPr>
            <w:fldChar w:fldCharType="end"/>
          </w:r>
          <w:r>
            <w:rPr>
              <w:w w:val="103"/>
            </w:rPr>
            <w:t>/</w:t>
          </w:r>
          <w:r>
            <w:rPr>
              <w:w w:val="103"/>
            </w:rPr>
            <w:fldChar w:fldCharType="begin"/>
          </w:r>
          <w:r>
            <w:rPr>
              <w:w w:val="103"/>
            </w:rPr>
            <w:instrText xml:space="preserve"> PAGEREF  EndPage  \* MERGEFORMAT </w:instrText>
          </w:r>
          <w:r>
            <w:rPr>
              <w:w w:val="103"/>
            </w:rPr>
            <w:fldChar w:fldCharType="separate"/>
          </w:r>
          <w:r w:rsidR="00B34E1B">
            <w:rPr>
              <w:noProof/>
              <w:w w:val="103"/>
            </w:rPr>
            <w:t>88</w:t>
          </w:r>
          <w:r>
            <w:rPr>
              <w:w w:val="103"/>
            </w:rPr>
            <w:fldChar w:fldCharType="end"/>
          </w:r>
        </w:p>
      </w:tc>
      <w:tc>
        <w:tcPr>
          <w:tcW w:w="4920" w:type="dxa"/>
          <w:shd w:val="clear" w:color="auto" w:fill="auto"/>
        </w:tcPr>
        <w:p w14:paraId="11EBF23F" w14:textId="112834E2" w:rsidR="002B3B17" w:rsidRPr="00E56F8B" w:rsidRDefault="002B3B17" w:rsidP="00E56F8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fldChar w:fldCharType="end"/>
          </w:r>
        </w:p>
      </w:tc>
    </w:tr>
  </w:tbl>
  <w:p w14:paraId="1F2966B5" w14:textId="77777777" w:rsidR="002B3B17" w:rsidRDefault="002B3B17"/>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2B3B17" w:rsidRPr="00E56F8B" w14:paraId="4E81490C" w14:textId="77777777" w:rsidTr="00E56F8B">
      <w:tc>
        <w:tcPr>
          <w:tcW w:w="4920" w:type="dxa"/>
          <w:shd w:val="clear" w:color="auto" w:fill="auto"/>
        </w:tcPr>
        <w:p w14:paraId="4B861700" w14:textId="7C63CDCC" w:rsidR="002B3B17" w:rsidRPr="00E56F8B" w:rsidRDefault="002B3B17" w:rsidP="00E56F8B">
          <w:pPr>
            <w:pStyle w:val="Footer"/>
            <w:rPr>
              <w:b w:val="0"/>
              <w:w w:val="103"/>
              <w:sz w:val="14"/>
            </w:rPr>
          </w:pPr>
        </w:p>
      </w:tc>
      <w:tc>
        <w:tcPr>
          <w:tcW w:w="4920" w:type="dxa"/>
          <w:shd w:val="clear" w:color="auto" w:fill="auto"/>
        </w:tcPr>
        <w:p w14:paraId="722D4A1E" w14:textId="21C9EE7E" w:rsidR="002B3B17" w:rsidRPr="00E56F8B" w:rsidRDefault="002B3B17" w:rsidP="00E56F8B">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152</w:t>
          </w:r>
          <w:r>
            <w:rPr>
              <w:w w:val="103"/>
            </w:rPr>
            <w:fldChar w:fldCharType="end"/>
          </w:r>
          <w:r>
            <w:rPr>
              <w:w w:val="103"/>
            </w:rPr>
            <w:t>/</w:t>
          </w:r>
          <w:r>
            <w:rPr>
              <w:w w:val="103"/>
            </w:rPr>
            <w:fldChar w:fldCharType="begin"/>
          </w:r>
          <w:r>
            <w:rPr>
              <w:w w:val="103"/>
            </w:rPr>
            <w:instrText xml:space="preserve"> PAGEREF  EndPage  \* MERGEFORMAT </w:instrText>
          </w:r>
          <w:r>
            <w:rPr>
              <w:w w:val="103"/>
            </w:rPr>
            <w:fldChar w:fldCharType="separate"/>
          </w:r>
          <w:r w:rsidR="00B34E1B">
            <w:rPr>
              <w:noProof/>
              <w:w w:val="103"/>
            </w:rPr>
            <w:t>88</w:t>
          </w:r>
          <w:r>
            <w:rPr>
              <w:w w:val="103"/>
            </w:rPr>
            <w:fldChar w:fldCharType="end"/>
          </w:r>
        </w:p>
      </w:tc>
    </w:tr>
  </w:tbl>
  <w:p w14:paraId="2C3AF521" w14:textId="77777777" w:rsidR="002B3B17" w:rsidRDefault="002B3B17"/>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2B3B17" w:rsidRPr="00753AB8" w14:paraId="0FBD5A99" w14:textId="77777777" w:rsidTr="00753AB8">
      <w:trPr>
        <w:cantSplit/>
        <w:trHeight w:val="4925"/>
      </w:trPr>
      <w:tc>
        <w:tcPr>
          <w:tcW w:w="9830" w:type="dxa"/>
          <w:shd w:val="clear" w:color="auto" w:fill="auto"/>
          <w:textDirection w:val="tbRl"/>
        </w:tcPr>
        <w:p w14:paraId="581098A8" w14:textId="24014FDA" w:rsidR="002B3B17" w:rsidRPr="00753AB8" w:rsidRDefault="002B3B17" w:rsidP="00753AB8">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Pr>
              <w:noProof/>
              <w:w w:val="103"/>
            </w:rPr>
            <w:t>155</w:t>
          </w:r>
          <w:r>
            <w:rPr>
              <w:w w:val="103"/>
            </w:rPr>
            <w:fldChar w:fldCharType="end"/>
          </w:r>
          <w:r>
            <w:rPr>
              <w:w w:val="103"/>
            </w:rPr>
            <w:t>/</w:t>
          </w:r>
          <w:r>
            <w:rPr>
              <w:w w:val="103"/>
            </w:rPr>
            <w:fldChar w:fldCharType="begin"/>
          </w:r>
          <w:r>
            <w:rPr>
              <w:w w:val="103"/>
            </w:rPr>
            <w:instrText xml:space="preserve"> PAGEREF  EndPage  \* MERGEFORMAT </w:instrText>
          </w:r>
          <w:r>
            <w:rPr>
              <w:w w:val="103"/>
            </w:rPr>
            <w:fldChar w:fldCharType="separate"/>
          </w:r>
          <w:r w:rsidR="00B34E1B">
            <w:rPr>
              <w:noProof/>
              <w:w w:val="103"/>
            </w:rPr>
            <w:t>88</w:t>
          </w:r>
          <w:r>
            <w:rPr>
              <w:w w:val="103"/>
            </w:rPr>
            <w:fldChar w:fldCharType="end"/>
          </w:r>
        </w:p>
      </w:tc>
    </w:tr>
    <w:tr w:rsidR="002B3B17" w:rsidRPr="00753AB8" w14:paraId="0DFB9883" w14:textId="77777777" w:rsidTr="00753AB8">
      <w:trPr>
        <w:cantSplit/>
        <w:trHeight w:val="4925"/>
      </w:trPr>
      <w:tc>
        <w:tcPr>
          <w:tcW w:w="9830" w:type="dxa"/>
          <w:shd w:val="clear" w:color="auto" w:fill="auto"/>
          <w:textDirection w:val="tbRl"/>
        </w:tcPr>
        <w:p w14:paraId="6E4952D5" w14:textId="20549996" w:rsidR="002B3B17" w:rsidRPr="00753AB8" w:rsidRDefault="002B3B17" w:rsidP="00312981">
          <w:pPr>
            <w:pStyle w:val="Footer"/>
            <w:spacing w:line="240" w:lineRule="auto"/>
            <w:jc w:val="center"/>
            <w:rPr>
              <w:b w:val="0"/>
              <w:w w:val="103"/>
              <w:sz w:val="14"/>
            </w:rPr>
          </w:pPr>
        </w:p>
      </w:tc>
    </w:tr>
  </w:tbl>
  <w:p w14:paraId="5219C47C" w14:textId="77777777" w:rsidR="002B3B17" w:rsidRPr="00753AB8" w:rsidRDefault="002B3B17" w:rsidP="00753AB8">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2B3B17" w:rsidRPr="00753AB8" w14:paraId="49A8DEBB" w14:textId="77777777" w:rsidTr="00753AB8">
      <w:trPr>
        <w:cantSplit/>
        <w:trHeight w:val="4925"/>
      </w:trPr>
      <w:tc>
        <w:tcPr>
          <w:tcW w:w="9830" w:type="dxa"/>
          <w:shd w:val="clear" w:color="auto" w:fill="auto"/>
          <w:textDirection w:val="tbRl"/>
        </w:tcPr>
        <w:p w14:paraId="5872DD83" w14:textId="6D535CBA" w:rsidR="002B3B17" w:rsidRPr="00753AB8" w:rsidRDefault="002B3B17" w:rsidP="00753AB8">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2</w:t>
          </w:r>
          <w:r>
            <w:rPr>
              <w:b w:val="0"/>
              <w:w w:val="103"/>
              <w:sz w:val="14"/>
            </w:rPr>
            <w:fldChar w:fldCharType="end"/>
          </w:r>
        </w:p>
      </w:tc>
    </w:tr>
    <w:tr w:rsidR="002B3B17" w:rsidRPr="00753AB8" w14:paraId="2CB0F914" w14:textId="77777777" w:rsidTr="00753AB8">
      <w:trPr>
        <w:cantSplit/>
        <w:trHeight w:val="4925"/>
      </w:trPr>
      <w:tc>
        <w:tcPr>
          <w:tcW w:w="9830" w:type="dxa"/>
          <w:shd w:val="clear" w:color="auto" w:fill="auto"/>
          <w:textDirection w:val="tbRl"/>
        </w:tcPr>
        <w:p w14:paraId="6E757FB3" w14:textId="15D1288A" w:rsidR="002B3B17" w:rsidRPr="00753AB8" w:rsidRDefault="002B3B17" w:rsidP="00753AB8">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Pr>
              <w:noProof/>
              <w:w w:val="103"/>
            </w:rPr>
            <w:t>156</w:t>
          </w:r>
          <w:r>
            <w:rPr>
              <w:w w:val="103"/>
            </w:rPr>
            <w:fldChar w:fldCharType="end"/>
          </w:r>
          <w:r>
            <w:rPr>
              <w:w w:val="103"/>
            </w:rPr>
            <w:t>/</w:t>
          </w:r>
          <w:r>
            <w:rPr>
              <w:w w:val="103"/>
            </w:rPr>
            <w:fldChar w:fldCharType="begin"/>
          </w:r>
          <w:r>
            <w:rPr>
              <w:w w:val="103"/>
            </w:rPr>
            <w:instrText xml:space="preserve"> PAGEREF  EndPage  \* MERGEFORMAT </w:instrText>
          </w:r>
          <w:r>
            <w:rPr>
              <w:w w:val="103"/>
            </w:rPr>
            <w:fldChar w:fldCharType="separate"/>
          </w:r>
          <w:r w:rsidR="00B34E1B">
            <w:rPr>
              <w:noProof/>
              <w:w w:val="103"/>
            </w:rPr>
            <w:t>88</w:t>
          </w:r>
          <w:r>
            <w:rPr>
              <w:w w:val="103"/>
            </w:rPr>
            <w:fldChar w:fldCharType="end"/>
          </w:r>
        </w:p>
      </w:tc>
    </w:tr>
  </w:tbl>
  <w:p w14:paraId="12522FA9" w14:textId="77777777" w:rsidR="002B3B17" w:rsidRPr="00753AB8" w:rsidRDefault="002B3B17" w:rsidP="00753AB8">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2B3B17" w:rsidRPr="00E56F8B" w14:paraId="7BAE98B8" w14:textId="77777777" w:rsidTr="00E56F8B">
      <w:tc>
        <w:tcPr>
          <w:tcW w:w="4920" w:type="dxa"/>
          <w:shd w:val="clear" w:color="auto" w:fill="auto"/>
        </w:tcPr>
        <w:p w14:paraId="45F6A944" w14:textId="77777777" w:rsidR="002B3B17" w:rsidRPr="00E56F8B" w:rsidRDefault="002B3B17" w:rsidP="00E56F8B">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6</w:t>
          </w:r>
          <w:r>
            <w:rPr>
              <w:w w:val="103"/>
            </w:rPr>
            <w:fldChar w:fldCharType="end"/>
          </w:r>
        </w:p>
      </w:tc>
      <w:tc>
        <w:tcPr>
          <w:tcW w:w="4920" w:type="dxa"/>
          <w:shd w:val="clear" w:color="auto" w:fill="auto"/>
        </w:tcPr>
        <w:p w14:paraId="22C85D43" w14:textId="66AA781B" w:rsidR="002B3B17" w:rsidRPr="00E56F8B" w:rsidRDefault="002B3B17" w:rsidP="00E56F8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fldChar w:fldCharType="end"/>
          </w:r>
        </w:p>
      </w:tc>
    </w:tr>
  </w:tbl>
  <w:p w14:paraId="7425D2B0" w14:textId="77777777" w:rsidR="002B3B17" w:rsidRDefault="002B3B17">
    <w:pPr>
      <w:pStyle w:val="Footer"/>
    </w:pPr>
  </w:p>
  <w:p w14:paraId="6A108FEA" w14:textId="77777777" w:rsidR="002B3B17" w:rsidRDefault="002B3B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2B3B17" w:rsidRPr="00D62B67" w14:paraId="175EC087" w14:textId="77777777" w:rsidTr="00D62B67">
      <w:trPr>
        <w:cantSplit/>
        <w:trHeight w:val="4925"/>
      </w:trPr>
      <w:tc>
        <w:tcPr>
          <w:tcW w:w="9830" w:type="dxa"/>
          <w:shd w:val="clear" w:color="auto" w:fill="auto"/>
          <w:textDirection w:val="tbRl"/>
        </w:tcPr>
        <w:p w14:paraId="104DE534" w14:textId="7C4E4EB1" w:rsidR="002B3B17" w:rsidRPr="00D62B67" w:rsidRDefault="002B3B17" w:rsidP="00D62B67">
          <w:pPr>
            <w:pStyle w:val="Footer"/>
            <w:spacing w:line="240" w:lineRule="auto"/>
            <w:rPr>
              <w:b w:val="0"/>
              <w:w w:val="103"/>
              <w:sz w:val="14"/>
            </w:rPr>
          </w:pPr>
        </w:p>
      </w:tc>
    </w:tr>
    <w:tr w:rsidR="002B3B17" w:rsidRPr="00D62B67" w14:paraId="68C35CA3" w14:textId="77777777" w:rsidTr="00D62B67">
      <w:trPr>
        <w:cantSplit/>
        <w:trHeight w:val="4925"/>
      </w:trPr>
      <w:tc>
        <w:tcPr>
          <w:tcW w:w="9830" w:type="dxa"/>
          <w:shd w:val="clear" w:color="auto" w:fill="auto"/>
          <w:textDirection w:val="tbRl"/>
        </w:tcPr>
        <w:p w14:paraId="290CBD35" w14:textId="5D8991D0" w:rsidR="002B3B17" w:rsidRPr="00D62B67" w:rsidRDefault="002B3B17" w:rsidP="00100F73">
          <w:pPr>
            <w:pStyle w:val="Footer"/>
            <w:spacing w:line="240" w:lineRule="auto"/>
            <w:rPr>
              <w:w w:val="103"/>
            </w:rPr>
          </w:pPr>
        </w:p>
      </w:tc>
    </w:tr>
  </w:tbl>
  <w:tbl>
    <w:tblPr>
      <w:tblW w:w="0" w:type="auto"/>
      <w:tblLayout w:type="fixed"/>
      <w:tblCellMar>
        <w:left w:w="0" w:type="dxa"/>
        <w:right w:w="0" w:type="dxa"/>
      </w:tblCellMar>
      <w:tblLook w:val="0000" w:firstRow="0" w:lastRow="0" w:firstColumn="0" w:lastColumn="0" w:noHBand="0" w:noVBand="0"/>
    </w:tblPr>
    <w:tblGrid>
      <w:gridCol w:w="4920"/>
      <w:gridCol w:w="4920"/>
    </w:tblGrid>
    <w:tr w:rsidR="00100F73" w:rsidRPr="00E56F8B" w14:paraId="4D15BCC1" w14:textId="77777777" w:rsidTr="0011166C">
      <w:tc>
        <w:tcPr>
          <w:tcW w:w="4920" w:type="dxa"/>
          <w:shd w:val="clear" w:color="auto" w:fill="auto"/>
        </w:tcPr>
        <w:p w14:paraId="24132B12" w14:textId="77777777" w:rsidR="00100F73" w:rsidRPr="00E56F8B" w:rsidRDefault="00100F73" w:rsidP="00100F7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fldChar w:fldCharType="end"/>
          </w:r>
        </w:p>
      </w:tc>
      <w:tc>
        <w:tcPr>
          <w:tcW w:w="4920" w:type="dxa"/>
          <w:shd w:val="clear" w:color="auto" w:fill="auto"/>
        </w:tcPr>
        <w:p w14:paraId="0E6829BC" w14:textId="69026BDB" w:rsidR="00100F73" w:rsidRPr="00E56F8B" w:rsidRDefault="00100F73" w:rsidP="00100F73">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88</w:t>
          </w:r>
          <w:r>
            <w:rPr>
              <w:w w:val="103"/>
            </w:rPr>
            <w:fldChar w:fldCharType="end"/>
          </w:r>
          <w:r>
            <w:rPr>
              <w:w w:val="103"/>
            </w:rPr>
            <w:t>/</w:t>
          </w:r>
          <w:r>
            <w:rPr>
              <w:w w:val="103"/>
            </w:rPr>
            <w:fldChar w:fldCharType="begin"/>
          </w:r>
          <w:r>
            <w:rPr>
              <w:w w:val="103"/>
            </w:rPr>
            <w:instrText xml:space="preserve"> PAGEREF  EndPage  \* MERGEFORMAT </w:instrText>
          </w:r>
          <w:r>
            <w:rPr>
              <w:w w:val="103"/>
            </w:rPr>
            <w:fldChar w:fldCharType="separate"/>
          </w:r>
          <w:r w:rsidR="006361FA">
            <w:rPr>
              <w:noProof/>
              <w:w w:val="103"/>
            </w:rPr>
            <w:t>88</w:t>
          </w:r>
          <w:r>
            <w:rPr>
              <w:w w:val="103"/>
            </w:rPr>
            <w:fldChar w:fldCharType="end"/>
          </w:r>
        </w:p>
      </w:tc>
    </w:tr>
  </w:tbl>
  <w:p w14:paraId="57F45EA0" w14:textId="77777777" w:rsidR="002B3B17" w:rsidRPr="00D62B67" w:rsidRDefault="002B3B17" w:rsidP="00D62B67">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2B3B17" w:rsidRPr="00E56F8B" w14:paraId="53AC56A9" w14:textId="77777777" w:rsidTr="00E56F8B">
      <w:tc>
        <w:tcPr>
          <w:tcW w:w="4920" w:type="dxa"/>
          <w:shd w:val="clear" w:color="auto" w:fill="auto"/>
        </w:tcPr>
        <w:p w14:paraId="1108FF21" w14:textId="72238ECC" w:rsidR="002B3B17" w:rsidRPr="00E56F8B" w:rsidRDefault="002B3B17" w:rsidP="00E56F8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20-09292</w:t>
          </w:r>
          <w:r>
            <w:rPr>
              <w:b w:val="0"/>
              <w:w w:val="103"/>
              <w:sz w:val="14"/>
            </w:rPr>
            <w:fldChar w:fldCharType="end"/>
          </w:r>
          <w:r w:rsidRPr="004E6251">
            <w:rPr>
              <w:noProof/>
              <w:w w:val="100"/>
              <w:lang w:val="fr-FR"/>
            </w:rPr>
            <mc:AlternateContent>
              <mc:Choice Requires="wps">
                <w:drawing>
                  <wp:anchor distT="0" distB="0" distL="114300" distR="114300" simplePos="0" relativeHeight="251660288" behindDoc="0" locked="0" layoutInCell="1" allowOverlap="1" wp14:anchorId="5C75C910" wp14:editId="2DAF6193">
                    <wp:simplePos x="0" y="0"/>
                    <wp:positionH relativeFrom="column">
                      <wp:posOffset>0</wp:posOffset>
                    </wp:positionH>
                    <wp:positionV relativeFrom="paragraph">
                      <wp:posOffset>0</wp:posOffset>
                    </wp:positionV>
                    <wp:extent cx="936346" cy="190500"/>
                    <wp:effectExtent l="0" t="0" r="0" b="0"/>
                    <wp:wrapNone/>
                    <wp:docPr id="9" name="Text Box 9"/>
                    <wp:cNvGraphicFramePr/>
                    <a:graphic xmlns:a="http://schemas.openxmlformats.org/drawingml/2006/main">
                      <a:graphicData uri="http://schemas.microsoft.com/office/word/2010/wordprocessingShape">
                        <wps:wsp>
                          <wps:cNvSpPr txBox="1"/>
                          <wps:spPr>
                            <a:xfrm>
                              <a:off x="0" y="0"/>
                              <a:ext cx="936346" cy="190500"/>
                            </a:xfrm>
                            <a:prstGeom prst="rect">
                              <a:avLst/>
                            </a:prstGeom>
                            <a:solidFill>
                              <a:schemeClr val="lt1"/>
                            </a:solidFill>
                            <a:ln w="6350">
                              <a:noFill/>
                            </a:ln>
                          </wps:spPr>
                          <wps:txbx>
                            <w:txbxContent>
                              <w:p w14:paraId="7CF77941" w14:textId="77777777" w:rsidR="002B3B17" w:rsidRDefault="002B3B17" w:rsidP="00001A20"/>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75C910" id="_x0000_t202" coordsize="21600,21600" o:spt="202" path="m,l,21600r21600,l21600,xe">
                    <v:stroke joinstyle="miter"/>
                    <v:path gradientshapeok="t" o:connecttype="rect"/>
                  </v:shapetype>
                  <v:shape id="Text Box 9" o:spid="_x0000_s1026" type="#_x0000_t202" style="position:absolute;margin-left:0;margin-top:0;width:73.75pt;height: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" fillcolor="white [3201]" stroked="f" strokeweight=".5pt">
                    <v:textbox style="layout-flow:vertical-ideographic">
                      <w:txbxContent>
                        <w:p w14:paraId="7CF77941" w14:textId="77777777" w:rsidR="002B3B17" w:rsidRDefault="002B3B17" w:rsidP="00001A20"/>
                      </w:txbxContent>
                    </v:textbox>
                  </v:shape>
                </w:pict>
              </mc:Fallback>
            </mc:AlternateContent>
          </w:r>
        </w:p>
      </w:tc>
      <w:tc>
        <w:tcPr>
          <w:tcW w:w="4920" w:type="dxa"/>
          <w:shd w:val="clear" w:color="auto" w:fill="auto"/>
        </w:tcPr>
        <w:p w14:paraId="213043F8" w14:textId="71EC22AC" w:rsidR="002B3B17" w:rsidRPr="00E56F8B" w:rsidRDefault="002B3B17" w:rsidP="00E56F8B">
          <w:pPr>
            <w:pStyle w:val="Footer"/>
            <w:jc w:val="right"/>
            <w:rPr>
              <w:w w:val="103"/>
            </w:rPr>
          </w:pPr>
          <w:r>
            <w:rPr>
              <w:w w:val="103"/>
            </w:rPr>
            <w:fldChar w:fldCharType="begin"/>
          </w:r>
          <w:r>
            <w:rPr>
              <w:w w:val="103"/>
            </w:rPr>
            <w:instrText xml:space="preserve"> PAGE  \* Arabic  \* MERGEFORMAT </w:instrText>
          </w:r>
          <w:r>
            <w:rPr>
              <w:w w:val="103"/>
            </w:rPr>
            <w:fldChar w:fldCharType="separate"/>
          </w:r>
          <w:r>
            <w:t>138</w:t>
          </w:r>
          <w:r>
            <w:rPr>
              <w:w w:val="103"/>
            </w:rPr>
            <w:fldChar w:fldCharType="end"/>
          </w:r>
          <w:r>
            <w:rPr>
              <w:w w:val="103"/>
            </w:rPr>
            <w:t>/</w:t>
          </w:r>
          <w:r w:rsidRPr="00EB77CE">
            <w:rPr>
              <w:w w:val="103"/>
            </w:rPr>
            <w:fldChar w:fldCharType="begin"/>
          </w:r>
          <w:r w:rsidRPr="00EB77CE">
            <w:rPr>
              <w:w w:val="103"/>
            </w:rPr>
            <w:instrText xml:space="preserve"> PAGEREF  EndPage  \* MERGEFORMAT </w:instrText>
          </w:r>
          <w:r w:rsidRPr="00EB77CE">
            <w:rPr>
              <w:w w:val="103"/>
            </w:rPr>
            <w:fldChar w:fldCharType="separate"/>
          </w:r>
          <w:r w:rsidR="00100F73">
            <w:rPr>
              <w:noProof/>
              <w:w w:val="103"/>
            </w:rPr>
            <w:t>92</w:t>
          </w:r>
          <w:r w:rsidRPr="00EB77CE">
            <w:rPr>
              <w:w w:val="103"/>
            </w:rPr>
            <w:fldChar w:fldCharType="end"/>
          </w:r>
        </w:p>
      </w:tc>
    </w:tr>
  </w:tbl>
  <w:p w14:paraId="3CEDD1C2" w14:textId="77777777" w:rsidR="002B3B17" w:rsidRDefault="002B3B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2B3B17" w:rsidRPr="00E56F8B" w14:paraId="190794DC" w14:textId="77777777" w:rsidTr="00E56F8B">
      <w:tc>
        <w:tcPr>
          <w:tcW w:w="4920" w:type="dxa"/>
          <w:shd w:val="clear" w:color="auto" w:fill="auto"/>
        </w:tcPr>
        <w:p w14:paraId="60CD0612" w14:textId="6D452D44" w:rsidR="002B3B17" w:rsidRPr="00E56F8B" w:rsidRDefault="002B3B17" w:rsidP="00E56F8B">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87</w:t>
          </w:r>
          <w:r>
            <w:rPr>
              <w:w w:val="103"/>
            </w:rPr>
            <w:fldChar w:fldCharType="end"/>
          </w:r>
          <w:r>
            <w:rPr>
              <w:w w:val="103"/>
            </w:rPr>
            <w:t>/</w:t>
          </w:r>
          <w:r>
            <w:rPr>
              <w:w w:val="103"/>
            </w:rPr>
            <w:fldChar w:fldCharType="begin"/>
          </w:r>
          <w:r>
            <w:rPr>
              <w:w w:val="103"/>
            </w:rPr>
            <w:instrText xml:space="preserve"> PAGEREF  EndPage  \* MERGEFORMAT </w:instrText>
          </w:r>
          <w:r>
            <w:rPr>
              <w:w w:val="103"/>
            </w:rPr>
            <w:fldChar w:fldCharType="separate"/>
          </w:r>
          <w:r w:rsidR="006361FA">
            <w:rPr>
              <w:noProof/>
              <w:w w:val="103"/>
            </w:rPr>
            <w:t>88</w:t>
          </w:r>
          <w:r>
            <w:rPr>
              <w:w w:val="103"/>
            </w:rPr>
            <w:fldChar w:fldCharType="end"/>
          </w:r>
        </w:p>
      </w:tc>
      <w:tc>
        <w:tcPr>
          <w:tcW w:w="4920" w:type="dxa"/>
          <w:shd w:val="clear" w:color="auto" w:fill="auto"/>
        </w:tcPr>
        <w:p w14:paraId="346EC851" w14:textId="46D496D1" w:rsidR="002B3B17" w:rsidRPr="00E56F8B" w:rsidRDefault="002B3B17" w:rsidP="00E56F8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fldChar w:fldCharType="end"/>
          </w:r>
        </w:p>
      </w:tc>
    </w:tr>
  </w:tbl>
  <w:p w14:paraId="4A1EB0A0" w14:textId="77777777" w:rsidR="002B3B17" w:rsidRDefault="002B3B1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2B3B17" w:rsidRPr="00E56F8B" w14:paraId="2D82906E" w14:textId="77777777" w:rsidTr="00E56F8B">
      <w:tc>
        <w:tcPr>
          <w:tcW w:w="4920" w:type="dxa"/>
          <w:shd w:val="clear" w:color="auto" w:fill="auto"/>
        </w:tcPr>
        <w:p w14:paraId="1BC79B9D" w14:textId="2AC3B301" w:rsidR="002B3B17" w:rsidRPr="00E56F8B" w:rsidRDefault="002B3B17" w:rsidP="00E56F8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fldChar w:fldCharType="end"/>
          </w:r>
        </w:p>
      </w:tc>
      <w:tc>
        <w:tcPr>
          <w:tcW w:w="4920" w:type="dxa"/>
          <w:shd w:val="clear" w:color="auto" w:fill="auto"/>
        </w:tcPr>
        <w:p w14:paraId="53A9A097" w14:textId="519939CF" w:rsidR="002B3B17" w:rsidRPr="00E56F8B" w:rsidRDefault="002B3B17" w:rsidP="00E56F8B">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88</w:t>
          </w:r>
          <w:r>
            <w:rPr>
              <w:w w:val="103"/>
            </w:rPr>
            <w:fldChar w:fldCharType="end"/>
          </w:r>
          <w:r>
            <w:rPr>
              <w:w w:val="103"/>
            </w:rPr>
            <w:t>/</w:t>
          </w:r>
          <w:r>
            <w:rPr>
              <w:w w:val="103"/>
            </w:rPr>
            <w:fldChar w:fldCharType="begin"/>
          </w:r>
          <w:r>
            <w:rPr>
              <w:w w:val="103"/>
            </w:rPr>
            <w:instrText xml:space="preserve"> PAGEREF  EndPage  \* MERGEFORMAT </w:instrText>
          </w:r>
          <w:r>
            <w:rPr>
              <w:w w:val="103"/>
            </w:rPr>
            <w:fldChar w:fldCharType="separate"/>
          </w:r>
          <w:r w:rsidR="006361FA">
            <w:rPr>
              <w:noProof/>
              <w:w w:val="103"/>
            </w:rPr>
            <w:t>88</w:t>
          </w:r>
          <w:r>
            <w:rPr>
              <w:w w:val="103"/>
            </w:rPr>
            <w:fldChar w:fldCharType="end"/>
          </w:r>
        </w:p>
      </w:tc>
    </w:tr>
  </w:tbl>
  <w:p w14:paraId="725FEB99" w14:textId="77777777" w:rsidR="002B3B17" w:rsidRDefault="002B3B1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2B3B17" w:rsidRPr="005720FB" w14:paraId="6066566F" w14:textId="77777777" w:rsidTr="005720FB">
      <w:trPr>
        <w:cantSplit/>
        <w:trHeight w:val="4925"/>
      </w:trPr>
      <w:tc>
        <w:tcPr>
          <w:tcW w:w="9830" w:type="dxa"/>
          <w:shd w:val="clear" w:color="auto" w:fill="auto"/>
          <w:textDirection w:val="tbRl"/>
        </w:tcPr>
        <w:p w14:paraId="7A99267C" w14:textId="34B2C689" w:rsidR="002B3B17" w:rsidRPr="005720FB" w:rsidRDefault="002B3B17" w:rsidP="005720FB">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Pr>
              <w:noProof/>
              <w:w w:val="103"/>
            </w:rPr>
            <w:t>91</w:t>
          </w:r>
          <w:r>
            <w:rPr>
              <w:w w:val="103"/>
            </w:rPr>
            <w:fldChar w:fldCharType="end"/>
          </w:r>
          <w:r>
            <w:rPr>
              <w:w w:val="103"/>
            </w:rPr>
            <w:t>/</w:t>
          </w:r>
          <w:r>
            <w:rPr>
              <w:w w:val="103"/>
            </w:rPr>
            <w:fldChar w:fldCharType="begin"/>
          </w:r>
          <w:r>
            <w:rPr>
              <w:w w:val="103"/>
            </w:rPr>
            <w:instrText xml:space="preserve"> PAGEREF  EndPage  \* MERGEFORMAT </w:instrText>
          </w:r>
          <w:r>
            <w:rPr>
              <w:w w:val="103"/>
            </w:rPr>
            <w:fldChar w:fldCharType="separate"/>
          </w:r>
          <w:r w:rsidR="00B34E1B">
            <w:rPr>
              <w:noProof/>
              <w:w w:val="103"/>
            </w:rPr>
            <w:t>88</w:t>
          </w:r>
          <w:r>
            <w:rPr>
              <w:w w:val="103"/>
            </w:rPr>
            <w:fldChar w:fldCharType="end"/>
          </w:r>
        </w:p>
      </w:tc>
    </w:tr>
    <w:tr w:rsidR="002B3B17" w:rsidRPr="005720FB" w14:paraId="4135FED2" w14:textId="77777777" w:rsidTr="005720FB">
      <w:trPr>
        <w:cantSplit/>
        <w:trHeight w:val="4925"/>
      </w:trPr>
      <w:tc>
        <w:tcPr>
          <w:tcW w:w="9830" w:type="dxa"/>
          <w:shd w:val="clear" w:color="auto" w:fill="auto"/>
          <w:textDirection w:val="tbRl"/>
        </w:tcPr>
        <w:p w14:paraId="510ED609" w14:textId="0411164F" w:rsidR="002B3B17" w:rsidRPr="005720FB" w:rsidRDefault="002B3B17" w:rsidP="005720FB">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2</w:t>
          </w:r>
          <w:r>
            <w:rPr>
              <w:b w:val="0"/>
              <w:w w:val="103"/>
              <w:sz w:val="14"/>
            </w:rPr>
            <w:fldChar w:fldCharType="end"/>
          </w:r>
        </w:p>
      </w:tc>
    </w:tr>
  </w:tbl>
  <w:p w14:paraId="2C7EA80C" w14:textId="77777777" w:rsidR="002B3B17" w:rsidRPr="005720FB" w:rsidRDefault="002B3B17" w:rsidP="005720F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2B3B17" w:rsidRPr="005720FB" w14:paraId="6B81B9F7" w14:textId="77777777" w:rsidTr="005720FB">
      <w:trPr>
        <w:cantSplit/>
        <w:trHeight w:val="4925"/>
      </w:trPr>
      <w:tc>
        <w:tcPr>
          <w:tcW w:w="9830" w:type="dxa"/>
          <w:shd w:val="clear" w:color="auto" w:fill="auto"/>
          <w:textDirection w:val="tbRl"/>
        </w:tcPr>
        <w:p w14:paraId="5EBF49DE" w14:textId="4448EE3B" w:rsidR="002B3B17" w:rsidRPr="005720FB" w:rsidRDefault="002B3B17" w:rsidP="005720FB">
          <w:pPr>
            <w:pStyle w:val="Footer"/>
            <w:spacing w:line="240" w:lineRule="auto"/>
            <w:rPr>
              <w:b w:val="0"/>
              <w:w w:val="103"/>
              <w:sz w:val="14"/>
            </w:rPr>
          </w:pPr>
        </w:p>
      </w:tc>
    </w:tr>
    <w:tr w:rsidR="002B3B17" w:rsidRPr="005720FB" w14:paraId="1A184A5F" w14:textId="77777777" w:rsidTr="005720FB">
      <w:trPr>
        <w:cantSplit/>
        <w:trHeight w:val="4925"/>
      </w:trPr>
      <w:tc>
        <w:tcPr>
          <w:tcW w:w="9830" w:type="dxa"/>
          <w:shd w:val="clear" w:color="auto" w:fill="auto"/>
          <w:textDirection w:val="tbRl"/>
        </w:tcPr>
        <w:p w14:paraId="6AC81D48" w14:textId="614D3FDA" w:rsidR="002B3B17" w:rsidRPr="005720FB" w:rsidRDefault="002B3B17" w:rsidP="005720FB">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Pr>
              <w:noProof/>
              <w:w w:val="103"/>
            </w:rPr>
            <w:t>90</w:t>
          </w:r>
          <w:r>
            <w:rPr>
              <w:w w:val="103"/>
            </w:rPr>
            <w:fldChar w:fldCharType="end"/>
          </w:r>
          <w:r>
            <w:rPr>
              <w:w w:val="103"/>
            </w:rPr>
            <w:t>/</w:t>
          </w:r>
          <w:r>
            <w:rPr>
              <w:w w:val="103"/>
            </w:rPr>
            <w:fldChar w:fldCharType="begin"/>
          </w:r>
          <w:r>
            <w:rPr>
              <w:w w:val="103"/>
            </w:rPr>
            <w:instrText xml:space="preserve"> PAGEREF  EndPage  \* MERGEFORMAT </w:instrText>
          </w:r>
          <w:r>
            <w:rPr>
              <w:w w:val="103"/>
            </w:rPr>
            <w:fldChar w:fldCharType="separate"/>
          </w:r>
          <w:r w:rsidR="00B34E1B">
            <w:rPr>
              <w:noProof/>
              <w:w w:val="103"/>
            </w:rPr>
            <w:t>88</w:t>
          </w:r>
          <w:r>
            <w:rPr>
              <w:w w:val="103"/>
            </w:rPr>
            <w:fldChar w:fldCharType="end"/>
          </w:r>
        </w:p>
      </w:tc>
    </w:tr>
  </w:tbl>
  <w:p w14:paraId="2ADC0DF1" w14:textId="77777777" w:rsidR="002B3B17" w:rsidRPr="005720FB" w:rsidRDefault="002B3B17" w:rsidP="005720F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2B3B17" w:rsidRPr="00E56F8B" w14:paraId="3A26510E" w14:textId="77777777" w:rsidTr="00E56F8B">
      <w:tc>
        <w:tcPr>
          <w:tcW w:w="4920" w:type="dxa"/>
          <w:shd w:val="clear" w:color="auto" w:fill="auto"/>
        </w:tcPr>
        <w:p w14:paraId="0847DB84" w14:textId="653AB43A" w:rsidR="002B3B17" w:rsidRPr="00E56F8B" w:rsidRDefault="002B3B17" w:rsidP="00E56F8B">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93</w:t>
          </w:r>
          <w:r>
            <w:rPr>
              <w:w w:val="103"/>
            </w:rPr>
            <w:fldChar w:fldCharType="end"/>
          </w:r>
          <w:r>
            <w:rPr>
              <w:w w:val="103"/>
            </w:rPr>
            <w:t>/</w:t>
          </w:r>
          <w:r>
            <w:rPr>
              <w:w w:val="103"/>
            </w:rPr>
            <w:fldChar w:fldCharType="begin"/>
          </w:r>
          <w:r>
            <w:rPr>
              <w:w w:val="103"/>
            </w:rPr>
            <w:instrText xml:space="preserve"> PAGEREF  EndPage  \* MERGEFORMAT </w:instrText>
          </w:r>
          <w:r>
            <w:rPr>
              <w:w w:val="103"/>
            </w:rPr>
            <w:fldChar w:fldCharType="separate"/>
          </w:r>
          <w:r w:rsidR="00B34E1B">
            <w:rPr>
              <w:noProof/>
              <w:w w:val="103"/>
            </w:rPr>
            <w:t>88</w:t>
          </w:r>
          <w:r>
            <w:rPr>
              <w:w w:val="103"/>
            </w:rPr>
            <w:fldChar w:fldCharType="end"/>
          </w:r>
        </w:p>
      </w:tc>
      <w:tc>
        <w:tcPr>
          <w:tcW w:w="4920" w:type="dxa"/>
          <w:shd w:val="clear" w:color="auto" w:fill="auto"/>
        </w:tcPr>
        <w:p w14:paraId="47BD099B" w14:textId="40E62A07" w:rsidR="002B3B17" w:rsidRPr="00E56F8B" w:rsidRDefault="002B3B17" w:rsidP="00E56F8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fldChar w:fldCharType="end"/>
          </w:r>
        </w:p>
      </w:tc>
    </w:tr>
  </w:tbl>
  <w:p w14:paraId="0966ED86" w14:textId="77777777" w:rsidR="002B3B17" w:rsidRDefault="002B3B1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2B3B17" w:rsidRPr="00E56F8B" w14:paraId="3B6AD917" w14:textId="77777777" w:rsidTr="00E56F8B">
      <w:tc>
        <w:tcPr>
          <w:tcW w:w="4920" w:type="dxa"/>
          <w:shd w:val="clear" w:color="auto" w:fill="auto"/>
        </w:tcPr>
        <w:p w14:paraId="7DE2FE6D" w14:textId="438F3C73" w:rsidR="002B3B17" w:rsidRPr="00E56F8B" w:rsidRDefault="002B3B17" w:rsidP="00E56F8B">
          <w:pPr>
            <w:pStyle w:val="Footer"/>
            <w:rPr>
              <w:b w:val="0"/>
              <w:w w:val="103"/>
              <w:sz w:val="14"/>
            </w:rPr>
          </w:pPr>
        </w:p>
      </w:tc>
      <w:tc>
        <w:tcPr>
          <w:tcW w:w="4920" w:type="dxa"/>
          <w:shd w:val="clear" w:color="auto" w:fill="auto"/>
        </w:tcPr>
        <w:p w14:paraId="0847894C" w14:textId="52A479DD" w:rsidR="002B3B17" w:rsidRPr="00E56F8B" w:rsidRDefault="002B3B17" w:rsidP="00E56F8B">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92</w:t>
          </w:r>
          <w:r>
            <w:rPr>
              <w:w w:val="103"/>
            </w:rPr>
            <w:fldChar w:fldCharType="end"/>
          </w:r>
          <w:r>
            <w:rPr>
              <w:w w:val="103"/>
            </w:rPr>
            <w:t>/</w:t>
          </w:r>
          <w:r>
            <w:rPr>
              <w:w w:val="103"/>
            </w:rPr>
            <w:fldChar w:fldCharType="begin"/>
          </w:r>
          <w:r>
            <w:rPr>
              <w:w w:val="103"/>
            </w:rPr>
            <w:instrText xml:space="preserve"> PAGEREF  EndPage  \* MERGEFORMAT </w:instrText>
          </w:r>
          <w:r>
            <w:rPr>
              <w:w w:val="103"/>
            </w:rPr>
            <w:fldChar w:fldCharType="separate"/>
          </w:r>
          <w:r w:rsidR="00B34E1B">
            <w:rPr>
              <w:noProof/>
              <w:w w:val="103"/>
            </w:rPr>
            <w:t>88</w:t>
          </w:r>
          <w:r>
            <w:rPr>
              <w:w w:val="103"/>
            </w:rPr>
            <w:fldChar w:fldCharType="end"/>
          </w:r>
        </w:p>
      </w:tc>
    </w:tr>
  </w:tbl>
  <w:p w14:paraId="48A10C85" w14:textId="77777777" w:rsidR="002B3B17" w:rsidRDefault="002B3B17"/>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2B3B17" w:rsidRPr="00744544" w14:paraId="686DC962" w14:textId="77777777" w:rsidTr="00744544">
      <w:trPr>
        <w:cantSplit/>
        <w:trHeight w:val="4925"/>
      </w:trPr>
      <w:tc>
        <w:tcPr>
          <w:tcW w:w="9830" w:type="dxa"/>
          <w:shd w:val="clear" w:color="auto" w:fill="auto"/>
          <w:textDirection w:val="tbRl"/>
        </w:tcPr>
        <w:p w14:paraId="57A17762" w14:textId="580FED60" w:rsidR="002B3B17" w:rsidRPr="00744544" w:rsidRDefault="002B3B17" w:rsidP="00744544">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Pr>
              <w:noProof/>
              <w:w w:val="103"/>
            </w:rPr>
            <w:t>97</w:t>
          </w:r>
          <w:r>
            <w:rPr>
              <w:w w:val="103"/>
            </w:rPr>
            <w:fldChar w:fldCharType="end"/>
          </w:r>
          <w:r>
            <w:rPr>
              <w:w w:val="103"/>
            </w:rPr>
            <w:t>/</w:t>
          </w:r>
          <w:r>
            <w:rPr>
              <w:w w:val="103"/>
            </w:rPr>
            <w:fldChar w:fldCharType="begin"/>
          </w:r>
          <w:r>
            <w:rPr>
              <w:w w:val="103"/>
            </w:rPr>
            <w:instrText xml:space="preserve"> PAGEREF  EndPage  \* MERGEFORMAT </w:instrText>
          </w:r>
          <w:r>
            <w:rPr>
              <w:w w:val="103"/>
            </w:rPr>
            <w:fldChar w:fldCharType="separate"/>
          </w:r>
          <w:r w:rsidR="00B34E1B">
            <w:rPr>
              <w:noProof/>
              <w:w w:val="103"/>
            </w:rPr>
            <w:t>88</w:t>
          </w:r>
          <w:r>
            <w:rPr>
              <w:w w:val="103"/>
            </w:rPr>
            <w:fldChar w:fldCharType="end"/>
          </w:r>
        </w:p>
      </w:tc>
    </w:tr>
    <w:tr w:rsidR="002B3B17" w:rsidRPr="00744544" w14:paraId="11818362" w14:textId="77777777" w:rsidTr="00744544">
      <w:trPr>
        <w:cantSplit/>
        <w:trHeight w:val="4925"/>
      </w:trPr>
      <w:tc>
        <w:tcPr>
          <w:tcW w:w="9830" w:type="dxa"/>
          <w:shd w:val="clear" w:color="auto" w:fill="auto"/>
          <w:textDirection w:val="tbRl"/>
        </w:tcPr>
        <w:p w14:paraId="56D3AC30" w14:textId="69EDD6CE" w:rsidR="002B3B17" w:rsidRPr="00744544" w:rsidRDefault="002B3B17" w:rsidP="00744544">
          <w:pPr>
            <w:pStyle w:val="Footer"/>
            <w:spacing w:line="240" w:lineRule="auto"/>
            <w:jc w:val="right"/>
            <w:rPr>
              <w:b w:val="0"/>
              <w:w w:val="103"/>
              <w:sz w:val="14"/>
            </w:rPr>
          </w:pPr>
        </w:p>
      </w:tc>
    </w:tr>
  </w:tbl>
  <w:p w14:paraId="56E0BB35" w14:textId="77777777" w:rsidR="002B3B17" w:rsidRPr="00744544" w:rsidRDefault="002B3B17" w:rsidP="00744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CE029" w14:textId="77777777" w:rsidR="005D5AF3" w:rsidRPr="00225C0F" w:rsidRDefault="005D5AF3" w:rsidP="00225C0F">
      <w:pPr>
        <w:pStyle w:val="Footer"/>
        <w:spacing w:after="80"/>
        <w:ind w:left="792"/>
        <w:rPr>
          <w:sz w:val="16"/>
        </w:rPr>
      </w:pPr>
      <w:r w:rsidRPr="00225C0F">
        <w:rPr>
          <w:sz w:val="16"/>
        </w:rPr>
        <w:t>__________________</w:t>
      </w:r>
    </w:p>
  </w:footnote>
  <w:footnote w:type="continuationSeparator" w:id="0">
    <w:p w14:paraId="5F6176E8" w14:textId="77777777" w:rsidR="005D5AF3" w:rsidRPr="00225C0F" w:rsidRDefault="005D5AF3" w:rsidP="00225C0F">
      <w:pPr>
        <w:pStyle w:val="Footer"/>
        <w:spacing w:after="80"/>
        <w:ind w:left="792"/>
        <w:rPr>
          <w:sz w:val="16"/>
        </w:rPr>
      </w:pPr>
      <w:r w:rsidRPr="00225C0F">
        <w:rPr>
          <w:sz w:val="16"/>
        </w:rPr>
        <w:t>__________________</w:t>
      </w:r>
    </w:p>
  </w:footnote>
  <w:footnote w:id="1">
    <w:p w14:paraId="6632C8A4" w14:textId="77777777" w:rsidR="002B3B17" w:rsidRPr="00225C0F" w:rsidRDefault="002B3B17" w:rsidP="00225C0F">
      <w:pPr>
        <w:pStyle w:val="FootnoteText"/>
        <w:tabs>
          <w:tab w:val="right" w:pos="1195"/>
          <w:tab w:val="left" w:pos="1267"/>
          <w:tab w:val="left" w:pos="1742"/>
          <w:tab w:val="left" w:pos="2218"/>
          <w:tab w:val="left" w:pos="2693"/>
        </w:tabs>
        <w:suppressAutoHyphens/>
        <w:ind w:left="1267" w:right="1260" w:hanging="576"/>
        <w:rPr>
          <w:lang w:val="fr-FR"/>
        </w:rPr>
      </w:pPr>
      <w:r>
        <w:rPr>
          <w:lang w:val="fr-FR"/>
        </w:rPr>
        <w:tab/>
      </w:r>
      <w:r w:rsidRPr="003C2DCA">
        <w:rPr>
          <w:rStyle w:val="FootnoteReference"/>
          <w:spacing w:val="4"/>
          <w:lang w:val="fr-FR"/>
        </w:rPr>
        <w:footnoteRef/>
      </w:r>
      <w:r w:rsidRPr="00225C0F">
        <w:rPr>
          <w:lang w:val="fr-FR"/>
        </w:rPr>
        <w:tab/>
        <w:t xml:space="preserve">Les règles de gestion financière de la Caisse commune des pensions du personnel des Nations Unies ont été promulguées, avec effet au </w:t>
      </w:r>
      <w:r w:rsidRPr="003C2DCA">
        <w:rPr>
          <w:lang w:val="fr-FR"/>
        </w:rPr>
        <w:t>1</w:t>
      </w:r>
      <w:r w:rsidRPr="00225C0F">
        <w:rPr>
          <w:vertAlign w:val="superscript"/>
          <w:lang w:val="fr-FR"/>
        </w:rPr>
        <w:t>er</w:t>
      </w:r>
      <w:r w:rsidRPr="00225C0F">
        <w:rPr>
          <w:lang w:val="fr-FR"/>
        </w:rPr>
        <w:t xml:space="preserve"> janvier </w:t>
      </w:r>
      <w:r w:rsidRPr="003C2DCA">
        <w:rPr>
          <w:lang w:val="fr-FR"/>
        </w:rPr>
        <w:t>2017</w:t>
      </w:r>
      <w:r w:rsidRPr="00225C0F">
        <w:rPr>
          <w:lang w:val="fr-FR"/>
        </w:rPr>
        <w:t xml:space="preserve">, par le Comité mixte de la Caisse des pensions, conformément à l’article </w:t>
      </w:r>
      <w:r w:rsidRPr="003C2DCA">
        <w:rPr>
          <w:lang w:val="fr-FR"/>
        </w:rPr>
        <w:t>4</w:t>
      </w:r>
      <w:r w:rsidRPr="00225C0F">
        <w:rPr>
          <w:lang w:val="fr-FR"/>
        </w:rPr>
        <w:t xml:space="preserve"> b) des Statuts de la Caisse. Sous réserve des dispositions des Statuts de la Caisse et des résolutions et décisions de l’Assemblée générale relatives aux opérations financières de la Caisse, ces règles financières régissent la gestion et l’administration financières de la Caisse et doivent être lues conjointement avec le Règlement administratif. Pour les questions qui ne sont pas spécifiquement couvertes par ces règles, les dispositions appropriées du Règlement financier et des règles de gestion financière de l’Organisation des Nations Unies s’appliquent, </w:t>
      </w:r>
      <w:r w:rsidRPr="003C2DCA">
        <w:rPr>
          <w:i/>
          <w:iCs/>
          <w:lang w:val="fr-FR"/>
        </w:rPr>
        <w:t>mutatis mutandis</w:t>
      </w:r>
      <w:r w:rsidRPr="00225C0F">
        <w:rPr>
          <w:lang w:val="fr-FR"/>
        </w:rPr>
        <w:t>.</w:t>
      </w:r>
    </w:p>
  </w:footnote>
  <w:footnote w:id="2">
    <w:p w14:paraId="3DB2BFCB" w14:textId="77777777" w:rsidR="002B3B17" w:rsidRPr="00225C0F" w:rsidRDefault="002B3B17" w:rsidP="00225C0F">
      <w:pPr>
        <w:pStyle w:val="FootnoteText"/>
        <w:tabs>
          <w:tab w:val="right" w:pos="1195"/>
          <w:tab w:val="left" w:pos="1267"/>
          <w:tab w:val="left" w:pos="1742"/>
          <w:tab w:val="left" w:pos="2218"/>
          <w:tab w:val="left" w:pos="2693"/>
        </w:tabs>
        <w:suppressAutoHyphens/>
        <w:ind w:left="1267" w:right="1260" w:hanging="576"/>
        <w:rPr>
          <w:szCs w:val="17"/>
          <w:lang w:val="fr-FR"/>
        </w:rPr>
      </w:pPr>
      <w:r>
        <w:rPr>
          <w:lang w:val="fr-FR"/>
        </w:rPr>
        <w:tab/>
      </w:r>
      <w:r w:rsidRPr="003C2DCA">
        <w:rPr>
          <w:rStyle w:val="FootnoteReference"/>
          <w:spacing w:val="4"/>
          <w:lang w:val="fr-FR"/>
        </w:rPr>
        <w:footnoteRef/>
      </w:r>
      <w:r w:rsidRPr="00225C0F">
        <w:rPr>
          <w:lang w:val="fr-FR"/>
        </w:rPr>
        <w:tab/>
        <w:t>Les actifs et passifs autres que financiers n’apparaissent pas dans ce tableau, car la présente analyse n’est requise que pour les instruments financiers.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B38D1" w14:textId="77777777" w:rsidR="002B3B17" w:rsidRPr="00B34E1B" w:rsidRDefault="002B3B17" w:rsidP="00B34E1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3C7D6" w14:textId="77777777" w:rsidR="002B3B17" w:rsidRPr="002B3B17" w:rsidRDefault="002B3B17" w:rsidP="002B3B1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E0F73" w14:textId="77777777" w:rsidR="002B3B17" w:rsidRPr="00312981" w:rsidRDefault="002B3B17" w:rsidP="0031298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3D652" w14:textId="77777777" w:rsidR="002B3B17" w:rsidRPr="00F423A2" w:rsidRDefault="002B3B17" w:rsidP="00744544">
    <w:pPr>
      <w:pStyle w:val="Header"/>
      <w:rPr>
        <w:lang w:val="fr-CA"/>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2B3B17" w:rsidRPr="00744544" w14:paraId="2B02FFB4" w14:textId="77777777" w:rsidTr="00744544">
      <w:trPr>
        <w:trHeight w:val="4925"/>
      </w:trPr>
      <w:tc>
        <w:tcPr>
          <w:tcW w:w="9830" w:type="dxa"/>
          <w:shd w:val="clear" w:color="auto" w:fill="auto"/>
          <w:vAlign w:val="bottom"/>
        </w:tcPr>
        <w:p w14:paraId="406CDA64" w14:textId="77777777" w:rsidR="002B3B17" w:rsidRPr="00744544" w:rsidRDefault="002B3B17" w:rsidP="00744544">
          <w:pPr>
            <w:pStyle w:val="Header"/>
            <w:spacing w:line="240" w:lineRule="auto"/>
            <w:ind w:left="14" w:right="14"/>
            <w:jc w:val="right"/>
            <w:rPr>
              <w:bCs/>
              <w:w w:val="103"/>
              <w:szCs w:val="26"/>
            </w:rPr>
          </w:pPr>
        </w:p>
      </w:tc>
    </w:tr>
    <w:tr w:rsidR="002B3B17" w:rsidRPr="00744544" w14:paraId="1A3DF7FE" w14:textId="77777777" w:rsidTr="00744544">
      <w:trPr>
        <w:cantSplit/>
        <w:trHeight w:val="4925"/>
      </w:trPr>
      <w:tc>
        <w:tcPr>
          <w:tcW w:w="9830" w:type="dxa"/>
          <w:shd w:val="clear" w:color="auto" w:fill="auto"/>
          <w:textDirection w:val="tbRl"/>
          <w:vAlign w:val="bottom"/>
        </w:tcPr>
        <w:p w14:paraId="2D1859E9" w14:textId="0E8762FE" w:rsidR="002B3B17" w:rsidRPr="00744544" w:rsidRDefault="002B3B17" w:rsidP="00744544">
          <w:pPr>
            <w:pStyle w:val="Header"/>
            <w:spacing w:line="240" w:lineRule="auto"/>
            <w:ind w:left="14" w:right="14"/>
            <w:jc w:val="right"/>
            <w:rPr>
              <w:b/>
              <w:bCs/>
              <w:w w:val="103"/>
              <w:szCs w:val="26"/>
            </w:rPr>
          </w:pPr>
          <w:r w:rsidRPr="00744544">
            <w:rPr>
              <w:b/>
              <w:bCs/>
              <w:w w:val="103"/>
              <w:szCs w:val="26"/>
            </w:rPr>
            <w:fldChar w:fldCharType="begin"/>
          </w:r>
          <w:r w:rsidRPr="00744544">
            <w:rPr>
              <w:b/>
              <w:bCs/>
              <w:w w:val="103"/>
              <w:szCs w:val="26"/>
            </w:rPr>
            <w:instrText xml:space="preserve"> DOCVARIABLE "sss1" \* MERGEFORMAT </w:instrText>
          </w:r>
          <w:r w:rsidRPr="00744544">
            <w:rPr>
              <w:b/>
              <w:bCs/>
              <w:w w:val="103"/>
              <w:szCs w:val="26"/>
            </w:rPr>
            <w:fldChar w:fldCharType="separate"/>
          </w:r>
          <w:r>
            <w:rPr>
              <w:b/>
              <w:bCs/>
              <w:w w:val="103"/>
              <w:szCs w:val="26"/>
            </w:rPr>
            <w:t>A/75/5/Add.16</w:t>
          </w:r>
          <w:r w:rsidRPr="00744544">
            <w:rPr>
              <w:b/>
              <w:bCs/>
              <w:w w:val="103"/>
              <w:szCs w:val="26"/>
            </w:rPr>
            <w:fldChar w:fldCharType="end"/>
          </w:r>
        </w:p>
      </w:tc>
    </w:tr>
  </w:tbl>
  <w:p w14:paraId="513E9ADE" w14:textId="77777777" w:rsidR="002B3B17" w:rsidRPr="00744544" w:rsidRDefault="002B3B17" w:rsidP="0074454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46F03" w14:textId="77777777" w:rsidR="002B3B17" w:rsidRPr="00312981" w:rsidRDefault="002B3B17" w:rsidP="0031298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2DBE1" w14:textId="77777777" w:rsidR="002B3B17" w:rsidRPr="00E56F8B" w:rsidRDefault="002B3B17" w:rsidP="00E56F8B">
    <w:pPr>
      <w:pStyle w:val="Header"/>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77B8F" w14:textId="77777777" w:rsidR="002B3B17" w:rsidRPr="00AC3515" w:rsidRDefault="002B3B17" w:rsidP="00753AB8">
    <w:pPr>
      <w:pStyle w:val="Header"/>
      <w:rPr>
        <w:lang w:val="fr-CA"/>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2B3B17" w:rsidRPr="00753AB8" w14:paraId="16DA1144" w14:textId="77777777" w:rsidTr="00F423A2">
      <w:trPr>
        <w:cantSplit/>
        <w:trHeight w:val="4925"/>
      </w:trPr>
      <w:tc>
        <w:tcPr>
          <w:tcW w:w="13238" w:type="dxa"/>
          <w:shd w:val="clear" w:color="auto" w:fill="auto"/>
          <w:textDirection w:val="tbRl"/>
          <w:vAlign w:val="bottom"/>
        </w:tcPr>
        <w:p w14:paraId="25C1CCC9" w14:textId="10012A8D" w:rsidR="002B3B17" w:rsidRPr="00F423A2" w:rsidRDefault="002B3B17" w:rsidP="00312981">
          <w:pPr>
            <w:pStyle w:val="Header"/>
            <w:spacing w:line="240" w:lineRule="auto"/>
            <w:ind w:left="113" w:right="14"/>
            <w:rPr>
              <w:bCs/>
              <w:w w:val="103"/>
              <w:szCs w:val="26"/>
              <w:lang w:val="fr-CA"/>
            </w:rPr>
          </w:pPr>
        </w:p>
      </w:tc>
    </w:tr>
  </w:tbl>
  <w:p w14:paraId="13141E82" w14:textId="77777777" w:rsidR="002B3B17" w:rsidRPr="00753AB8" w:rsidRDefault="002B3B17" w:rsidP="00753AB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D81CF" w14:textId="77777777" w:rsidR="002B3B17" w:rsidRPr="00312981" w:rsidRDefault="002B3B17" w:rsidP="0031298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2B3B17" w14:paraId="6761A7C5" w14:textId="77777777" w:rsidTr="00E56F8B">
      <w:trPr>
        <w:trHeight w:hRule="exact" w:val="864"/>
      </w:trPr>
      <w:tc>
        <w:tcPr>
          <w:tcW w:w="4920" w:type="dxa"/>
          <w:shd w:val="clear" w:color="auto" w:fill="auto"/>
          <w:vAlign w:val="bottom"/>
        </w:tcPr>
        <w:p w14:paraId="0984C010" w14:textId="7E698054" w:rsidR="002B3B17" w:rsidRPr="00AC3515" w:rsidRDefault="002B3B17" w:rsidP="00AC3515">
          <w:pPr>
            <w:pStyle w:val="Header"/>
            <w:spacing w:after="80"/>
            <w:rPr>
              <w:lang w:val="fr-CA"/>
            </w:rPr>
          </w:pPr>
          <w:r w:rsidRPr="00F423A2">
            <w:rPr>
              <w:b/>
              <w:bCs/>
              <w:lang w:val="fr-CA"/>
            </w:rPr>
            <w:t>Caisse commune des pensions du personnel des Nations Unies</w:t>
          </w:r>
          <w:r w:rsidRPr="00F423A2">
            <w:rPr>
              <w:b/>
              <w:bCs/>
              <w:lang w:val="fr-CA"/>
            </w:rPr>
            <w:br/>
            <w:t>Notes relatives aux États financiers</w:t>
          </w:r>
          <w:r>
            <w:rPr>
              <w:lang w:val="fr-CA"/>
            </w:rPr>
            <w:t xml:space="preserve"> (</w:t>
          </w:r>
          <w:r w:rsidRPr="00F423A2">
            <w:rPr>
              <w:i/>
              <w:iCs/>
              <w:lang w:val="fr-CA"/>
            </w:rPr>
            <w:t>suite</w:t>
          </w:r>
          <w:r>
            <w:rPr>
              <w:lang w:val="fr-CA"/>
            </w:rPr>
            <w:t>)</w:t>
          </w:r>
        </w:p>
      </w:tc>
      <w:tc>
        <w:tcPr>
          <w:tcW w:w="4920" w:type="dxa"/>
          <w:shd w:val="clear" w:color="auto" w:fill="auto"/>
          <w:vAlign w:val="bottom"/>
        </w:tcPr>
        <w:p w14:paraId="44C8D35E" w14:textId="09A0932C" w:rsidR="002B3B17" w:rsidRPr="00E56F8B" w:rsidRDefault="002B3B17" w:rsidP="00E56F8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A/75/5/Add.16</w:t>
          </w:r>
          <w:r>
            <w:rPr>
              <w:b/>
              <w:color w:val="000000"/>
            </w:rPr>
            <w:fldChar w:fldCharType="end"/>
          </w:r>
        </w:p>
      </w:tc>
    </w:tr>
  </w:tbl>
  <w:p w14:paraId="286E1C9D" w14:textId="77777777" w:rsidR="002B3B17" w:rsidRPr="00E56F8B" w:rsidRDefault="002B3B17" w:rsidP="00E56F8B">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79BEF" w14:textId="77777777" w:rsidR="002B3B17" w:rsidRPr="002B3B17" w:rsidRDefault="002B3B17" w:rsidP="002B3B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2B3B17" w:rsidRPr="005720FB" w14:paraId="30F19A2F" w14:textId="77777777" w:rsidTr="005720FB">
      <w:trPr>
        <w:cantSplit/>
        <w:trHeight w:val="4925"/>
      </w:trPr>
      <w:tc>
        <w:tcPr>
          <w:tcW w:w="9830" w:type="dxa"/>
          <w:shd w:val="clear" w:color="auto" w:fill="auto"/>
          <w:textDirection w:val="tbRl"/>
          <w:vAlign w:val="bottom"/>
        </w:tcPr>
        <w:p w14:paraId="7DCCB2BB" w14:textId="7ADD8839" w:rsidR="002B3B17" w:rsidRPr="005720FB" w:rsidRDefault="002B3B17" w:rsidP="00B34E1B">
          <w:pPr>
            <w:pStyle w:val="Header"/>
            <w:spacing w:line="240" w:lineRule="auto"/>
            <w:ind w:left="113" w:right="14"/>
            <w:rPr>
              <w:b/>
              <w:w w:val="103"/>
            </w:rPr>
          </w:pPr>
        </w:p>
      </w:tc>
    </w:tr>
    <w:tr w:rsidR="002B3B17" w:rsidRPr="005720FB" w14:paraId="152D3D22" w14:textId="77777777" w:rsidTr="005720FB">
      <w:trPr>
        <w:cantSplit/>
        <w:trHeight w:val="4925"/>
      </w:trPr>
      <w:tc>
        <w:tcPr>
          <w:tcW w:w="9830" w:type="dxa"/>
          <w:shd w:val="clear" w:color="auto" w:fill="auto"/>
          <w:textDirection w:val="tbRl"/>
          <w:vAlign w:val="bottom"/>
        </w:tcPr>
        <w:p w14:paraId="3FB4C66E" w14:textId="77777777" w:rsidR="002B3B17" w:rsidRPr="005720FB" w:rsidRDefault="002B3B17" w:rsidP="005720FB">
          <w:pPr>
            <w:pStyle w:val="Header"/>
            <w:spacing w:line="240" w:lineRule="auto"/>
            <w:ind w:left="14" w:right="14"/>
            <w:rPr>
              <w:w w:val="103"/>
            </w:rPr>
          </w:pPr>
        </w:p>
      </w:tc>
    </w:tr>
  </w:tbl>
  <w:p w14:paraId="44C4AF53" w14:textId="77777777" w:rsidR="002B3B17" w:rsidRPr="005720FB" w:rsidRDefault="002B3B17" w:rsidP="005720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2B3B17" w:rsidRPr="005720FB" w14:paraId="05382C66" w14:textId="77777777" w:rsidTr="005720FB">
      <w:trPr>
        <w:trHeight w:val="4925"/>
      </w:trPr>
      <w:tc>
        <w:tcPr>
          <w:tcW w:w="9830" w:type="dxa"/>
          <w:shd w:val="clear" w:color="auto" w:fill="auto"/>
          <w:vAlign w:val="bottom"/>
        </w:tcPr>
        <w:p w14:paraId="4D104BC9" w14:textId="77777777" w:rsidR="002B3B17" w:rsidRPr="005720FB" w:rsidRDefault="002B3B17" w:rsidP="005720FB">
          <w:pPr>
            <w:pStyle w:val="Header"/>
            <w:spacing w:line="240" w:lineRule="auto"/>
            <w:ind w:left="14" w:right="14"/>
            <w:jc w:val="right"/>
            <w:rPr>
              <w:bCs/>
              <w:w w:val="103"/>
              <w:szCs w:val="26"/>
            </w:rPr>
          </w:pPr>
        </w:p>
      </w:tc>
    </w:tr>
    <w:tr w:rsidR="002B3B17" w:rsidRPr="005720FB" w14:paraId="01448B57" w14:textId="77777777" w:rsidTr="005720FB">
      <w:trPr>
        <w:cantSplit/>
        <w:trHeight w:val="4925"/>
      </w:trPr>
      <w:tc>
        <w:tcPr>
          <w:tcW w:w="9830" w:type="dxa"/>
          <w:shd w:val="clear" w:color="auto" w:fill="auto"/>
          <w:textDirection w:val="tbRl"/>
          <w:vAlign w:val="bottom"/>
        </w:tcPr>
        <w:p w14:paraId="570BF861" w14:textId="622347C7" w:rsidR="002B3B17" w:rsidRPr="005720FB" w:rsidRDefault="002B3B17" w:rsidP="005720FB">
          <w:pPr>
            <w:pStyle w:val="Header"/>
            <w:spacing w:line="240" w:lineRule="auto"/>
            <w:ind w:left="14" w:right="14"/>
            <w:jc w:val="right"/>
            <w:rPr>
              <w:b/>
              <w:bCs/>
              <w:w w:val="103"/>
              <w:szCs w:val="26"/>
            </w:rPr>
          </w:pPr>
          <w:r w:rsidRPr="005720FB">
            <w:rPr>
              <w:b/>
              <w:bCs/>
              <w:w w:val="103"/>
              <w:szCs w:val="26"/>
            </w:rPr>
            <w:fldChar w:fldCharType="begin"/>
          </w:r>
          <w:r w:rsidRPr="005720FB">
            <w:rPr>
              <w:b/>
              <w:bCs/>
              <w:w w:val="103"/>
              <w:szCs w:val="26"/>
            </w:rPr>
            <w:instrText xml:space="preserve"> DOCVARIABLE "sss1" \* MERGEFORMAT </w:instrText>
          </w:r>
          <w:r w:rsidRPr="005720FB">
            <w:rPr>
              <w:b/>
              <w:bCs/>
              <w:w w:val="103"/>
              <w:szCs w:val="26"/>
            </w:rPr>
            <w:fldChar w:fldCharType="separate"/>
          </w:r>
          <w:r w:rsidRPr="005720FB">
            <w:rPr>
              <w:b/>
              <w:bCs/>
              <w:w w:val="103"/>
              <w:szCs w:val="26"/>
            </w:rPr>
            <w:fldChar w:fldCharType="end"/>
          </w:r>
        </w:p>
      </w:tc>
    </w:tr>
  </w:tbl>
  <w:p w14:paraId="3712AAF7" w14:textId="77777777" w:rsidR="002B3B17" w:rsidRPr="005720FB" w:rsidRDefault="002B3B17" w:rsidP="005720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7BA1B" w14:textId="77777777" w:rsidR="002B3B17" w:rsidRPr="00B34E1B" w:rsidRDefault="002B3B17" w:rsidP="00B34E1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A210B" w14:textId="77777777" w:rsidR="002B3B17" w:rsidRPr="002B3B17" w:rsidRDefault="002B3B17" w:rsidP="002B3B1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1BB7F" w14:textId="77777777" w:rsidR="002B3B17" w:rsidRPr="00744544" w:rsidRDefault="002B3B17" w:rsidP="0074454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2B3B17" w:rsidRPr="00744544" w14:paraId="07CC8464" w14:textId="77777777" w:rsidTr="00744544">
      <w:trPr>
        <w:trHeight w:val="4925"/>
      </w:trPr>
      <w:tc>
        <w:tcPr>
          <w:tcW w:w="13238" w:type="dxa"/>
          <w:shd w:val="clear" w:color="auto" w:fill="auto"/>
          <w:vAlign w:val="bottom"/>
        </w:tcPr>
        <w:p w14:paraId="487D3E51" w14:textId="77777777" w:rsidR="002B3B17" w:rsidRPr="00744544" w:rsidRDefault="002B3B17" w:rsidP="00744544">
          <w:pPr>
            <w:pStyle w:val="Header"/>
            <w:spacing w:line="240" w:lineRule="auto"/>
            <w:ind w:left="14" w:right="14"/>
            <w:jc w:val="right"/>
            <w:rPr>
              <w:bCs/>
              <w:w w:val="103"/>
              <w:szCs w:val="26"/>
            </w:rPr>
          </w:pPr>
        </w:p>
      </w:tc>
    </w:tr>
    <w:tr w:rsidR="002B3B17" w:rsidRPr="00744544" w14:paraId="2C2D05A0" w14:textId="77777777" w:rsidTr="00744544">
      <w:trPr>
        <w:cantSplit/>
        <w:trHeight w:val="4925"/>
      </w:trPr>
      <w:tc>
        <w:tcPr>
          <w:tcW w:w="13238" w:type="dxa"/>
          <w:shd w:val="clear" w:color="auto" w:fill="auto"/>
          <w:textDirection w:val="tbRl"/>
          <w:vAlign w:val="bottom"/>
        </w:tcPr>
        <w:p w14:paraId="4BFFB76F" w14:textId="40943A9C" w:rsidR="002B3B17" w:rsidRPr="00744544" w:rsidRDefault="002B3B17" w:rsidP="00B34E1B">
          <w:pPr>
            <w:pStyle w:val="Header"/>
            <w:spacing w:line="240" w:lineRule="auto"/>
            <w:ind w:left="113" w:right="14"/>
            <w:rPr>
              <w:b/>
              <w:bCs/>
              <w:w w:val="103"/>
              <w:szCs w:val="26"/>
            </w:rPr>
          </w:pPr>
        </w:p>
      </w:tc>
    </w:tr>
  </w:tbl>
  <w:p w14:paraId="251F94B8" w14:textId="77777777" w:rsidR="002B3B17" w:rsidRPr="00744544" w:rsidRDefault="002B3B17" w:rsidP="0074454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2B97D" w14:textId="77777777" w:rsidR="002B3B17" w:rsidRPr="002B3B17" w:rsidRDefault="002B3B17" w:rsidP="002B3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BB52C07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4031243"/>
    <w:multiLevelType w:val="singleLevel"/>
    <w:tmpl w:val="AD2E28C2"/>
    <w:lvl w:ilvl="0">
      <w:start w:val="175"/>
      <w:numFmt w:val="decimal"/>
      <w:lvlRestart w:val="0"/>
      <w:lvlText w:val="%1."/>
      <w:lvlJc w:val="left"/>
      <w:pPr>
        <w:tabs>
          <w:tab w:val="num" w:pos="1742"/>
        </w:tabs>
        <w:ind w:left="1267" w:firstLine="0"/>
      </w:pPr>
      <w:rPr>
        <w:w w:val="100"/>
      </w:rPr>
    </w:lvl>
  </w:abstractNum>
  <w:abstractNum w:abstractNumId="2" w15:restartNumberingAfterBreak="0">
    <w:nsid w:val="0984408E"/>
    <w:multiLevelType w:val="multilevel"/>
    <w:tmpl w:val="CF020DFA"/>
    <w:name w:val="PwCListNumbers1"/>
    <w:styleLink w:val="PwCListNumbers1"/>
    <w:lvl w:ilvl="0">
      <w:start w:val="1"/>
      <w:numFmt w:val="decimal"/>
      <w:pStyle w:val="ListNumber"/>
      <w:lvlText w:val="%1."/>
      <w:lvlJc w:val="left"/>
      <w:pPr>
        <w:tabs>
          <w:tab w:val="num" w:pos="397"/>
        </w:tabs>
        <w:ind w:left="397" w:hanging="397"/>
      </w:pPr>
      <w:rPr>
        <w:rFonts w:cs="Times New Roman" w:hint="default"/>
      </w:rPr>
    </w:lvl>
    <w:lvl w:ilvl="1">
      <w:start w:val="1"/>
      <w:numFmt w:val="lowerLetter"/>
      <w:pStyle w:val="ListNumber2"/>
      <w:lvlText w:val="%2."/>
      <w:lvlJc w:val="left"/>
      <w:pPr>
        <w:tabs>
          <w:tab w:val="num" w:pos="794"/>
        </w:tabs>
        <w:ind w:left="794" w:hanging="397"/>
      </w:pPr>
      <w:rPr>
        <w:rFonts w:cs="Times New Roman" w:hint="default"/>
      </w:rPr>
    </w:lvl>
    <w:lvl w:ilvl="2">
      <w:start w:val="1"/>
      <w:numFmt w:val="lowerRoman"/>
      <w:pStyle w:val="ListNumber3"/>
      <w:lvlText w:val="%3."/>
      <w:lvlJc w:val="left"/>
      <w:pPr>
        <w:tabs>
          <w:tab w:val="num" w:pos="1191"/>
        </w:tabs>
        <w:ind w:left="1191" w:hanging="397"/>
      </w:pPr>
      <w:rPr>
        <w:rFonts w:cs="Times New Roman" w:hint="default"/>
      </w:rPr>
    </w:lvl>
    <w:lvl w:ilvl="3">
      <w:start w:val="1"/>
      <w:numFmt w:val="decimal"/>
      <w:pStyle w:val="ListNumber4"/>
      <w:lvlText w:val="%4."/>
      <w:lvlJc w:val="left"/>
      <w:pPr>
        <w:tabs>
          <w:tab w:val="num" w:pos="1588"/>
        </w:tabs>
        <w:ind w:left="1588" w:hanging="397"/>
      </w:pPr>
      <w:rPr>
        <w:rFonts w:cs="Times New Roman" w:hint="default"/>
      </w:rPr>
    </w:lvl>
    <w:lvl w:ilvl="4">
      <w:start w:val="1"/>
      <w:numFmt w:val="lowerLetter"/>
      <w:pStyle w:val="ListNumber5"/>
      <w:lvlText w:val="%5."/>
      <w:lvlJc w:val="left"/>
      <w:pPr>
        <w:tabs>
          <w:tab w:val="num" w:pos="1985"/>
        </w:tabs>
        <w:ind w:left="1985" w:hanging="397"/>
      </w:pPr>
      <w:rPr>
        <w:rFonts w:cs="Times New Roman" w:hint="default"/>
      </w:rPr>
    </w:lvl>
    <w:lvl w:ilvl="5">
      <w:start w:val="1"/>
      <w:numFmt w:val="lowerRoman"/>
      <w:lvlText w:val="%6."/>
      <w:lvlJc w:val="left"/>
      <w:pPr>
        <w:tabs>
          <w:tab w:val="num" w:pos="2381"/>
        </w:tabs>
        <w:ind w:left="2382" w:hanging="397"/>
      </w:pPr>
      <w:rPr>
        <w:rFonts w:cs="Times New Roman" w:hint="default"/>
      </w:rPr>
    </w:lvl>
    <w:lvl w:ilvl="6">
      <w:start w:val="1"/>
      <w:numFmt w:val="decimal"/>
      <w:lvlText w:val="%7."/>
      <w:lvlJc w:val="left"/>
      <w:pPr>
        <w:tabs>
          <w:tab w:val="num" w:pos="2778"/>
        </w:tabs>
        <w:ind w:left="2779" w:hanging="397"/>
      </w:pPr>
      <w:rPr>
        <w:rFonts w:cs="Times New Roman" w:hint="default"/>
      </w:rPr>
    </w:lvl>
    <w:lvl w:ilvl="7">
      <w:start w:val="1"/>
      <w:numFmt w:val="lowerLetter"/>
      <w:lvlText w:val="%8."/>
      <w:lvlJc w:val="left"/>
      <w:pPr>
        <w:tabs>
          <w:tab w:val="num" w:pos="3175"/>
        </w:tabs>
        <w:ind w:left="3176" w:hanging="397"/>
      </w:pPr>
      <w:rPr>
        <w:rFonts w:cs="Times New Roman" w:hint="default"/>
      </w:rPr>
    </w:lvl>
    <w:lvl w:ilvl="8">
      <w:start w:val="1"/>
      <w:numFmt w:val="lowerRoman"/>
      <w:lvlText w:val="%9."/>
      <w:lvlJc w:val="left"/>
      <w:pPr>
        <w:tabs>
          <w:tab w:val="num" w:pos="3572"/>
        </w:tabs>
        <w:ind w:left="3573" w:hanging="397"/>
      </w:pPr>
      <w:rPr>
        <w:rFonts w:cs="Times New Roman" w:hint="default"/>
      </w:rPr>
    </w:lvl>
  </w:abstractNum>
  <w:abstractNum w:abstractNumId="3"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C0264"/>
    <w:multiLevelType w:val="singleLevel"/>
    <w:tmpl w:val="8B468D7C"/>
    <w:lvl w:ilvl="0">
      <w:start w:val="205"/>
      <w:numFmt w:val="decimal"/>
      <w:lvlRestart w:val="0"/>
      <w:lvlText w:val="%1."/>
      <w:lvlJc w:val="left"/>
      <w:pPr>
        <w:tabs>
          <w:tab w:val="num" w:pos="1742"/>
        </w:tabs>
        <w:ind w:left="1267" w:firstLine="0"/>
      </w:pPr>
      <w:rPr>
        <w:w w:val="100"/>
      </w:rPr>
    </w:lvl>
  </w:abstractNum>
  <w:abstractNum w:abstractNumId="6" w15:restartNumberingAfterBreak="0">
    <w:nsid w:val="30197B15"/>
    <w:multiLevelType w:val="multilevel"/>
    <w:tmpl w:val="245651EE"/>
    <w:name w:val="TOC"/>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FEB50D5"/>
    <w:multiLevelType w:val="singleLevel"/>
    <w:tmpl w:val="FAE4C188"/>
    <w:lvl w:ilvl="0">
      <w:start w:val="1"/>
      <w:numFmt w:val="decimal"/>
      <w:lvlRestart w:val="0"/>
      <w:lvlText w:val="%1."/>
      <w:lvlJc w:val="left"/>
      <w:pPr>
        <w:tabs>
          <w:tab w:val="num" w:pos="475"/>
        </w:tabs>
        <w:ind w:left="0" w:firstLine="0"/>
      </w:pPr>
      <w:rPr>
        <w:w w:val="100"/>
      </w:rPr>
    </w:lvl>
  </w:abstractNum>
  <w:abstractNum w:abstractNumId="8"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233ED6"/>
    <w:multiLevelType w:val="singleLevel"/>
    <w:tmpl w:val="F8D6B246"/>
    <w:lvl w:ilvl="0">
      <w:start w:val="134"/>
      <w:numFmt w:val="decimal"/>
      <w:lvlRestart w:val="0"/>
      <w:lvlText w:val="%1."/>
      <w:lvlJc w:val="left"/>
      <w:pPr>
        <w:tabs>
          <w:tab w:val="num" w:pos="1742"/>
        </w:tabs>
        <w:ind w:left="1267" w:firstLine="0"/>
      </w:pPr>
      <w:rPr>
        <w:w w:val="100"/>
      </w:rPr>
    </w:lvl>
  </w:abstractNum>
  <w:abstractNum w:abstractNumId="10" w15:restartNumberingAfterBreak="0">
    <w:nsid w:val="528621E1"/>
    <w:multiLevelType w:val="singleLevel"/>
    <w:tmpl w:val="C1383012"/>
    <w:lvl w:ilvl="0">
      <w:start w:val="1"/>
      <w:numFmt w:val="decimal"/>
      <w:lvlRestart w:val="0"/>
      <w:lvlText w:val="%1."/>
      <w:lvlJc w:val="left"/>
      <w:pPr>
        <w:tabs>
          <w:tab w:val="num" w:pos="475"/>
        </w:tabs>
        <w:ind w:left="0" w:firstLine="0"/>
      </w:pPr>
      <w:rPr>
        <w:w w:val="100"/>
      </w:rPr>
    </w:lvl>
  </w:abstractNum>
  <w:abstractNum w:abstractNumId="11" w15:restartNumberingAfterBreak="0">
    <w:nsid w:val="5C7124B7"/>
    <w:multiLevelType w:val="singleLevel"/>
    <w:tmpl w:val="9FCCCD9E"/>
    <w:lvl w:ilvl="0">
      <w:start w:val="1"/>
      <w:numFmt w:val="decimal"/>
      <w:lvlRestart w:val="0"/>
      <w:lvlText w:val="%1."/>
      <w:lvlJc w:val="left"/>
      <w:pPr>
        <w:tabs>
          <w:tab w:val="num" w:pos="475"/>
        </w:tabs>
        <w:ind w:left="0" w:firstLine="0"/>
      </w:pPr>
      <w:rPr>
        <w:b w:val="0"/>
        <w:bCs/>
        <w:w w:val="100"/>
      </w:rPr>
    </w:lvl>
  </w:abstractNum>
  <w:abstractNum w:abstractNumId="12" w15:restartNumberingAfterBreak="0">
    <w:nsid w:val="5FF32627"/>
    <w:multiLevelType w:val="singleLevel"/>
    <w:tmpl w:val="AC5CE3AC"/>
    <w:lvl w:ilvl="0">
      <w:start w:val="37"/>
      <w:numFmt w:val="decimal"/>
      <w:lvlRestart w:val="0"/>
      <w:lvlText w:val="%1."/>
      <w:lvlJc w:val="left"/>
      <w:pPr>
        <w:tabs>
          <w:tab w:val="num" w:pos="1742"/>
        </w:tabs>
        <w:ind w:left="1267" w:firstLine="0"/>
      </w:pPr>
      <w:rPr>
        <w:w w:val="100"/>
      </w:rPr>
    </w:lvl>
  </w:abstractNum>
  <w:abstractNum w:abstractNumId="13" w15:restartNumberingAfterBreak="0">
    <w:nsid w:val="67E468D2"/>
    <w:multiLevelType w:val="singleLevel"/>
    <w:tmpl w:val="52D653D0"/>
    <w:lvl w:ilvl="0">
      <w:start w:val="38"/>
      <w:numFmt w:val="decimal"/>
      <w:lvlRestart w:val="0"/>
      <w:lvlText w:val="%1."/>
      <w:lvlJc w:val="left"/>
      <w:pPr>
        <w:tabs>
          <w:tab w:val="num" w:pos="1742"/>
        </w:tabs>
        <w:ind w:left="1267" w:firstLine="0"/>
      </w:pPr>
      <w:rPr>
        <w:w w:val="100"/>
      </w:rPr>
    </w:lvl>
  </w:abstractNum>
  <w:abstractNum w:abstractNumId="14" w15:restartNumberingAfterBreak="0">
    <w:nsid w:val="72591CA9"/>
    <w:multiLevelType w:val="multilevel"/>
    <w:tmpl w:val="B790A32C"/>
    <w:styleLink w:val="PwCListBullets1"/>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
      <w:lvlJc w:val="left"/>
      <w:pPr>
        <w:tabs>
          <w:tab w:val="num" w:pos="794"/>
        </w:tabs>
        <w:ind w:left="794" w:hanging="397"/>
      </w:pPr>
      <w:rPr>
        <w:rFonts w:ascii="Symbol" w:hAnsi="Symbol" w:hint="default"/>
      </w:rPr>
    </w:lvl>
    <w:lvl w:ilvl="2">
      <w:start w:val="1"/>
      <w:numFmt w:val="bullet"/>
      <w:pStyle w:val="ListBullet3"/>
      <w:lvlText w:val=""/>
      <w:lvlJc w:val="left"/>
      <w:pPr>
        <w:tabs>
          <w:tab w:val="num" w:pos="1191"/>
        </w:tabs>
        <w:ind w:left="1191" w:hanging="397"/>
      </w:pPr>
      <w:rPr>
        <w:rFonts w:ascii="Symbol" w:hAnsi="Symbol" w:hint="default"/>
      </w:rPr>
    </w:lvl>
    <w:lvl w:ilvl="3">
      <w:start w:val="1"/>
      <w:numFmt w:val="bullet"/>
      <w:pStyle w:val="ListBullet4"/>
      <w:lvlText w:val=""/>
      <w:lvlJc w:val="left"/>
      <w:pPr>
        <w:tabs>
          <w:tab w:val="num" w:pos="1588"/>
        </w:tabs>
        <w:ind w:left="1588" w:hanging="397"/>
      </w:pPr>
      <w:rPr>
        <w:rFonts w:ascii="Symbol" w:hAnsi="Symbol" w:hint="default"/>
      </w:rPr>
    </w:lvl>
    <w:lvl w:ilvl="4">
      <w:start w:val="1"/>
      <w:numFmt w:val="bullet"/>
      <w:pStyle w:val="ListBullet5"/>
      <w:lvlText w:val=""/>
      <w:lvlJc w:val="left"/>
      <w:pPr>
        <w:tabs>
          <w:tab w:val="num" w:pos="1985"/>
        </w:tabs>
        <w:ind w:left="1985" w:hanging="397"/>
      </w:pPr>
      <w:rPr>
        <w:rFonts w:ascii="Symbol" w:hAnsi="Symbol" w:hint="default"/>
      </w:rPr>
    </w:lvl>
    <w:lvl w:ilvl="5">
      <w:start w:val="1"/>
      <w:numFmt w:val="bullet"/>
      <w:lvlText w:val=""/>
      <w:lvlJc w:val="left"/>
      <w:pPr>
        <w:tabs>
          <w:tab w:val="num" w:pos="2381"/>
        </w:tabs>
        <w:ind w:left="2382" w:hanging="397"/>
      </w:pPr>
      <w:rPr>
        <w:rFonts w:ascii="Symbol" w:hAnsi="Symbol" w:hint="default"/>
      </w:rPr>
    </w:lvl>
    <w:lvl w:ilvl="6">
      <w:start w:val="1"/>
      <w:numFmt w:val="bullet"/>
      <w:lvlText w:val=""/>
      <w:lvlJc w:val="left"/>
      <w:pPr>
        <w:tabs>
          <w:tab w:val="num" w:pos="2778"/>
        </w:tabs>
        <w:ind w:left="2779" w:hanging="397"/>
      </w:pPr>
      <w:rPr>
        <w:rFonts w:ascii="Symbol" w:hAnsi="Symbol" w:hint="default"/>
      </w:rPr>
    </w:lvl>
    <w:lvl w:ilvl="7">
      <w:start w:val="1"/>
      <w:numFmt w:val="bullet"/>
      <w:lvlText w:val=""/>
      <w:lvlJc w:val="left"/>
      <w:pPr>
        <w:tabs>
          <w:tab w:val="num" w:pos="3175"/>
        </w:tabs>
        <w:ind w:left="3176" w:hanging="397"/>
      </w:pPr>
      <w:rPr>
        <w:rFonts w:ascii="Symbol" w:hAnsi="Symbol" w:hint="default"/>
      </w:rPr>
    </w:lvl>
    <w:lvl w:ilvl="8">
      <w:start w:val="1"/>
      <w:numFmt w:val="bullet"/>
      <w:lvlText w:val=""/>
      <w:lvlJc w:val="left"/>
      <w:pPr>
        <w:tabs>
          <w:tab w:val="num" w:pos="3572"/>
        </w:tabs>
        <w:ind w:left="3573" w:hanging="397"/>
      </w:pPr>
      <w:rPr>
        <w:rFonts w:ascii="Symbol" w:hAnsi="Symbol" w:hint="default"/>
      </w:rPr>
    </w:lvl>
  </w:abstractNum>
  <w:abstractNum w:abstractNumId="15" w15:restartNumberingAfterBreak="0">
    <w:nsid w:val="75DD7727"/>
    <w:multiLevelType w:val="singleLevel"/>
    <w:tmpl w:val="9B6ACF06"/>
    <w:lvl w:ilvl="0">
      <w:start w:val="104"/>
      <w:numFmt w:val="decimal"/>
      <w:lvlRestart w:val="0"/>
      <w:lvlText w:val="%1."/>
      <w:lvlJc w:val="left"/>
      <w:pPr>
        <w:tabs>
          <w:tab w:val="num" w:pos="1742"/>
        </w:tabs>
        <w:ind w:left="1267" w:firstLine="0"/>
      </w:pPr>
      <w:rPr>
        <w:w w:val="100"/>
        <w:lang w:val="en-GB"/>
      </w:rPr>
    </w:lvl>
  </w:abstractNum>
  <w:abstractNum w:abstractNumId="16" w15:restartNumberingAfterBreak="0">
    <w:nsid w:val="77140B59"/>
    <w:multiLevelType w:val="singleLevel"/>
    <w:tmpl w:val="DC6220B4"/>
    <w:lvl w:ilvl="0">
      <w:start w:val="106"/>
      <w:numFmt w:val="decimal"/>
      <w:lvlRestart w:val="0"/>
      <w:lvlText w:val="%1."/>
      <w:lvlJc w:val="left"/>
      <w:pPr>
        <w:tabs>
          <w:tab w:val="num" w:pos="1742"/>
        </w:tabs>
        <w:ind w:left="1267" w:firstLine="0"/>
      </w:pPr>
      <w:rPr>
        <w:w w:val="100"/>
      </w:rPr>
    </w:lvl>
  </w:abstractNum>
  <w:abstractNum w:abstractNumId="17" w15:restartNumberingAfterBreak="0">
    <w:nsid w:val="7B9015F0"/>
    <w:multiLevelType w:val="singleLevel"/>
    <w:tmpl w:val="2A520722"/>
    <w:lvl w:ilvl="0">
      <w:start w:val="133"/>
      <w:numFmt w:val="decimal"/>
      <w:lvlRestart w:val="0"/>
      <w:lvlText w:val="%1."/>
      <w:lvlJc w:val="left"/>
      <w:pPr>
        <w:tabs>
          <w:tab w:val="num" w:pos="1742"/>
        </w:tabs>
        <w:ind w:left="1267" w:firstLine="0"/>
      </w:pPr>
      <w:rPr>
        <w:w w:val="100"/>
      </w:rPr>
    </w:lvl>
  </w:abstractNum>
  <w:num w:numId="1">
    <w:abstractNumId w:val="4"/>
  </w:num>
  <w:num w:numId="2">
    <w:abstractNumId w:val="8"/>
  </w:num>
  <w:num w:numId="3">
    <w:abstractNumId w:val="0"/>
  </w:num>
  <w:num w:numId="4">
    <w:abstractNumId w:val="3"/>
  </w:num>
  <w:num w:numId="5">
    <w:abstractNumId w:val="6"/>
  </w:num>
  <w:num w:numId="6">
    <w:abstractNumId w:val="11"/>
  </w:num>
  <w:num w:numId="7">
    <w:abstractNumId w:val="12"/>
  </w:num>
  <w:num w:numId="8">
    <w:abstractNumId w:val="13"/>
  </w:num>
  <w:num w:numId="9">
    <w:abstractNumId w:val="7"/>
  </w:num>
  <w:num w:numId="10">
    <w:abstractNumId w:val="14"/>
  </w:num>
  <w:num w:numId="11">
    <w:abstractNumId w:val="2"/>
  </w:num>
  <w:num w:numId="12">
    <w:abstractNumId w:val="10"/>
    <w:lvlOverride w:ilvl="0">
      <w:lvl w:ilvl="0">
        <w:start w:val="1"/>
        <w:numFmt w:val="decimal"/>
        <w:lvlRestart w:val="0"/>
        <w:lvlText w:val="%1."/>
        <w:lvlJc w:val="left"/>
        <w:pPr>
          <w:tabs>
            <w:tab w:val="num" w:pos="475"/>
          </w:tabs>
          <w:ind w:left="0" w:firstLine="0"/>
        </w:pPr>
        <w:rPr>
          <w:w w:val="100"/>
        </w:rPr>
      </w:lvl>
    </w:lvlOverride>
  </w:num>
  <w:num w:numId="13">
    <w:abstractNumId w:val="15"/>
  </w:num>
  <w:num w:numId="14">
    <w:abstractNumId w:val="16"/>
  </w:num>
  <w:num w:numId="15">
    <w:abstractNumId w:val="16"/>
    <w:lvlOverride w:ilvl="0">
      <w:lvl w:ilvl="0">
        <w:start w:val="106"/>
        <w:numFmt w:val="decimal"/>
        <w:lvlRestart w:val="0"/>
        <w:lvlText w:val="%1."/>
        <w:lvlJc w:val="left"/>
        <w:pPr>
          <w:tabs>
            <w:tab w:val="num" w:pos="1742"/>
          </w:tabs>
          <w:ind w:left="1267" w:firstLine="0"/>
        </w:pPr>
        <w:rPr>
          <w:w w:val="100"/>
        </w:rPr>
      </w:lvl>
    </w:lvlOverride>
  </w:num>
  <w:num w:numId="16">
    <w:abstractNumId w:val="17"/>
  </w:num>
  <w:num w:numId="17">
    <w:abstractNumId w:val="9"/>
  </w:num>
  <w:num w:numId="18">
    <w:abstractNumId w:val="9"/>
    <w:lvlOverride w:ilvl="0">
      <w:lvl w:ilvl="0">
        <w:start w:val="134"/>
        <w:numFmt w:val="decimal"/>
        <w:lvlRestart w:val="0"/>
        <w:lvlText w:val="%1."/>
        <w:lvlJc w:val="left"/>
        <w:pPr>
          <w:tabs>
            <w:tab w:val="num" w:pos="1742"/>
          </w:tabs>
          <w:ind w:left="1267" w:firstLine="0"/>
        </w:pPr>
        <w:rPr>
          <w:w w:val="100"/>
        </w:rPr>
      </w:lvl>
    </w:lvlOverride>
  </w:num>
  <w:num w:numId="19">
    <w:abstractNumId w:val="1"/>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hideSpellingErrors/>
  <w:defaultTabStop w:val="475"/>
  <w:autoHyphenation/>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9292*"/>
    <w:docVar w:name="CreationDt" w:val="    160920    160920"/>
    <w:docVar w:name="DocCategory" w:val="Supplements"/>
    <w:docVar w:name="DocType" w:val="Final"/>
    <w:docVar w:name="DutyStation" w:val="New York"/>
    <w:docVar w:name="FooterJN" w:val="20-09292"/>
    <w:docVar w:name="jobn" w:val="20-09292 (F)"/>
    <w:docVar w:name="jobnDT" w:val="20-09292 (F)   140920"/>
    <w:docVar w:name="jobnDTDT" w:val="20-09292 (F)   140920   140920"/>
    <w:docVar w:name="JobNo" w:val="2009292F"/>
    <w:docVar w:name="JobNo2" w:val="2017792F"/>
    <w:docVar w:name="LocalDrive" w:val="0"/>
    <w:docVar w:name="OandT" w:val="dll"/>
    <w:docVar w:name="sss1" w:val="A/75/5/Add.16"/>
    <w:docVar w:name="sss2" w:val="-"/>
    <w:docVar w:name="Symbol1" w:val="A/75/5/Add.16"/>
    <w:docVar w:name="Symbol2" w:val="-"/>
  </w:docVars>
  <w:rsids>
    <w:rsidRoot w:val="00396F58"/>
    <w:rsid w:val="00001A20"/>
    <w:rsid w:val="00002584"/>
    <w:rsid w:val="00004A4A"/>
    <w:rsid w:val="00007650"/>
    <w:rsid w:val="00010A89"/>
    <w:rsid w:val="00012BB9"/>
    <w:rsid w:val="0002140C"/>
    <w:rsid w:val="00021A24"/>
    <w:rsid w:val="00031018"/>
    <w:rsid w:val="00043FE3"/>
    <w:rsid w:val="000637AE"/>
    <w:rsid w:val="0006491F"/>
    <w:rsid w:val="00066127"/>
    <w:rsid w:val="00071D43"/>
    <w:rsid w:val="00073898"/>
    <w:rsid w:val="0007535B"/>
    <w:rsid w:val="00076CE4"/>
    <w:rsid w:val="00080F5D"/>
    <w:rsid w:val="00082144"/>
    <w:rsid w:val="00085EEB"/>
    <w:rsid w:val="00086794"/>
    <w:rsid w:val="00091B26"/>
    <w:rsid w:val="00092CB7"/>
    <w:rsid w:val="000B3C9C"/>
    <w:rsid w:val="000B586F"/>
    <w:rsid w:val="000B7C37"/>
    <w:rsid w:val="000C3864"/>
    <w:rsid w:val="000C71DA"/>
    <w:rsid w:val="000D41E4"/>
    <w:rsid w:val="000D5822"/>
    <w:rsid w:val="000D73F4"/>
    <w:rsid w:val="00100F73"/>
    <w:rsid w:val="00101B18"/>
    <w:rsid w:val="001030AE"/>
    <w:rsid w:val="00104A71"/>
    <w:rsid w:val="00107D5D"/>
    <w:rsid w:val="001177E1"/>
    <w:rsid w:val="0012108B"/>
    <w:rsid w:val="00122A56"/>
    <w:rsid w:val="001256D4"/>
    <w:rsid w:val="00127B53"/>
    <w:rsid w:val="00134FEE"/>
    <w:rsid w:val="001449D0"/>
    <w:rsid w:val="00146C6A"/>
    <w:rsid w:val="00154347"/>
    <w:rsid w:val="001543FD"/>
    <w:rsid w:val="0015505D"/>
    <w:rsid w:val="00160674"/>
    <w:rsid w:val="0016319D"/>
    <w:rsid w:val="00166A0D"/>
    <w:rsid w:val="0016762E"/>
    <w:rsid w:val="001717BE"/>
    <w:rsid w:val="001D10E9"/>
    <w:rsid w:val="001D5F53"/>
    <w:rsid w:val="001E09B9"/>
    <w:rsid w:val="001E0CA2"/>
    <w:rsid w:val="001E2379"/>
    <w:rsid w:val="001E2C6E"/>
    <w:rsid w:val="001E4B50"/>
    <w:rsid w:val="00200CFC"/>
    <w:rsid w:val="00201B02"/>
    <w:rsid w:val="002070A2"/>
    <w:rsid w:val="002072F3"/>
    <w:rsid w:val="0021412C"/>
    <w:rsid w:val="00215425"/>
    <w:rsid w:val="002252CA"/>
    <w:rsid w:val="00225C0F"/>
    <w:rsid w:val="00241E1C"/>
    <w:rsid w:val="00245107"/>
    <w:rsid w:val="00245FDC"/>
    <w:rsid w:val="002478A0"/>
    <w:rsid w:val="00251DFC"/>
    <w:rsid w:val="00255C37"/>
    <w:rsid w:val="00257BDE"/>
    <w:rsid w:val="002630E9"/>
    <w:rsid w:val="0027695B"/>
    <w:rsid w:val="0028340A"/>
    <w:rsid w:val="00286C25"/>
    <w:rsid w:val="00291DF9"/>
    <w:rsid w:val="002A153C"/>
    <w:rsid w:val="002A5E20"/>
    <w:rsid w:val="002B022B"/>
    <w:rsid w:val="002B12E2"/>
    <w:rsid w:val="002B3B17"/>
    <w:rsid w:val="002B5877"/>
    <w:rsid w:val="002B5B5F"/>
    <w:rsid w:val="002B6DB3"/>
    <w:rsid w:val="002C1107"/>
    <w:rsid w:val="002C4AEF"/>
    <w:rsid w:val="002C6C92"/>
    <w:rsid w:val="002C7B00"/>
    <w:rsid w:val="002D3F98"/>
    <w:rsid w:val="002E04BE"/>
    <w:rsid w:val="002E59FE"/>
    <w:rsid w:val="002E7138"/>
    <w:rsid w:val="00300A2C"/>
    <w:rsid w:val="0030765E"/>
    <w:rsid w:val="00312981"/>
    <w:rsid w:val="003254E5"/>
    <w:rsid w:val="00336440"/>
    <w:rsid w:val="00340E8D"/>
    <w:rsid w:val="00341502"/>
    <w:rsid w:val="003451A6"/>
    <w:rsid w:val="003538B6"/>
    <w:rsid w:val="0035619D"/>
    <w:rsid w:val="0036647A"/>
    <w:rsid w:val="00366D21"/>
    <w:rsid w:val="003670DC"/>
    <w:rsid w:val="00371BB5"/>
    <w:rsid w:val="00373914"/>
    <w:rsid w:val="00381108"/>
    <w:rsid w:val="003910C9"/>
    <w:rsid w:val="00395642"/>
    <w:rsid w:val="00396CFD"/>
    <w:rsid w:val="00396F58"/>
    <w:rsid w:val="003A675A"/>
    <w:rsid w:val="003B1425"/>
    <w:rsid w:val="003C2DCA"/>
    <w:rsid w:val="003C371F"/>
    <w:rsid w:val="003C3A50"/>
    <w:rsid w:val="003C536A"/>
    <w:rsid w:val="003C656E"/>
    <w:rsid w:val="003D5A8F"/>
    <w:rsid w:val="003D7271"/>
    <w:rsid w:val="003D7F68"/>
    <w:rsid w:val="003E3DAD"/>
    <w:rsid w:val="003E4528"/>
    <w:rsid w:val="003E63DE"/>
    <w:rsid w:val="003E6A5D"/>
    <w:rsid w:val="003F61E1"/>
    <w:rsid w:val="003F7941"/>
    <w:rsid w:val="00403DFD"/>
    <w:rsid w:val="00406B5C"/>
    <w:rsid w:val="00410BE8"/>
    <w:rsid w:val="00412925"/>
    <w:rsid w:val="004249A0"/>
    <w:rsid w:val="0042572F"/>
    <w:rsid w:val="0042780B"/>
    <w:rsid w:val="00430A4D"/>
    <w:rsid w:val="004317D5"/>
    <w:rsid w:val="0043262F"/>
    <w:rsid w:val="00440C93"/>
    <w:rsid w:val="00444719"/>
    <w:rsid w:val="00452D41"/>
    <w:rsid w:val="004575C0"/>
    <w:rsid w:val="00462A37"/>
    <w:rsid w:val="00470FA3"/>
    <w:rsid w:val="00472B7F"/>
    <w:rsid w:val="00480329"/>
    <w:rsid w:val="00480B84"/>
    <w:rsid w:val="00490818"/>
    <w:rsid w:val="00490DCB"/>
    <w:rsid w:val="00491DD9"/>
    <w:rsid w:val="004B64F9"/>
    <w:rsid w:val="004C1A25"/>
    <w:rsid w:val="004D24B5"/>
    <w:rsid w:val="004D24D5"/>
    <w:rsid w:val="004D3F0A"/>
    <w:rsid w:val="004D4437"/>
    <w:rsid w:val="004E0892"/>
    <w:rsid w:val="004E491B"/>
    <w:rsid w:val="004F15F8"/>
    <w:rsid w:val="00501BD0"/>
    <w:rsid w:val="00507E96"/>
    <w:rsid w:val="005139A6"/>
    <w:rsid w:val="005141A1"/>
    <w:rsid w:val="0051527C"/>
    <w:rsid w:val="00515991"/>
    <w:rsid w:val="00520ECD"/>
    <w:rsid w:val="005225EC"/>
    <w:rsid w:val="00523A64"/>
    <w:rsid w:val="00525097"/>
    <w:rsid w:val="00532EEE"/>
    <w:rsid w:val="005363E7"/>
    <w:rsid w:val="005417C4"/>
    <w:rsid w:val="0054640D"/>
    <w:rsid w:val="005509B6"/>
    <w:rsid w:val="00550EA0"/>
    <w:rsid w:val="00556BC0"/>
    <w:rsid w:val="00562CFC"/>
    <w:rsid w:val="005709A6"/>
    <w:rsid w:val="00571235"/>
    <w:rsid w:val="005720FB"/>
    <w:rsid w:val="00575CB4"/>
    <w:rsid w:val="00577A36"/>
    <w:rsid w:val="00580CF2"/>
    <w:rsid w:val="00582866"/>
    <w:rsid w:val="005872AE"/>
    <w:rsid w:val="00590865"/>
    <w:rsid w:val="0059466F"/>
    <w:rsid w:val="00594FE8"/>
    <w:rsid w:val="00597925"/>
    <w:rsid w:val="005B398E"/>
    <w:rsid w:val="005C03A7"/>
    <w:rsid w:val="005C5330"/>
    <w:rsid w:val="005C632D"/>
    <w:rsid w:val="005D0CD7"/>
    <w:rsid w:val="005D5AF3"/>
    <w:rsid w:val="005D60B5"/>
    <w:rsid w:val="005E2FF2"/>
    <w:rsid w:val="005F02EC"/>
    <w:rsid w:val="005F1F5F"/>
    <w:rsid w:val="005F3633"/>
    <w:rsid w:val="005F67CC"/>
    <w:rsid w:val="0061422C"/>
    <w:rsid w:val="0061735B"/>
    <w:rsid w:val="00624498"/>
    <w:rsid w:val="00630048"/>
    <w:rsid w:val="00630188"/>
    <w:rsid w:val="00632C10"/>
    <w:rsid w:val="006336C2"/>
    <w:rsid w:val="00634568"/>
    <w:rsid w:val="006361FA"/>
    <w:rsid w:val="006421F1"/>
    <w:rsid w:val="006428C2"/>
    <w:rsid w:val="00650010"/>
    <w:rsid w:val="00661B96"/>
    <w:rsid w:val="00663CF9"/>
    <w:rsid w:val="00664E0D"/>
    <w:rsid w:val="00666391"/>
    <w:rsid w:val="006726A3"/>
    <w:rsid w:val="00680483"/>
    <w:rsid w:val="0068197A"/>
    <w:rsid w:val="00690698"/>
    <w:rsid w:val="006A2B1E"/>
    <w:rsid w:val="006A5676"/>
    <w:rsid w:val="006C1264"/>
    <w:rsid w:val="006D0027"/>
    <w:rsid w:val="006D1C11"/>
    <w:rsid w:val="006D1F73"/>
    <w:rsid w:val="006D5E66"/>
    <w:rsid w:val="006D79F5"/>
    <w:rsid w:val="006E03DA"/>
    <w:rsid w:val="006E1A11"/>
    <w:rsid w:val="006E4A4B"/>
    <w:rsid w:val="006E5107"/>
    <w:rsid w:val="006E5315"/>
    <w:rsid w:val="006F370E"/>
    <w:rsid w:val="00703106"/>
    <w:rsid w:val="007032B3"/>
    <w:rsid w:val="0070580C"/>
    <w:rsid w:val="0071077D"/>
    <w:rsid w:val="0073101C"/>
    <w:rsid w:val="00735FD3"/>
    <w:rsid w:val="007370A4"/>
    <w:rsid w:val="007435CA"/>
    <w:rsid w:val="00744544"/>
    <w:rsid w:val="007459AE"/>
    <w:rsid w:val="007531A5"/>
    <w:rsid w:val="00753AB8"/>
    <w:rsid w:val="00761928"/>
    <w:rsid w:val="007632B4"/>
    <w:rsid w:val="00767697"/>
    <w:rsid w:val="00771C9E"/>
    <w:rsid w:val="0078076B"/>
    <w:rsid w:val="00780D43"/>
    <w:rsid w:val="0078560A"/>
    <w:rsid w:val="00787DBE"/>
    <w:rsid w:val="007957D6"/>
    <w:rsid w:val="007A0D7D"/>
    <w:rsid w:val="007A3E90"/>
    <w:rsid w:val="007B25AA"/>
    <w:rsid w:val="007B39C9"/>
    <w:rsid w:val="007B53DC"/>
    <w:rsid w:val="007B770F"/>
    <w:rsid w:val="007C347A"/>
    <w:rsid w:val="007E224F"/>
    <w:rsid w:val="00806375"/>
    <w:rsid w:val="0082045E"/>
    <w:rsid w:val="008222A3"/>
    <w:rsid w:val="008407F1"/>
    <w:rsid w:val="008446A5"/>
    <w:rsid w:val="008541E9"/>
    <w:rsid w:val="008577D6"/>
    <w:rsid w:val="00862BA0"/>
    <w:rsid w:val="00864C97"/>
    <w:rsid w:val="00870613"/>
    <w:rsid w:val="00870B24"/>
    <w:rsid w:val="00875C99"/>
    <w:rsid w:val="00876489"/>
    <w:rsid w:val="00883D3C"/>
    <w:rsid w:val="00884EC6"/>
    <w:rsid w:val="00886CF2"/>
    <w:rsid w:val="008B32A0"/>
    <w:rsid w:val="008B3A01"/>
    <w:rsid w:val="008C5DA4"/>
    <w:rsid w:val="008D3879"/>
    <w:rsid w:val="008E54A2"/>
    <w:rsid w:val="008F1218"/>
    <w:rsid w:val="008F19AC"/>
    <w:rsid w:val="008F3462"/>
    <w:rsid w:val="008F79DE"/>
    <w:rsid w:val="00901DBA"/>
    <w:rsid w:val="0090346B"/>
    <w:rsid w:val="009177A7"/>
    <w:rsid w:val="009237A6"/>
    <w:rsid w:val="00924856"/>
    <w:rsid w:val="009248BF"/>
    <w:rsid w:val="00926B07"/>
    <w:rsid w:val="00932F05"/>
    <w:rsid w:val="009351BE"/>
    <w:rsid w:val="00935432"/>
    <w:rsid w:val="00935932"/>
    <w:rsid w:val="009547DC"/>
    <w:rsid w:val="00957488"/>
    <w:rsid w:val="009574A2"/>
    <w:rsid w:val="00965424"/>
    <w:rsid w:val="00967689"/>
    <w:rsid w:val="00971EBD"/>
    <w:rsid w:val="00983B6C"/>
    <w:rsid w:val="009851A6"/>
    <w:rsid w:val="00990CDA"/>
    <w:rsid w:val="00991C6E"/>
    <w:rsid w:val="00993C36"/>
    <w:rsid w:val="00993CB7"/>
    <w:rsid w:val="00994877"/>
    <w:rsid w:val="00996122"/>
    <w:rsid w:val="009A2938"/>
    <w:rsid w:val="009A4644"/>
    <w:rsid w:val="009A663B"/>
    <w:rsid w:val="009B0A53"/>
    <w:rsid w:val="009C13DE"/>
    <w:rsid w:val="009C3BFE"/>
    <w:rsid w:val="009C58D3"/>
    <w:rsid w:val="009C7E84"/>
    <w:rsid w:val="009D0491"/>
    <w:rsid w:val="009D0EE3"/>
    <w:rsid w:val="009E3220"/>
    <w:rsid w:val="009E5F30"/>
    <w:rsid w:val="009F40B9"/>
    <w:rsid w:val="009F4CD5"/>
    <w:rsid w:val="009F4EAA"/>
    <w:rsid w:val="009F6E36"/>
    <w:rsid w:val="00A01EF1"/>
    <w:rsid w:val="00A04855"/>
    <w:rsid w:val="00A07B6D"/>
    <w:rsid w:val="00A126D7"/>
    <w:rsid w:val="00A15227"/>
    <w:rsid w:val="00A169D4"/>
    <w:rsid w:val="00A16D1F"/>
    <w:rsid w:val="00A2494D"/>
    <w:rsid w:val="00A32670"/>
    <w:rsid w:val="00A33C67"/>
    <w:rsid w:val="00A364EB"/>
    <w:rsid w:val="00A42B1C"/>
    <w:rsid w:val="00A47818"/>
    <w:rsid w:val="00A51A91"/>
    <w:rsid w:val="00A5345A"/>
    <w:rsid w:val="00A536A1"/>
    <w:rsid w:val="00A6292E"/>
    <w:rsid w:val="00A66C9F"/>
    <w:rsid w:val="00A71E94"/>
    <w:rsid w:val="00A76E9C"/>
    <w:rsid w:val="00A80DFB"/>
    <w:rsid w:val="00A9515C"/>
    <w:rsid w:val="00A95567"/>
    <w:rsid w:val="00AA2E79"/>
    <w:rsid w:val="00AA464A"/>
    <w:rsid w:val="00AB0B7D"/>
    <w:rsid w:val="00AB2342"/>
    <w:rsid w:val="00AB283F"/>
    <w:rsid w:val="00AC3515"/>
    <w:rsid w:val="00AD392D"/>
    <w:rsid w:val="00AD4E18"/>
    <w:rsid w:val="00AD5F2F"/>
    <w:rsid w:val="00AF31AD"/>
    <w:rsid w:val="00AF5ECD"/>
    <w:rsid w:val="00B054B5"/>
    <w:rsid w:val="00B10299"/>
    <w:rsid w:val="00B10D8A"/>
    <w:rsid w:val="00B11808"/>
    <w:rsid w:val="00B23E54"/>
    <w:rsid w:val="00B24AE5"/>
    <w:rsid w:val="00B30919"/>
    <w:rsid w:val="00B34E1B"/>
    <w:rsid w:val="00B3665A"/>
    <w:rsid w:val="00B56553"/>
    <w:rsid w:val="00B5757B"/>
    <w:rsid w:val="00B645D4"/>
    <w:rsid w:val="00B71370"/>
    <w:rsid w:val="00B858D5"/>
    <w:rsid w:val="00B90E3E"/>
    <w:rsid w:val="00B96402"/>
    <w:rsid w:val="00B9733E"/>
    <w:rsid w:val="00BA1F87"/>
    <w:rsid w:val="00BA2C89"/>
    <w:rsid w:val="00BA2D2D"/>
    <w:rsid w:val="00BA503B"/>
    <w:rsid w:val="00BC718D"/>
    <w:rsid w:val="00BD6428"/>
    <w:rsid w:val="00BE0C96"/>
    <w:rsid w:val="00BE2A24"/>
    <w:rsid w:val="00BF3A25"/>
    <w:rsid w:val="00BF5856"/>
    <w:rsid w:val="00C04FBA"/>
    <w:rsid w:val="00C06330"/>
    <w:rsid w:val="00C138C6"/>
    <w:rsid w:val="00C22F4C"/>
    <w:rsid w:val="00C26A62"/>
    <w:rsid w:val="00C30E19"/>
    <w:rsid w:val="00C41939"/>
    <w:rsid w:val="00C50A13"/>
    <w:rsid w:val="00C556F2"/>
    <w:rsid w:val="00C57290"/>
    <w:rsid w:val="00C615C2"/>
    <w:rsid w:val="00C67883"/>
    <w:rsid w:val="00C83A8A"/>
    <w:rsid w:val="00C86C55"/>
    <w:rsid w:val="00C95DAE"/>
    <w:rsid w:val="00CA06DA"/>
    <w:rsid w:val="00CA66AB"/>
    <w:rsid w:val="00CB06FB"/>
    <w:rsid w:val="00CB2B29"/>
    <w:rsid w:val="00CB38C2"/>
    <w:rsid w:val="00CB62E7"/>
    <w:rsid w:val="00CB63C5"/>
    <w:rsid w:val="00CC13CC"/>
    <w:rsid w:val="00CD7E03"/>
    <w:rsid w:val="00CE2455"/>
    <w:rsid w:val="00CE2901"/>
    <w:rsid w:val="00CE6A7B"/>
    <w:rsid w:val="00CF5710"/>
    <w:rsid w:val="00D0071C"/>
    <w:rsid w:val="00D05F14"/>
    <w:rsid w:val="00D14E6F"/>
    <w:rsid w:val="00D24406"/>
    <w:rsid w:val="00D25A29"/>
    <w:rsid w:val="00D27653"/>
    <w:rsid w:val="00D30EED"/>
    <w:rsid w:val="00D509E8"/>
    <w:rsid w:val="00D52D3F"/>
    <w:rsid w:val="00D534BB"/>
    <w:rsid w:val="00D62814"/>
    <w:rsid w:val="00D62B67"/>
    <w:rsid w:val="00D663C4"/>
    <w:rsid w:val="00D66412"/>
    <w:rsid w:val="00D76CCF"/>
    <w:rsid w:val="00D838B1"/>
    <w:rsid w:val="00D85B1C"/>
    <w:rsid w:val="00D91871"/>
    <w:rsid w:val="00D935AE"/>
    <w:rsid w:val="00DB0280"/>
    <w:rsid w:val="00DB7521"/>
    <w:rsid w:val="00DC6FCB"/>
    <w:rsid w:val="00DC7881"/>
    <w:rsid w:val="00DD11AE"/>
    <w:rsid w:val="00DD3953"/>
    <w:rsid w:val="00DE0625"/>
    <w:rsid w:val="00DE2A00"/>
    <w:rsid w:val="00DF621A"/>
    <w:rsid w:val="00E0333D"/>
    <w:rsid w:val="00E03F5C"/>
    <w:rsid w:val="00E126C3"/>
    <w:rsid w:val="00E20C3D"/>
    <w:rsid w:val="00E343A6"/>
    <w:rsid w:val="00E443AC"/>
    <w:rsid w:val="00E47A1E"/>
    <w:rsid w:val="00E47D79"/>
    <w:rsid w:val="00E50854"/>
    <w:rsid w:val="00E56F8B"/>
    <w:rsid w:val="00E7105F"/>
    <w:rsid w:val="00E7512F"/>
    <w:rsid w:val="00E7792F"/>
    <w:rsid w:val="00E834D8"/>
    <w:rsid w:val="00EA4FF0"/>
    <w:rsid w:val="00EA5C1D"/>
    <w:rsid w:val="00EA6571"/>
    <w:rsid w:val="00EA6AD9"/>
    <w:rsid w:val="00EB07CA"/>
    <w:rsid w:val="00EC2029"/>
    <w:rsid w:val="00ED3493"/>
    <w:rsid w:val="00EE37EC"/>
    <w:rsid w:val="00EE552F"/>
    <w:rsid w:val="00EE7FC4"/>
    <w:rsid w:val="00EF0BA3"/>
    <w:rsid w:val="00EF2DFA"/>
    <w:rsid w:val="00EF3D28"/>
    <w:rsid w:val="00F01EC0"/>
    <w:rsid w:val="00F0734F"/>
    <w:rsid w:val="00F246F6"/>
    <w:rsid w:val="00F255A2"/>
    <w:rsid w:val="00F27A9E"/>
    <w:rsid w:val="00F313F6"/>
    <w:rsid w:val="00F423A2"/>
    <w:rsid w:val="00F44B5A"/>
    <w:rsid w:val="00F4588C"/>
    <w:rsid w:val="00F5012D"/>
    <w:rsid w:val="00F55E84"/>
    <w:rsid w:val="00F62B8B"/>
    <w:rsid w:val="00F73093"/>
    <w:rsid w:val="00F752AB"/>
    <w:rsid w:val="00F7640F"/>
    <w:rsid w:val="00F80FA2"/>
    <w:rsid w:val="00F83514"/>
    <w:rsid w:val="00F83928"/>
    <w:rsid w:val="00F86B44"/>
    <w:rsid w:val="00F9761D"/>
    <w:rsid w:val="00FA3D05"/>
    <w:rsid w:val="00FA5CC9"/>
    <w:rsid w:val="00FB0A2C"/>
    <w:rsid w:val="00FB7276"/>
    <w:rsid w:val="00FC3A85"/>
    <w:rsid w:val="00FC59F1"/>
    <w:rsid w:val="00FD1BBD"/>
    <w:rsid w:val="00FE2FE9"/>
    <w:rsid w:val="00FE3C5A"/>
    <w:rsid w:val="00FF3445"/>
    <w:rsid w:val="00FF6915"/>
    <w:rsid w:val="00FF6F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63896B"/>
  <w15:chartTrackingRefBased/>
  <w15:docId w15:val="{D9DC9F9F-D284-4627-9B35-E3686437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938"/>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9"/>
    <w:qFormat/>
    <w:rsid w:val="009A2938"/>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9"/>
    <w:unhideWhenUsed/>
    <w:qFormat/>
    <w:rsid w:val="009A2938"/>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9"/>
    <w:unhideWhenUsed/>
    <w:qFormat/>
    <w:rsid w:val="009A2938"/>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9"/>
    <w:unhideWhenUsed/>
    <w:qFormat/>
    <w:rsid w:val="009A2938"/>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9"/>
    <w:unhideWhenUsed/>
    <w:qFormat/>
    <w:rsid w:val="009A2938"/>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9"/>
    <w:unhideWhenUsed/>
    <w:qFormat/>
    <w:rsid w:val="009A2938"/>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9A2938"/>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unhideWhenUsed/>
    <w:qFormat/>
    <w:rsid w:val="009A2938"/>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9"/>
    <w:unhideWhenUsed/>
    <w:qFormat/>
    <w:rsid w:val="009A2938"/>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A2938"/>
    <w:pPr>
      <w:keepNext/>
      <w:keepLines/>
      <w:suppressAutoHyphens/>
      <w:spacing w:line="270" w:lineRule="exact"/>
      <w:outlineLvl w:val="0"/>
    </w:pPr>
    <w:rPr>
      <w:b/>
      <w:sz w:val="24"/>
    </w:rPr>
  </w:style>
  <w:style w:type="paragraph" w:customStyle="1" w:styleId="HCH">
    <w:name w:val="_ H _CH"/>
    <w:basedOn w:val="H1"/>
    <w:next w:val="SingleTxt"/>
    <w:qFormat/>
    <w:rsid w:val="009A2938"/>
    <w:pPr>
      <w:spacing w:line="300" w:lineRule="exact"/>
    </w:pPr>
    <w:rPr>
      <w:spacing w:val="-2"/>
      <w:sz w:val="28"/>
    </w:rPr>
  </w:style>
  <w:style w:type="paragraph" w:customStyle="1" w:styleId="HM">
    <w:name w:val="_ H __M"/>
    <w:basedOn w:val="HCH"/>
    <w:next w:val="Normal"/>
    <w:qFormat/>
    <w:rsid w:val="009A2938"/>
    <w:pPr>
      <w:spacing w:line="360" w:lineRule="exact"/>
    </w:pPr>
    <w:rPr>
      <w:spacing w:val="-3"/>
      <w:w w:val="99"/>
      <w:sz w:val="34"/>
    </w:rPr>
  </w:style>
  <w:style w:type="paragraph" w:customStyle="1" w:styleId="H23">
    <w:name w:val="_ H_2/3"/>
    <w:basedOn w:val="H1"/>
    <w:next w:val="Normal"/>
    <w:qFormat/>
    <w:rsid w:val="009A2938"/>
    <w:pPr>
      <w:spacing w:line="240" w:lineRule="exact"/>
      <w:outlineLvl w:val="1"/>
    </w:pPr>
    <w:rPr>
      <w:spacing w:val="2"/>
      <w:sz w:val="20"/>
    </w:rPr>
  </w:style>
  <w:style w:type="paragraph" w:customStyle="1" w:styleId="H4">
    <w:name w:val="_ H_4"/>
    <w:basedOn w:val="Normal"/>
    <w:next w:val="Normal"/>
    <w:qFormat/>
    <w:rsid w:val="009A2938"/>
    <w:pPr>
      <w:keepNext/>
      <w:keepLines/>
      <w:tabs>
        <w:tab w:val="right" w:pos="360"/>
      </w:tabs>
      <w:suppressAutoHyphens/>
      <w:outlineLvl w:val="3"/>
    </w:pPr>
    <w:rPr>
      <w:i/>
      <w:spacing w:val="3"/>
    </w:rPr>
  </w:style>
  <w:style w:type="paragraph" w:customStyle="1" w:styleId="H56">
    <w:name w:val="_ H_5/6"/>
    <w:basedOn w:val="Normal"/>
    <w:next w:val="Normal"/>
    <w:qFormat/>
    <w:rsid w:val="009A2938"/>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9A2938"/>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A2938"/>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A2938"/>
    <w:pPr>
      <w:spacing w:line="540" w:lineRule="exact"/>
    </w:pPr>
    <w:rPr>
      <w:spacing w:val="-8"/>
      <w:w w:val="96"/>
      <w:sz w:val="57"/>
    </w:rPr>
  </w:style>
  <w:style w:type="paragraph" w:customStyle="1" w:styleId="SS">
    <w:name w:val="__S_S"/>
    <w:basedOn w:val="HCH"/>
    <w:next w:val="Normal"/>
    <w:qFormat/>
    <w:rsid w:val="009A2938"/>
    <w:pPr>
      <w:ind w:left="1267" w:right="1267"/>
    </w:pPr>
  </w:style>
  <w:style w:type="paragraph" w:customStyle="1" w:styleId="SingleTxt">
    <w:name w:val="__Single Txt"/>
    <w:basedOn w:val="Normal"/>
    <w:link w:val="SingleTxtChar"/>
    <w:qFormat/>
    <w:rsid w:val="009A293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9A2938"/>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9A293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9A2938"/>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9A293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A2938"/>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9A2938"/>
    <w:pPr>
      <w:numPr>
        <w:numId w:val="1"/>
      </w:numPr>
      <w:spacing w:after="120"/>
      <w:ind w:right="1267"/>
      <w:jc w:val="both"/>
    </w:pPr>
  </w:style>
  <w:style w:type="paragraph" w:customStyle="1" w:styleId="Bullet2">
    <w:name w:val="Bullet 2"/>
    <w:basedOn w:val="Normal"/>
    <w:qFormat/>
    <w:rsid w:val="009A2938"/>
    <w:pPr>
      <w:numPr>
        <w:numId w:val="2"/>
      </w:numPr>
      <w:spacing w:after="120"/>
      <w:ind w:right="1264"/>
      <w:jc w:val="both"/>
    </w:pPr>
  </w:style>
  <w:style w:type="paragraph" w:customStyle="1" w:styleId="Bullet3">
    <w:name w:val="Bullet 3"/>
    <w:basedOn w:val="SingleTxt"/>
    <w:qFormat/>
    <w:rsid w:val="009A2938"/>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9A2938"/>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9A293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9A2938"/>
    <w:pPr>
      <w:spacing w:line="210" w:lineRule="exact"/>
    </w:pPr>
    <w:rPr>
      <w:sz w:val="17"/>
      <w:szCs w:val="20"/>
    </w:rPr>
  </w:style>
  <w:style w:type="character" w:customStyle="1" w:styleId="EndnoteTextChar">
    <w:name w:val="Endnote Text Char"/>
    <w:link w:val="EndnoteText"/>
    <w:uiPriority w:val="99"/>
    <w:semiHidden/>
    <w:rsid w:val="009A2938"/>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9A2938"/>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9A2938"/>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9A2938"/>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9A2938"/>
    <w:pPr>
      <w:spacing w:line="210" w:lineRule="exact"/>
    </w:pPr>
    <w:rPr>
      <w:sz w:val="17"/>
      <w:szCs w:val="20"/>
    </w:rPr>
  </w:style>
  <w:style w:type="character" w:customStyle="1" w:styleId="FootnoteTextChar">
    <w:name w:val="Footnote Text Char"/>
    <w:link w:val="FootnoteText"/>
    <w:uiPriority w:val="99"/>
    <w:rsid w:val="009A2938"/>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9A2938"/>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9A2938"/>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9"/>
    <w:rsid w:val="009A2938"/>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9"/>
    <w:rsid w:val="009A2938"/>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9"/>
    <w:rsid w:val="009A2938"/>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9"/>
    <w:rsid w:val="009A2938"/>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9"/>
    <w:rsid w:val="009A2938"/>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9"/>
    <w:rsid w:val="009A2938"/>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rsid w:val="009A2938"/>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9"/>
    <w:rsid w:val="009A2938"/>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9"/>
    <w:rsid w:val="009A2938"/>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9A2938"/>
    <w:rPr>
      <w:sz w:val="14"/>
    </w:rPr>
  </w:style>
  <w:style w:type="paragraph" w:styleId="ListParagraph">
    <w:name w:val="List Paragraph"/>
    <w:basedOn w:val="Normal"/>
    <w:uiPriority w:val="34"/>
    <w:qFormat/>
    <w:rsid w:val="009A2938"/>
    <w:pPr>
      <w:ind w:left="720"/>
      <w:contextualSpacing/>
    </w:pPr>
  </w:style>
  <w:style w:type="paragraph" w:styleId="NoSpacing">
    <w:name w:val="No Spacing"/>
    <w:uiPriority w:val="1"/>
    <w:qFormat/>
    <w:rsid w:val="009A2938"/>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9A293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9A293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9A2938"/>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9A2938"/>
    <w:pPr>
      <w:tabs>
        <w:tab w:val="right" w:pos="9965"/>
      </w:tabs>
      <w:spacing w:line="210" w:lineRule="exact"/>
    </w:pPr>
    <w:rPr>
      <w:spacing w:val="5"/>
      <w:w w:val="104"/>
      <w:sz w:val="17"/>
    </w:rPr>
  </w:style>
  <w:style w:type="paragraph" w:customStyle="1" w:styleId="SmallX">
    <w:name w:val="SmallX"/>
    <w:basedOn w:val="Small"/>
    <w:next w:val="Normal"/>
    <w:qFormat/>
    <w:rsid w:val="009A2938"/>
    <w:pPr>
      <w:spacing w:line="180" w:lineRule="exact"/>
      <w:jc w:val="right"/>
    </w:pPr>
    <w:rPr>
      <w:spacing w:val="6"/>
      <w:w w:val="106"/>
      <w:sz w:val="14"/>
    </w:rPr>
  </w:style>
  <w:style w:type="character" w:styleId="Strong">
    <w:name w:val="Strong"/>
    <w:uiPriority w:val="99"/>
    <w:qFormat/>
    <w:rsid w:val="009A2938"/>
    <w:rPr>
      <w:b/>
      <w:bCs/>
    </w:rPr>
  </w:style>
  <w:style w:type="paragraph" w:customStyle="1" w:styleId="Style1">
    <w:name w:val="Style1"/>
    <w:basedOn w:val="Normal"/>
    <w:qFormat/>
    <w:rsid w:val="009A2938"/>
  </w:style>
  <w:style w:type="paragraph" w:customStyle="1" w:styleId="Style2">
    <w:name w:val="Style2"/>
    <w:basedOn w:val="Normal"/>
    <w:autoRedefine/>
    <w:qFormat/>
    <w:rsid w:val="009A2938"/>
  </w:style>
  <w:style w:type="paragraph" w:customStyle="1" w:styleId="TitleHCH">
    <w:name w:val="Title_H_CH"/>
    <w:basedOn w:val="H1"/>
    <w:next w:val="Normal"/>
    <w:qFormat/>
    <w:rsid w:val="009A293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9A293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9A2938"/>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6F370E"/>
    <w:pPr>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table" w:styleId="TableGrid">
    <w:name w:val="Table Grid"/>
    <w:basedOn w:val="TableNormal"/>
    <w:uiPriority w:val="59"/>
    <w:rsid w:val="00E56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6F8B"/>
    <w:rPr>
      <w:sz w:val="16"/>
      <w:szCs w:val="16"/>
    </w:rPr>
  </w:style>
  <w:style w:type="paragraph" w:styleId="CommentText">
    <w:name w:val="annotation text"/>
    <w:basedOn w:val="Normal"/>
    <w:link w:val="CommentTextChar"/>
    <w:uiPriority w:val="99"/>
    <w:semiHidden/>
    <w:unhideWhenUsed/>
    <w:rsid w:val="00E56F8B"/>
    <w:pPr>
      <w:spacing w:line="240" w:lineRule="auto"/>
    </w:pPr>
    <w:rPr>
      <w:szCs w:val="20"/>
    </w:rPr>
  </w:style>
  <w:style w:type="character" w:customStyle="1" w:styleId="CommentTextChar">
    <w:name w:val="Comment Text Char"/>
    <w:basedOn w:val="DefaultParagraphFont"/>
    <w:link w:val="CommentText"/>
    <w:uiPriority w:val="99"/>
    <w:semiHidden/>
    <w:rsid w:val="00E56F8B"/>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E56F8B"/>
    <w:rPr>
      <w:b/>
      <w:bCs/>
    </w:rPr>
  </w:style>
  <w:style w:type="character" w:customStyle="1" w:styleId="CommentSubjectChar">
    <w:name w:val="Comment Subject Char"/>
    <w:basedOn w:val="CommentTextChar"/>
    <w:link w:val="CommentSubject"/>
    <w:uiPriority w:val="99"/>
    <w:semiHidden/>
    <w:rsid w:val="00E56F8B"/>
    <w:rPr>
      <w:rFonts w:ascii="Times New Roman" w:eastAsiaTheme="minorHAnsi" w:hAnsi="Times New Roman" w:cs="Times New Roman"/>
      <w:b/>
      <w:bCs/>
      <w:spacing w:val="4"/>
      <w:w w:val="103"/>
      <w:kern w:val="14"/>
      <w:sz w:val="20"/>
      <w:szCs w:val="20"/>
      <w:lang w:val="fr-CA" w:eastAsia="en-US"/>
    </w:rPr>
  </w:style>
  <w:style w:type="paragraph" w:styleId="Date">
    <w:name w:val="Date"/>
    <w:basedOn w:val="Normal"/>
    <w:next w:val="Normal"/>
    <w:link w:val="DateChar"/>
    <w:uiPriority w:val="99"/>
    <w:semiHidden/>
    <w:unhideWhenUsed/>
    <w:rsid w:val="007032B3"/>
  </w:style>
  <w:style w:type="character" w:customStyle="1" w:styleId="DateChar">
    <w:name w:val="Date Char"/>
    <w:basedOn w:val="DefaultParagraphFont"/>
    <w:link w:val="Date"/>
    <w:uiPriority w:val="99"/>
    <w:semiHidden/>
    <w:rsid w:val="007032B3"/>
    <w:rPr>
      <w:rFonts w:ascii="Times New Roman" w:eastAsiaTheme="minorHAnsi" w:hAnsi="Times New Roman" w:cs="Times New Roman"/>
      <w:spacing w:val="4"/>
      <w:w w:val="103"/>
      <w:kern w:val="14"/>
      <w:sz w:val="20"/>
      <w:lang w:val="fr-CA" w:eastAsia="en-US"/>
    </w:rPr>
  </w:style>
  <w:style w:type="character" w:styleId="Hyperlink">
    <w:name w:val="Hyperlink"/>
    <w:basedOn w:val="DefaultParagraphFont"/>
    <w:uiPriority w:val="99"/>
    <w:unhideWhenUsed/>
    <w:rsid w:val="008B32A0"/>
    <w:rPr>
      <w:color w:val="0000FF"/>
      <w:u w:val="none"/>
    </w:rPr>
  </w:style>
  <w:style w:type="character" w:styleId="FollowedHyperlink">
    <w:name w:val="FollowedHyperlink"/>
    <w:basedOn w:val="DefaultParagraphFont"/>
    <w:uiPriority w:val="99"/>
    <w:semiHidden/>
    <w:unhideWhenUsed/>
    <w:rsid w:val="008B32A0"/>
    <w:rPr>
      <w:color w:val="0000FF"/>
      <w:u w:val="none"/>
    </w:rPr>
  </w:style>
  <w:style w:type="character" w:styleId="UnresolvedMention">
    <w:name w:val="Unresolved Mention"/>
    <w:basedOn w:val="DefaultParagraphFont"/>
    <w:uiPriority w:val="99"/>
    <w:semiHidden/>
    <w:unhideWhenUsed/>
    <w:rsid w:val="008B32A0"/>
    <w:rPr>
      <w:color w:val="605E5C"/>
      <w:shd w:val="clear" w:color="auto" w:fill="E1DFDD"/>
    </w:rPr>
  </w:style>
  <w:style w:type="paragraph" w:styleId="Revision">
    <w:name w:val="Revision"/>
    <w:hidden/>
    <w:uiPriority w:val="99"/>
    <w:semiHidden/>
    <w:rsid w:val="00DB7521"/>
    <w:pPr>
      <w:spacing w:after="0" w:line="240" w:lineRule="auto"/>
    </w:pPr>
    <w:rPr>
      <w:rFonts w:ascii="Times New Roman" w:eastAsiaTheme="minorHAnsi" w:hAnsi="Times New Roman" w:cs="Times New Roman"/>
      <w:spacing w:val="4"/>
      <w:w w:val="103"/>
      <w:kern w:val="14"/>
      <w:sz w:val="20"/>
      <w:lang w:val="fr-CA" w:eastAsia="en-US"/>
    </w:rPr>
  </w:style>
  <w:style w:type="paragraph" w:styleId="BodyText">
    <w:name w:val="Body Text"/>
    <w:basedOn w:val="Normal"/>
    <w:link w:val="BodyTextChar"/>
    <w:uiPriority w:val="99"/>
    <w:qFormat/>
    <w:rsid w:val="006A2B1E"/>
    <w:pPr>
      <w:spacing w:line="240" w:lineRule="auto"/>
      <w:jc w:val="both"/>
    </w:pPr>
    <w:rPr>
      <w:rFonts w:eastAsia="Arial"/>
      <w:spacing w:val="0"/>
      <w:w w:val="100"/>
      <w:kern w:val="0"/>
      <w:szCs w:val="20"/>
      <w:lang w:val="en-US"/>
    </w:rPr>
  </w:style>
  <w:style w:type="character" w:customStyle="1" w:styleId="BodyTextChar">
    <w:name w:val="Body Text Char"/>
    <w:basedOn w:val="DefaultParagraphFont"/>
    <w:link w:val="BodyText"/>
    <w:uiPriority w:val="99"/>
    <w:rsid w:val="006A2B1E"/>
    <w:rPr>
      <w:rFonts w:ascii="Times New Roman" w:eastAsia="Arial" w:hAnsi="Times New Roman" w:cs="Times New Roman"/>
      <w:sz w:val="20"/>
      <w:szCs w:val="20"/>
      <w:lang w:val="en-US" w:eastAsia="en-US"/>
    </w:rPr>
  </w:style>
  <w:style w:type="character" w:customStyle="1" w:styleId="SingleTxtChar">
    <w:name w:val="__Single Txt Char"/>
    <w:link w:val="SingleTxt"/>
    <w:rsid w:val="006A2B1E"/>
    <w:rPr>
      <w:rFonts w:ascii="Times New Roman" w:eastAsiaTheme="minorHAnsi" w:hAnsi="Times New Roman" w:cs="Times New Roman"/>
      <w:spacing w:val="4"/>
      <w:w w:val="103"/>
      <w:kern w:val="14"/>
      <w:sz w:val="20"/>
      <w:lang w:val="fr-CA" w:eastAsia="en-US"/>
    </w:rPr>
  </w:style>
  <w:style w:type="paragraph" w:styleId="TOCHeading">
    <w:name w:val="TOC Heading"/>
    <w:basedOn w:val="Heading1"/>
    <w:next w:val="BodyText"/>
    <w:uiPriority w:val="39"/>
    <w:qFormat/>
    <w:rsid w:val="006A2B1E"/>
    <w:pPr>
      <w:keepNext/>
      <w:keepLines/>
      <w:numPr>
        <w:numId w:val="0"/>
      </w:numPr>
      <w:spacing w:before="480" w:after="0" w:line="276" w:lineRule="auto"/>
      <w:jc w:val="both"/>
      <w:outlineLvl w:val="9"/>
    </w:pPr>
    <w:rPr>
      <w:rFonts w:ascii="Times New Roman" w:eastAsia="Arial" w:hAnsi="Times New Roman"/>
      <w:b w:val="0"/>
      <w:color w:val="00011F"/>
      <w:spacing w:val="0"/>
      <w:w w:val="100"/>
      <w:kern w:val="0"/>
      <w:sz w:val="28"/>
      <w:lang w:val="en-US"/>
    </w:rPr>
  </w:style>
  <w:style w:type="paragraph" w:styleId="Title">
    <w:name w:val="Title"/>
    <w:basedOn w:val="Normal"/>
    <w:next w:val="Subtitle"/>
    <w:link w:val="TitleChar"/>
    <w:uiPriority w:val="99"/>
    <w:qFormat/>
    <w:rsid w:val="006A2B1E"/>
    <w:pPr>
      <w:pageBreakBefore/>
      <w:spacing w:line="240" w:lineRule="auto"/>
      <w:jc w:val="both"/>
    </w:pPr>
    <w:rPr>
      <w:rFonts w:eastAsia="Arial"/>
      <w:color w:val="00011F"/>
      <w:spacing w:val="5"/>
      <w:w w:val="100"/>
      <w:kern w:val="28"/>
      <w:sz w:val="52"/>
      <w:szCs w:val="52"/>
      <w:lang w:val="en-US"/>
    </w:rPr>
  </w:style>
  <w:style w:type="character" w:customStyle="1" w:styleId="TitleChar">
    <w:name w:val="Title Char"/>
    <w:basedOn w:val="DefaultParagraphFont"/>
    <w:link w:val="Title"/>
    <w:uiPriority w:val="99"/>
    <w:rsid w:val="006A2B1E"/>
    <w:rPr>
      <w:rFonts w:ascii="Times New Roman" w:eastAsia="Arial" w:hAnsi="Times New Roman" w:cs="Times New Roman"/>
      <w:color w:val="00011F"/>
      <w:spacing w:val="5"/>
      <w:kern w:val="28"/>
      <w:sz w:val="52"/>
      <w:szCs w:val="52"/>
      <w:lang w:val="en-US" w:eastAsia="en-US"/>
    </w:rPr>
  </w:style>
  <w:style w:type="paragraph" w:styleId="Subtitle">
    <w:name w:val="Subtitle"/>
    <w:basedOn w:val="Normal"/>
    <w:next w:val="BodyText"/>
    <w:link w:val="SubtitleChar"/>
    <w:uiPriority w:val="99"/>
    <w:qFormat/>
    <w:rsid w:val="006A2B1E"/>
    <w:pPr>
      <w:numPr>
        <w:ilvl w:val="1"/>
      </w:numPr>
      <w:spacing w:line="240" w:lineRule="auto"/>
      <w:jc w:val="both"/>
    </w:pPr>
    <w:rPr>
      <w:rFonts w:eastAsia="Arial"/>
      <w:iCs/>
      <w:color w:val="A2978A"/>
      <w:spacing w:val="0"/>
      <w:w w:val="100"/>
      <w:kern w:val="0"/>
      <w:szCs w:val="24"/>
      <w:lang w:val="en-US"/>
    </w:rPr>
  </w:style>
  <w:style w:type="character" w:customStyle="1" w:styleId="SubtitleChar">
    <w:name w:val="Subtitle Char"/>
    <w:basedOn w:val="DefaultParagraphFont"/>
    <w:link w:val="Subtitle"/>
    <w:uiPriority w:val="99"/>
    <w:rsid w:val="006A2B1E"/>
    <w:rPr>
      <w:rFonts w:ascii="Times New Roman" w:eastAsia="Arial" w:hAnsi="Times New Roman" w:cs="Times New Roman"/>
      <w:iCs/>
      <w:color w:val="A2978A"/>
      <w:sz w:val="20"/>
      <w:szCs w:val="24"/>
      <w:lang w:val="en-US" w:eastAsia="en-US"/>
    </w:rPr>
  </w:style>
  <w:style w:type="paragraph" w:styleId="Caption">
    <w:name w:val="caption"/>
    <w:basedOn w:val="Normal"/>
    <w:next w:val="Normal"/>
    <w:uiPriority w:val="99"/>
    <w:qFormat/>
    <w:rsid w:val="006A2B1E"/>
    <w:pPr>
      <w:spacing w:line="240" w:lineRule="auto"/>
      <w:jc w:val="both"/>
    </w:pPr>
    <w:rPr>
      <w:rFonts w:eastAsia="Times New Roman"/>
      <w:b/>
      <w:bCs/>
      <w:color w:val="000000"/>
      <w:spacing w:val="0"/>
      <w:w w:val="100"/>
      <w:kern w:val="0"/>
      <w:sz w:val="18"/>
      <w:szCs w:val="18"/>
      <w:lang w:val="en-GB"/>
    </w:rPr>
  </w:style>
  <w:style w:type="paragraph" w:styleId="BlockText">
    <w:name w:val="Block Text"/>
    <w:basedOn w:val="Normal"/>
    <w:uiPriority w:val="99"/>
    <w:semiHidden/>
    <w:rsid w:val="006A2B1E"/>
    <w:pPr>
      <w:pBdr>
        <w:top w:val="single" w:sz="2" w:space="10" w:color="auto"/>
        <w:left w:val="single" w:sz="2" w:space="10" w:color="auto"/>
        <w:bottom w:val="single" w:sz="2" w:space="10" w:color="auto"/>
        <w:right w:val="single" w:sz="2" w:space="10" w:color="auto"/>
      </w:pBdr>
      <w:spacing w:line="240" w:lineRule="auto"/>
      <w:ind w:left="1152" w:right="1152"/>
      <w:jc w:val="both"/>
    </w:pPr>
    <w:rPr>
      <w:rFonts w:eastAsia="Arial"/>
      <w:i/>
      <w:iCs/>
      <w:color w:val="000000"/>
      <w:spacing w:val="0"/>
      <w:w w:val="100"/>
      <w:kern w:val="0"/>
      <w:lang w:val="en-GB"/>
    </w:rPr>
  </w:style>
  <w:style w:type="character" w:styleId="IntenseEmphasis">
    <w:name w:val="Intense Emphasis"/>
    <w:basedOn w:val="DefaultParagraphFont"/>
    <w:uiPriority w:val="99"/>
    <w:qFormat/>
    <w:rsid w:val="006A2B1E"/>
    <w:rPr>
      <w:b/>
      <w:i/>
      <w:color w:val="auto"/>
      <w:u w:val="none"/>
    </w:rPr>
  </w:style>
  <w:style w:type="paragraph" w:styleId="IntenseQuote">
    <w:name w:val="Intense Quote"/>
    <w:basedOn w:val="Normal"/>
    <w:next w:val="Normal"/>
    <w:link w:val="IntenseQuoteChar"/>
    <w:uiPriority w:val="99"/>
    <w:qFormat/>
    <w:rsid w:val="006A2B1E"/>
    <w:pPr>
      <w:pBdr>
        <w:bottom w:val="single" w:sz="4" w:space="4" w:color="auto"/>
      </w:pBdr>
      <w:spacing w:line="240" w:lineRule="auto"/>
      <w:ind w:left="936" w:right="936"/>
      <w:jc w:val="both"/>
    </w:pPr>
    <w:rPr>
      <w:rFonts w:eastAsia="Arial"/>
      <w:b/>
      <w:bCs/>
      <w:i/>
      <w:iCs/>
      <w:spacing w:val="0"/>
      <w:w w:val="100"/>
      <w:kern w:val="0"/>
      <w:lang w:val="en-US"/>
    </w:rPr>
  </w:style>
  <w:style w:type="character" w:customStyle="1" w:styleId="IntenseQuoteChar">
    <w:name w:val="Intense Quote Char"/>
    <w:basedOn w:val="DefaultParagraphFont"/>
    <w:link w:val="IntenseQuote"/>
    <w:uiPriority w:val="99"/>
    <w:rsid w:val="006A2B1E"/>
    <w:rPr>
      <w:rFonts w:ascii="Times New Roman" w:eastAsia="Arial" w:hAnsi="Times New Roman" w:cs="Times New Roman"/>
      <w:b/>
      <w:bCs/>
      <w:i/>
      <w:iCs/>
      <w:sz w:val="20"/>
      <w:lang w:val="en-US" w:eastAsia="en-US"/>
    </w:rPr>
  </w:style>
  <w:style w:type="character" w:styleId="IntenseReference">
    <w:name w:val="Intense Reference"/>
    <w:basedOn w:val="DefaultParagraphFont"/>
    <w:uiPriority w:val="99"/>
    <w:qFormat/>
    <w:rsid w:val="006A2B1E"/>
    <w:rPr>
      <w:b/>
      <w:smallCaps/>
      <w:color w:val="auto"/>
      <w:spacing w:val="5"/>
      <w:u w:val="none"/>
    </w:rPr>
  </w:style>
  <w:style w:type="character" w:styleId="SubtleEmphasis">
    <w:name w:val="Subtle Emphasis"/>
    <w:basedOn w:val="DefaultParagraphFont"/>
    <w:uiPriority w:val="99"/>
    <w:qFormat/>
    <w:rsid w:val="006A2B1E"/>
    <w:rPr>
      <w:i/>
      <w:color w:val="auto"/>
      <w:u w:val="none"/>
    </w:rPr>
  </w:style>
  <w:style w:type="character" w:styleId="SubtleReference">
    <w:name w:val="Subtle Reference"/>
    <w:basedOn w:val="DefaultParagraphFont"/>
    <w:uiPriority w:val="99"/>
    <w:qFormat/>
    <w:rsid w:val="006A2B1E"/>
    <w:rPr>
      <w:smallCaps/>
      <w:color w:val="auto"/>
      <w:u w:val="single"/>
    </w:rPr>
  </w:style>
  <w:style w:type="paragraph" w:styleId="ListBullet">
    <w:name w:val="List Bullet"/>
    <w:basedOn w:val="Normal"/>
    <w:uiPriority w:val="99"/>
    <w:rsid w:val="006A2B1E"/>
    <w:pPr>
      <w:numPr>
        <w:numId w:val="10"/>
      </w:numPr>
      <w:spacing w:line="240" w:lineRule="auto"/>
      <w:jc w:val="both"/>
    </w:pPr>
    <w:rPr>
      <w:rFonts w:eastAsia="Times New Roman"/>
      <w:color w:val="000000"/>
      <w:spacing w:val="0"/>
      <w:w w:val="100"/>
      <w:kern w:val="0"/>
      <w:szCs w:val="21"/>
      <w:lang w:val="en-GB"/>
    </w:rPr>
  </w:style>
  <w:style w:type="paragraph" w:styleId="ListBullet2">
    <w:name w:val="List Bullet 2"/>
    <w:basedOn w:val="Normal"/>
    <w:uiPriority w:val="99"/>
    <w:rsid w:val="006A2B1E"/>
    <w:pPr>
      <w:numPr>
        <w:ilvl w:val="1"/>
        <w:numId w:val="10"/>
      </w:numPr>
      <w:spacing w:line="240" w:lineRule="auto"/>
      <w:jc w:val="both"/>
    </w:pPr>
    <w:rPr>
      <w:rFonts w:eastAsia="Times New Roman"/>
      <w:color w:val="000000"/>
      <w:spacing w:val="0"/>
      <w:w w:val="100"/>
      <w:kern w:val="0"/>
      <w:szCs w:val="21"/>
      <w:lang w:val="en-GB"/>
    </w:rPr>
  </w:style>
  <w:style w:type="paragraph" w:styleId="ListBullet3">
    <w:name w:val="List Bullet 3"/>
    <w:basedOn w:val="Normal"/>
    <w:uiPriority w:val="99"/>
    <w:rsid w:val="006A2B1E"/>
    <w:pPr>
      <w:numPr>
        <w:ilvl w:val="2"/>
        <w:numId w:val="10"/>
      </w:numPr>
      <w:spacing w:line="240" w:lineRule="auto"/>
      <w:jc w:val="both"/>
    </w:pPr>
    <w:rPr>
      <w:rFonts w:eastAsia="Times New Roman"/>
      <w:color w:val="000000"/>
      <w:spacing w:val="0"/>
      <w:w w:val="100"/>
      <w:kern w:val="0"/>
      <w:szCs w:val="21"/>
      <w:lang w:val="en-GB"/>
    </w:rPr>
  </w:style>
  <w:style w:type="paragraph" w:styleId="ListNumber">
    <w:name w:val="List Number"/>
    <w:basedOn w:val="Normal"/>
    <w:uiPriority w:val="99"/>
    <w:rsid w:val="006A2B1E"/>
    <w:pPr>
      <w:numPr>
        <w:numId w:val="11"/>
      </w:numPr>
      <w:spacing w:line="240" w:lineRule="auto"/>
      <w:jc w:val="both"/>
    </w:pPr>
    <w:rPr>
      <w:rFonts w:eastAsia="Times New Roman"/>
      <w:color w:val="000000"/>
      <w:spacing w:val="0"/>
      <w:w w:val="100"/>
      <w:kern w:val="0"/>
      <w:szCs w:val="21"/>
      <w:lang w:val="en-GB"/>
    </w:rPr>
  </w:style>
  <w:style w:type="paragraph" w:customStyle="1" w:styleId="BodySingle">
    <w:name w:val="Body Single"/>
    <w:basedOn w:val="BodyText"/>
    <w:link w:val="BodySingleChar"/>
    <w:uiPriority w:val="99"/>
    <w:rsid w:val="006A2B1E"/>
  </w:style>
  <w:style w:type="character" w:customStyle="1" w:styleId="BodySingleChar">
    <w:name w:val="Body Single Char"/>
    <w:link w:val="BodySingle"/>
    <w:uiPriority w:val="99"/>
    <w:locked/>
    <w:rsid w:val="006A2B1E"/>
    <w:rPr>
      <w:rFonts w:ascii="Times New Roman" w:eastAsia="Arial" w:hAnsi="Times New Roman" w:cs="Times New Roman"/>
      <w:sz w:val="20"/>
      <w:szCs w:val="20"/>
      <w:lang w:val="en-US" w:eastAsia="en-US"/>
    </w:rPr>
  </w:style>
  <w:style w:type="table" w:customStyle="1" w:styleId="LightShading-Accent21">
    <w:name w:val="Light Shading - Accent 21"/>
    <w:uiPriority w:val="99"/>
    <w:rsid w:val="006A2B1E"/>
    <w:pPr>
      <w:spacing w:after="0" w:line="240" w:lineRule="auto"/>
    </w:pPr>
    <w:rPr>
      <w:rFonts w:ascii="Arial" w:eastAsia="Times New Roman" w:hAnsi="Arial" w:cs="Times New Roman"/>
      <w:color w:val="83756D"/>
      <w:sz w:val="20"/>
      <w:szCs w:val="20"/>
      <w:lang w:val="en-US" w:eastAsia="en-US"/>
    </w:rPr>
    <w:tblPr>
      <w:tblStyleRowBandSize w:val="1"/>
      <w:tblStyleColBandSize w:val="1"/>
      <w:tblBorders>
        <w:top w:val="single" w:sz="8" w:space="0" w:color="AA9F98"/>
        <w:bottom w:val="single" w:sz="8" w:space="0" w:color="AA9F98"/>
      </w:tblBorders>
      <w:tblCellMar>
        <w:top w:w="0" w:type="dxa"/>
        <w:left w:w="108" w:type="dxa"/>
        <w:bottom w:w="0" w:type="dxa"/>
        <w:right w:w="108" w:type="dxa"/>
      </w:tblCellMar>
    </w:tblPr>
  </w:style>
  <w:style w:type="table" w:customStyle="1" w:styleId="MediumShading1-Accent41">
    <w:name w:val="Medium Shading 1 - Accent 41"/>
    <w:uiPriority w:val="99"/>
    <w:rsid w:val="006A2B1E"/>
    <w:pPr>
      <w:spacing w:after="0" w:line="240" w:lineRule="auto"/>
    </w:pPr>
    <w:rPr>
      <w:rFonts w:ascii="Arial" w:eastAsia="Times New Roman" w:hAnsi="Arial" w:cs="Times New Roman"/>
      <w:sz w:val="20"/>
      <w:szCs w:val="20"/>
      <w:lang w:val="en-US" w:eastAsia="en-US"/>
    </w:rPr>
    <w:tblPr>
      <w:tblStyleRowBandSize w:val="1"/>
      <w:tblStyleColBandSize w:val="1"/>
      <w:tblBorders>
        <w:top w:val="single" w:sz="8" w:space="0" w:color="E5E2E0"/>
        <w:left w:val="single" w:sz="8" w:space="0" w:color="E5E2E0"/>
        <w:bottom w:val="single" w:sz="8" w:space="0" w:color="E5E2E0"/>
        <w:right w:val="single" w:sz="8" w:space="0" w:color="E5E2E0"/>
        <w:insideH w:val="single" w:sz="8" w:space="0" w:color="E5E2E0"/>
      </w:tblBorders>
      <w:tblCellMar>
        <w:top w:w="0" w:type="dxa"/>
        <w:left w:w="108" w:type="dxa"/>
        <w:bottom w:w="0" w:type="dxa"/>
        <w:right w:w="108" w:type="dxa"/>
      </w:tblCellMar>
    </w:tblPr>
  </w:style>
  <w:style w:type="table" w:customStyle="1" w:styleId="MediumShading11">
    <w:name w:val="Medium Shading 11"/>
    <w:uiPriority w:val="99"/>
    <w:rsid w:val="006A2B1E"/>
    <w:pPr>
      <w:spacing w:after="0" w:line="240" w:lineRule="auto"/>
    </w:pPr>
    <w:rPr>
      <w:rFonts w:ascii="Arial" w:eastAsia="Times New Roman" w:hAnsi="Arial" w:cs="Times New Roman"/>
      <w:sz w:val="16"/>
      <w:szCs w:val="20"/>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6A2B1E"/>
    <w:pPr>
      <w:spacing w:after="0" w:line="240" w:lineRule="auto"/>
    </w:pPr>
    <w:rPr>
      <w:rFonts w:ascii="Arial" w:eastAsia="Times New Roman" w:hAnsi="Arial" w:cs="Times New Roman"/>
      <w:sz w:val="20"/>
      <w:szCs w:val="20"/>
      <w:lang w:val="en-US" w:eastAsia="en-US"/>
    </w:rPr>
    <w:tblPr>
      <w:tblStyleRowBandSize w:val="1"/>
      <w:tblStyleColBandSize w:val="1"/>
      <w:tblBorders>
        <w:top w:val="single" w:sz="8" w:space="0" w:color="B9B1A7"/>
        <w:left w:val="single" w:sz="8" w:space="0" w:color="B9B1A7"/>
        <w:bottom w:val="single" w:sz="8" w:space="0" w:color="B9B1A7"/>
        <w:right w:val="single" w:sz="8" w:space="0" w:color="B9B1A7"/>
        <w:insideH w:val="single" w:sz="8" w:space="0" w:color="B9B1A7"/>
      </w:tblBorders>
      <w:tblCellMar>
        <w:top w:w="0" w:type="dxa"/>
        <w:left w:w="108" w:type="dxa"/>
        <w:bottom w:w="0" w:type="dxa"/>
        <w:right w:w="108" w:type="dxa"/>
      </w:tblCellMar>
    </w:tblPr>
  </w:style>
  <w:style w:type="table" w:customStyle="1" w:styleId="LightList1">
    <w:name w:val="Light List1"/>
    <w:uiPriority w:val="99"/>
    <w:rsid w:val="006A2B1E"/>
    <w:pPr>
      <w:spacing w:after="0" w:line="240" w:lineRule="auto"/>
    </w:pPr>
    <w:rPr>
      <w:rFonts w:ascii="Arial" w:eastAsia="Times New Roman" w:hAnsi="Arial" w:cs="Times New Roman"/>
      <w:sz w:val="20"/>
      <w:szCs w:val="20"/>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6A2B1E"/>
    <w:pPr>
      <w:spacing w:after="0" w:line="240" w:lineRule="auto"/>
    </w:pPr>
    <w:rPr>
      <w:rFonts w:ascii="Arial" w:eastAsia="Times New Roman" w:hAnsi="Arial" w:cs="Times New Roman"/>
      <w:sz w:val="20"/>
      <w:szCs w:val="20"/>
      <w:lang w:val="en-US" w:eastAsia="en-US"/>
    </w:rPr>
    <w:tblPr>
      <w:tblStyleRowBandSize w:val="1"/>
      <w:tblStyleColBandSize w:val="1"/>
      <w:tblBorders>
        <w:top w:val="single" w:sz="8" w:space="0" w:color="A2978A"/>
        <w:left w:val="single" w:sz="8" w:space="0" w:color="A2978A"/>
        <w:bottom w:val="single" w:sz="8" w:space="0" w:color="A2978A"/>
        <w:right w:val="single" w:sz="8" w:space="0" w:color="A2978A"/>
      </w:tblBorders>
      <w:tblCellMar>
        <w:top w:w="0" w:type="dxa"/>
        <w:left w:w="108" w:type="dxa"/>
        <w:bottom w:w="0" w:type="dxa"/>
        <w:right w:w="108" w:type="dxa"/>
      </w:tblCellMar>
    </w:tblPr>
  </w:style>
  <w:style w:type="paragraph" w:customStyle="1" w:styleId="SectionHeading">
    <w:name w:val="Section Heading"/>
    <w:basedOn w:val="Heading1"/>
    <w:next w:val="BodyText"/>
    <w:uiPriority w:val="99"/>
    <w:rsid w:val="006A2B1E"/>
    <w:pPr>
      <w:keepNext/>
      <w:keepLines/>
      <w:pageBreakBefore/>
      <w:framePr w:w="10478" w:wrap="notBeside" w:vAnchor="page" w:hAnchor="margin" w:y="1135"/>
      <w:numPr>
        <w:numId w:val="0"/>
      </w:numPr>
      <w:spacing w:before="0" w:after="120" w:line="720" w:lineRule="exact"/>
      <w:jc w:val="both"/>
    </w:pPr>
    <w:rPr>
      <w:rFonts w:ascii="Times New Roman" w:eastAsia="Arial" w:hAnsi="Times New Roman"/>
      <w:b w:val="0"/>
      <w:color w:val="00011F"/>
      <w:spacing w:val="0"/>
      <w:w w:val="100"/>
      <w:kern w:val="0"/>
      <w:sz w:val="72"/>
      <w:lang w:val="en-US"/>
    </w:rPr>
  </w:style>
  <w:style w:type="paragraph" w:customStyle="1" w:styleId="Logo">
    <w:name w:val="Logo"/>
    <w:basedOn w:val="Normal"/>
    <w:next w:val="BodyText"/>
    <w:uiPriority w:val="99"/>
    <w:rsid w:val="006A2B1E"/>
    <w:pPr>
      <w:spacing w:line="204" w:lineRule="auto"/>
      <w:jc w:val="right"/>
    </w:pPr>
    <w:rPr>
      <w:rFonts w:ascii="PwC_Logo" w:eastAsia="Times New Roman" w:hAnsi="PwC_Logo"/>
      <w:color w:val="00011F"/>
      <w:spacing w:val="0"/>
      <w:w w:val="100"/>
      <w:kern w:val="0"/>
      <w:sz w:val="48"/>
      <w:szCs w:val="48"/>
      <w:lang w:val="en-GB"/>
    </w:rPr>
  </w:style>
  <w:style w:type="paragraph" w:styleId="ListNumber2">
    <w:name w:val="List Number 2"/>
    <w:basedOn w:val="Normal"/>
    <w:uiPriority w:val="99"/>
    <w:rsid w:val="006A2B1E"/>
    <w:pPr>
      <w:numPr>
        <w:ilvl w:val="1"/>
        <w:numId w:val="11"/>
      </w:numPr>
      <w:spacing w:line="240" w:lineRule="auto"/>
      <w:jc w:val="both"/>
    </w:pPr>
    <w:rPr>
      <w:rFonts w:eastAsia="Times New Roman"/>
      <w:color w:val="000000"/>
      <w:spacing w:val="0"/>
      <w:w w:val="100"/>
      <w:kern w:val="0"/>
      <w:szCs w:val="21"/>
      <w:lang w:val="en-GB"/>
    </w:rPr>
  </w:style>
  <w:style w:type="paragraph" w:styleId="ListNumber3">
    <w:name w:val="List Number 3"/>
    <w:basedOn w:val="Normal"/>
    <w:uiPriority w:val="99"/>
    <w:rsid w:val="006A2B1E"/>
    <w:pPr>
      <w:numPr>
        <w:ilvl w:val="2"/>
        <w:numId w:val="11"/>
      </w:numPr>
      <w:spacing w:line="240" w:lineRule="auto"/>
      <w:jc w:val="both"/>
    </w:pPr>
    <w:rPr>
      <w:rFonts w:eastAsia="Times New Roman"/>
      <w:color w:val="000000"/>
      <w:spacing w:val="0"/>
      <w:w w:val="100"/>
      <w:kern w:val="0"/>
      <w:szCs w:val="21"/>
      <w:lang w:val="en-GB"/>
    </w:rPr>
  </w:style>
  <w:style w:type="table" w:customStyle="1" w:styleId="PwCTable1">
    <w:name w:val="PwC Table 1"/>
    <w:uiPriority w:val="99"/>
    <w:rsid w:val="006A2B1E"/>
    <w:pPr>
      <w:spacing w:after="0" w:line="240" w:lineRule="auto"/>
    </w:pPr>
    <w:rPr>
      <w:rFonts w:ascii="Arial" w:eastAsia="Times New Roman" w:hAnsi="Arial" w:cs="Times New Roman"/>
      <w:sz w:val="18"/>
      <w:lang w:val="en-US" w:eastAsia="en-US"/>
    </w:rPr>
    <w:tblPr>
      <w:tblStyleRowBandSize w:val="1"/>
      <w:tblBorders>
        <w:bottom w:val="single" w:sz="4" w:space="0" w:color="A2978A"/>
        <w:insideH w:val="single" w:sz="4" w:space="0" w:color="A2978A"/>
      </w:tblBorders>
      <w:tblCellMar>
        <w:top w:w="57" w:type="dxa"/>
        <w:left w:w="0" w:type="dxa"/>
        <w:bottom w:w="57" w:type="dxa"/>
        <w:right w:w="0" w:type="dxa"/>
      </w:tblCellMar>
    </w:tblPr>
  </w:style>
  <w:style w:type="paragraph" w:styleId="ListBullet4">
    <w:name w:val="List Bullet 4"/>
    <w:basedOn w:val="Normal"/>
    <w:uiPriority w:val="99"/>
    <w:semiHidden/>
    <w:rsid w:val="006A2B1E"/>
    <w:pPr>
      <w:numPr>
        <w:ilvl w:val="3"/>
        <w:numId w:val="10"/>
      </w:numPr>
      <w:tabs>
        <w:tab w:val="clear" w:pos="1588"/>
      </w:tabs>
      <w:spacing w:line="240" w:lineRule="auto"/>
      <w:ind w:left="0" w:firstLine="0"/>
      <w:jc w:val="both"/>
    </w:pPr>
    <w:rPr>
      <w:rFonts w:eastAsia="Times New Roman"/>
      <w:color w:val="000000"/>
      <w:spacing w:val="0"/>
      <w:w w:val="100"/>
      <w:kern w:val="0"/>
      <w:szCs w:val="21"/>
      <w:lang w:val="en-GB"/>
    </w:rPr>
  </w:style>
  <w:style w:type="paragraph" w:styleId="ListContinue">
    <w:name w:val="List Continue"/>
    <w:basedOn w:val="Normal"/>
    <w:uiPriority w:val="99"/>
    <w:rsid w:val="006A2B1E"/>
    <w:pPr>
      <w:spacing w:line="240" w:lineRule="auto"/>
      <w:ind w:left="397"/>
      <w:jc w:val="both"/>
    </w:pPr>
    <w:rPr>
      <w:rFonts w:eastAsia="Times New Roman"/>
      <w:color w:val="000000"/>
      <w:spacing w:val="0"/>
      <w:w w:val="100"/>
      <w:kern w:val="0"/>
      <w:szCs w:val="21"/>
      <w:lang w:val="en-GB"/>
    </w:rPr>
  </w:style>
  <w:style w:type="paragraph" w:styleId="ListContinue2">
    <w:name w:val="List Continue 2"/>
    <w:basedOn w:val="Normal"/>
    <w:uiPriority w:val="99"/>
    <w:rsid w:val="006A2B1E"/>
    <w:pPr>
      <w:spacing w:line="240" w:lineRule="auto"/>
      <w:ind w:left="794"/>
      <w:jc w:val="both"/>
    </w:pPr>
    <w:rPr>
      <w:rFonts w:eastAsia="Times New Roman"/>
      <w:color w:val="000000"/>
      <w:spacing w:val="0"/>
      <w:w w:val="100"/>
      <w:kern w:val="0"/>
      <w:szCs w:val="21"/>
      <w:lang w:val="en-GB"/>
    </w:rPr>
  </w:style>
  <w:style w:type="paragraph" w:styleId="List3">
    <w:name w:val="List 3"/>
    <w:basedOn w:val="Normal"/>
    <w:uiPriority w:val="99"/>
    <w:rsid w:val="006A2B1E"/>
    <w:pPr>
      <w:spacing w:line="240" w:lineRule="auto"/>
      <w:ind w:left="1191" w:hanging="397"/>
      <w:jc w:val="both"/>
    </w:pPr>
    <w:rPr>
      <w:rFonts w:eastAsia="Times New Roman"/>
      <w:color w:val="000000"/>
      <w:spacing w:val="0"/>
      <w:w w:val="100"/>
      <w:kern w:val="0"/>
      <w:szCs w:val="21"/>
      <w:lang w:val="en-GB"/>
    </w:rPr>
  </w:style>
  <w:style w:type="paragraph" w:styleId="List4">
    <w:name w:val="List 4"/>
    <w:basedOn w:val="Normal"/>
    <w:uiPriority w:val="99"/>
    <w:semiHidden/>
    <w:rsid w:val="006A2B1E"/>
    <w:pPr>
      <w:spacing w:line="240" w:lineRule="auto"/>
      <w:ind w:left="1588" w:hanging="397"/>
      <w:jc w:val="both"/>
    </w:pPr>
    <w:rPr>
      <w:rFonts w:eastAsia="Times New Roman"/>
      <w:color w:val="000000"/>
      <w:spacing w:val="0"/>
      <w:w w:val="100"/>
      <w:kern w:val="0"/>
      <w:szCs w:val="21"/>
      <w:lang w:val="en-GB"/>
    </w:rPr>
  </w:style>
  <w:style w:type="paragraph" w:styleId="List5">
    <w:name w:val="List 5"/>
    <w:basedOn w:val="Normal"/>
    <w:uiPriority w:val="99"/>
    <w:semiHidden/>
    <w:rsid w:val="006A2B1E"/>
    <w:pPr>
      <w:spacing w:line="240" w:lineRule="auto"/>
      <w:ind w:left="1985" w:hanging="397"/>
      <w:jc w:val="both"/>
    </w:pPr>
    <w:rPr>
      <w:rFonts w:eastAsia="Times New Roman"/>
      <w:color w:val="000000"/>
      <w:spacing w:val="0"/>
      <w:w w:val="100"/>
      <w:kern w:val="0"/>
      <w:szCs w:val="21"/>
      <w:lang w:val="en-GB"/>
    </w:rPr>
  </w:style>
  <w:style w:type="paragraph" w:styleId="ListContinue3">
    <w:name w:val="List Continue 3"/>
    <w:basedOn w:val="Normal"/>
    <w:uiPriority w:val="99"/>
    <w:rsid w:val="006A2B1E"/>
    <w:pPr>
      <w:spacing w:line="240" w:lineRule="auto"/>
      <w:ind w:left="1191"/>
      <w:jc w:val="both"/>
    </w:pPr>
    <w:rPr>
      <w:rFonts w:eastAsia="Times New Roman"/>
      <w:color w:val="000000"/>
      <w:spacing w:val="0"/>
      <w:w w:val="100"/>
      <w:kern w:val="0"/>
      <w:szCs w:val="21"/>
      <w:lang w:val="en-GB"/>
    </w:rPr>
  </w:style>
  <w:style w:type="paragraph" w:styleId="ListContinue4">
    <w:name w:val="List Continue 4"/>
    <w:basedOn w:val="Normal"/>
    <w:uiPriority w:val="99"/>
    <w:semiHidden/>
    <w:rsid w:val="006A2B1E"/>
    <w:pPr>
      <w:spacing w:line="240" w:lineRule="auto"/>
      <w:ind w:left="1588"/>
      <w:jc w:val="both"/>
    </w:pPr>
    <w:rPr>
      <w:rFonts w:eastAsia="Times New Roman"/>
      <w:color w:val="000000"/>
      <w:spacing w:val="0"/>
      <w:w w:val="100"/>
      <w:kern w:val="0"/>
      <w:szCs w:val="21"/>
      <w:lang w:val="en-GB"/>
    </w:rPr>
  </w:style>
  <w:style w:type="paragraph" w:styleId="ListContinue5">
    <w:name w:val="List Continue 5"/>
    <w:basedOn w:val="Normal"/>
    <w:uiPriority w:val="99"/>
    <w:semiHidden/>
    <w:rsid w:val="006A2B1E"/>
    <w:pPr>
      <w:spacing w:line="240" w:lineRule="auto"/>
      <w:ind w:left="1985"/>
      <w:jc w:val="both"/>
    </w:pPr>
    <w:rPr>
      <w:rFonts w:eastAsia="Times New Roman"/>
      <w:color w:val="000000"/>
      <w:spacing w:val="0"/>
      <w:w w:val="100"/>
      <w:kern w:val="0"/>
      <w:szCs w:val="21"/>
      <w:lang w:val="en-GB"/>
    </w:rPr>
  </w:style>
  <w:style w:type="paragraph" w:styleId="ListNumber4">
    <w:name w:val="List Number 4"/>
    <w:basedOn w:val="Normal"/>
    <w:uiPriority w:val="99"/>
    <w:semiHidden/>
    <w:rsid w:val="006A2B1E"/>
    <w:pPr>
      <w:numPr>
        <w:ilvl w:val="3"/>
        <w:numId w:val="11"/>
      </w:numPr>
      <w:tabs>
        <w:tab w:val="clear" w:pos="1588"/>
      </w:tabs>
      <w:spacing w:line="240" w:lineRule="auto"/>
      <w:ind w:left="0" w:firstLine="0"/>
      <w:jc w:val="both"/>
    </w:pPr>
    <w:rPr>
      <w:rFonts w:eastAsia="Times New Roman"/>
      <w:color w:val="000000"/>
      <w:spacing w:val="0"/>
      <w:w w:val="100"/>
      <w:kern w:val="0"/>
      <w:szCs w:val="21"/>
      <w:lang w:val="en-GB"/>
    </w:rPr>
  </w:style>
  <w:style w:type="paragraph" w:styleId="ListNumber5">
    <w:name w:val="List Number 5"/>
    <w:basedOn w:val="Normal"/>
    <w:uiPriority w:val="99"/>
    <w:semiHidden/>
    <w:rsid w:val="006A2B1E"/>
    <w:pPr>
      <w:numPr>
        <w:ilvl w:val="4"/>
        <w:numId w:val="11"/>
      </w:numPr>
      <w:tabs>
        <w:tab w:val="clear" w:pos="1985"/>
      </w:tabs>
      <w:spacing w:line="240" w:lineRule="auto"/>
      <w:ind w:left="0" w:firstLine="0"/>
      <w:jc w:val="both"/>
    </w:pPr>
    <w:rPr>
      <w:rFonts w:eastAsia="Times New Roman"/>
      <w:color w:val="000000"/>
      <w:spacing w:val="0"/>
      <w:w w:val="100"/>
      <w:kern w:val="0"/>
      <w:szCs w:val="21"/>
      <w:lang w:val="en-GB"/>
    </w:rPr>
  </w:style>
  <w:style w:type="paragraph" w:styleId="ListBullet5">
    <w:name w:val="List Bullet 5"/>
    <w:basedOn w:val="Normal"/>
    <w:uiPriority w:val="99"/>
    <w:semiHidden/>
    <w:rsid w:val="006A2B1E"/>
    <w:pPr>
      <w:numPr>
        <w:ilvl w:val="4"/>
        <w:numId w:val="10"/>
      </w:numPr>
      <w:tabs>
        <w:tab w:val="clear" w:pos="1985"/>
      </w:tabs>
      <w:spacing w:line="240" w:lineRule="auto"/>
      <w:ind w:left="0" w:firstLine="0"/>
      <w:jc w:val="both"/>
    </w:pPr>
    <w:rPr>
      <w:rFonts w:eastAsia="Times New Roman"/>
      <w:color w:val="000000"/>
      <w:spacing w:val="0"/>
      <w:w w:val="100"/>
      <w:kern w:val="0"/>
      <w:szCs w:val="21"/>
      <w:lang w:val="en-GB"/>
    </w:rPr>
  </w:style>
  <w:style w:type="paragraph" w:styleId="List2">
    <w:name w:val="List 2"/>
    <w:basedOn w:val="Normal"/>
    <w:uiPriority w:val="99"/>
    <w:rsid w:val="006A2B1E"/>
    <w:pPr>
      <w:spacing w:line="240" w:lineRule="auto"/>
      <w:ind w:left="794" w:hanging="397"/>
      <w:jc w:val="both"/>
    </w:pPr>
    <w:rPr>
      <w:rFonts w:eastAsia="Times New Roman"/>
      <w:color w:val="000000"/>
      <w:spacing w:val="0"/>
      <w:w w:val="100"/>
      <w:kern w:val="0"/>
      <w:szCs w:val="21"/>
      <w:lang w:val="en-GB"/>
    </w:rPr>
  </w:style>
  <w:style w:type="paragraph" w:styleId="List">
    <w:name w:val="List"/>
    <w:basedOn w:val="Normal"/>
    <w:uiPriority w:val="99"/>
    <w:rsid w:val="006A2B1E"/>
    <w:pPr>
      <w:spacing w:line="240" w:lineRule="auto"/>
      <w:ind w:left="397" w:hanging="397"/>
      <w:jc w:val="both"/>
    </w:pPr>
    <w:rPr>
      <w:rFonts w:eastAsia="Times New Roman"/>
      <w:color w:val="000000"/>
      <w:spacing w:val="0"/>
      <w:w w:val="100"/>
      <w:kern w:val="0"/>
      <w:szCs w:val="21"/>
      <w:lang w:val="en-GB"/>
    </w:rPr>
  </w:style>
  <w:style w:type="paragraph" w:customStyle="1" w:styleId="Default">
    <w:name w:val="Default"/>
    <w:rsid w:val="006A2B1E"/>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customStyle="1" w:styleId="SmallSubtitle">
    <w:name w:val="Small Subtitle"/>
    <w:basedOn w:val="Normal"/>
    <w:next w:val="Normal"/>
    <w:uiPriority w:val="99"/>
    <w:rsid w:val="006A2B1E"/>
    <w:pPr>
      <w:spacing w:after="120" w:line="240" w:lineRule="auto"/>
      <w:jc w:val="both"/>
    </w:pPr>
    <w:rPr>
      <w:rFonts w:eastAsia="Arial"/>
      <w:spacing w:val="0"/>
      <w:w w:val="100"/>
      <w:kern w:val="0"/>
      <w:sz w:val="36"/>
      <w:szCs w:val="48"/>
      <w:lang w:val="en-GB"/>
    </w:rPr>
  </w:style>
  <w:style w:type="paragraph" w:styleId="TOC2">
    <w:name w:val="toc 2"/>
    <w:basedOn w:val="Normal"/>
    <w:next w:val="Normal"/>
    <w:autoRedefine/>
    <w:uiPriority w:val="39"/>
    <w:qFormat/>
    <w:rsid w:val="006A2B1E"/>
    <w:pPr>
      <w:tabs>
        <w:tab w:val="left" w:pos="1440"/>
        <w:tab w:val="right" w:leader="dot" w:pos="10260"/>
      </w:tabs>
      <w:spacing w:line="240" w:lineRule="auto"/>
      <w:ind w:left="1620" w:hanging="450"/>
    </w:pPr>
    <w:rPr>
      <w:rFonts w:eastAsia="Times New Roman"/>
      <w:spacing w:val="0"/>
      <w:w w:val="100"/>
      <w:kern w:val="0"/>
      <w:szCs w:val="20"/>
      <w:lang w:val="en-GB" w:eastAsia="zh-CN"/>
    </w:rPr>
  </w:style>
  <w:style w:type="paragraph" w:styleId="TOC1">
    <w:name w:val="toc 1"/>
    <w:basedOn w:val="Normal"/>
    <w:next w:val="Normal"/>
    <w:autoRedefine/>
    <w:uiPriority w:val="39"/>
    <w:qFormat/>
    <w:rsid w:val="006A2B1E"/>
    <w:pPr>
      <w:tabs>
        <w:tab w:val="right" w:leader="dot" w:pos="10440"/>
      </w:tabs>
      <w:spacing w:before="120" w:line="240" w:lineRule="auto"/>
      <w:ind w:left="634" w:right="14"/>
      <w:jc w:val="both"/>
    </w:pPr>
    <w:rPr>
      <w:rFonts w:eastAsia="Times New Roman"/>
      <w:b/>
      <w:bCs/>
      <w:noProof/>
      <w:color w:val="00011F"/>
      <w:spacing w:val="0"/>
      <w:w w:val="100"/>
      <w:kern w:val="0"/>
      <w:szCs w:val="24"/>
      <w:lang w:val="en-GB"/>
    </w:rPr>
  </w:style>
  <w:style w:type="paragraph" w:styleId="TOC3">
    <w:name w:val="toc 3"/>
    <w:basedOn w:val="Normal"/>
    <w:next w:val="Normal"/>
    <w:autoRedefine/>
    <w:uiPriority w:val="39"/>
    <w:qFormat/>
    <w:rsid w:val="006A2B1E"/>
    <w:pPr>
      <w:tabs>
        <w:tab w:val="right" w:leader="dot" w:pos="10444"/>
      </w:tabs>
      <w:spacing w:line="240" w:lineRule="auto"/>
      <w:ind w:left="1612" w:hanging="446"/>
      <w:jc w:val="both"/>
    </w:pPr>
    <w:rPr>
      <w:rFonts w:eastAsia="Times New Roman"/>
      <w:spacing w:val="0"/>
      <w:w w:val="100"/>
      <w:kern w:val="0"/>
      <w:szCs w:val="20"/>
      <w:lang w:val="en-GB" w:eastAsia="zh-CN"/>
    </w:rPr>
  </w:style>
  <w:style w:type="paragraph" w:customStyle="1" w:styleId="Pa27">
    <w:name w:val="Pa27"/>
    <w:basedOn w:val="Default"/>
    <w:next w:val="Default"/>
    <w:uiPriority w:val="99"/>
    <w:rsid w:val="006A2B1E"/>
    <w:pPr>
      <w:spacing w:line="156" w:lineRule="atLeast"/>
    </w:pPr>
    <w:rPr>
      <w:rFonts w:ascii="HelveticaNeueLT Std" w:hAnsi="HelveticaNeueLT Std"/>
    </w:rPr>
  </w:style>
  <w:style w:type="paragraph" w:customStyle="1" w:styleId="Pa31">
    <w:name w:val="Pa31"/>
    <w:basedOn w:val="Default"/>
    <w:next w:val="Default"/>
    <w:uiPriority w:val="99"/>
    <w:rsid w:val="006A2B1E"/>
    <w:pPr>
      <w:spacing w:line="156" w:lineRule="atLeast"/>
    </w:pPr>
    <w:rPr>
      <w:rFonts w:ascii="HelveticaNeueLT Std" w:hAnsi="HelveticaNeueLT Std"/>
    </w:rPr>
  </w:style>
  <w:style w:type="paragraph" w:customStyle="1" w:styleId="Pa30">
    <w:name w:val="Pa30"/>
    <w:basedOn w:val="Default"/>
    <w:next w:val="Default"/>
    <w:uiPriority w:val="99"/>
    <w:rsid w:val="006A2B1E"/>
    <w:pPr>
      <w:spacing w:after="140" w:line="156" w:lineRule="atLeast"/>
    </w:pPr>
    <w:rPr>
      <w:rFonts w:ascii="HelveticaNeueLT Std" w:hAnsi="HelveticaNeueLT Std"/>
    </w:rPr>
  </w:style>
  <w:style w:type="paragraph" w:customStyle="1" w:styleId="Pa4">
    <w:name w:val="Pa4"/>
    <w:basedOn w:val="Default"/>
    <w:next w:val="Default"/>
    <w:uiPriority w:val="99"/>
    <w:rsid w:val="006A2B1E"/>
    <w:pPr>
      <w:spacing w:after="140" w:line="156" w:lineRule="atLeast"/>
    </w:pPr>
    <w:rPr>
      <w:rFonts w:ascii="HelveticaNeueLT Std" w:hAnsi="HelveticaNeueLT Std"/>
    </w:rPr>
  </w:style>
  <w:style w:type="paragraph" w:customStyle="1" w:styleId="Pa29">
    <w:name w:val="Pa29"/>
    <w:basedOn w:val="Default"/>
    <w:next w:val="Default"/>
    <w:rsid w:val="006A2B1E"/>
    <w:pPr>
      <w:spacing w:after="140" w:line="156" w:lineRule="atLeast"/>
    </w:pPr>
    <w:rPr>
      <w:rFonts w:ascii="HelveticaNeueLT Std" w:hAnsi="HelveticaNeueLT Std"/>
    </w:rPr>
  </w:style>
  <w:style w:type="character" w:customStyle="1" w:styleId="A10">
    <w:name w:val="A10"/>
    <w:uiPriority w:val="99"/>
    <w:rsid w:val="006A2B1E"/>
    <w:rPr>
      <w:color w:val="000000"/>
      <w:sz w:val="9"/>
    </w:rPr>
  </w:style>
  <w:style w:type="paragraph" w:customStyle="1" w:styleId="Tablecontent">
    <w:name w:val="Table content"/>
    <w:basedOn w:val="Normal"/>
    <w:uiPriority w:val="99"/>
    <w:rsid w:val="006A2B1E"/>
    <w:pPr>
      <w:spacing w:before="40" w:after="40" w:line="240" w:lineRule="auto"/>
      <w:jc w:val="both"/>
    </w:pPr>
    <w:rPr>
      <w:rFonts w:eastAsia="Arial"/>
      <w:spacing w:val="0"/>
      <w:w w:val="100"/>
      <w:kern w:val="0"/>
      <w:sz w:val="18"/>
      <w:lang w:val="en-GB"/>
    </w:rPr>
  </w:style>
  <w:style w:type="character" w:customStyle="1" w:styleId="Rowheader">
    <w:name w:val="Row header"/>
    <w:uiPriority w:val="99"/>
    <w:rsid w:val="006A2B1E"/>
    <w:rPr>
      <w:rFonts w:ascii="Times New Roman" w:hAnsi="Times New Roman"/>
      <w:b/>
      <w:color w:val="auto"/>
      <w:sz w:val="18"/>
    </w:rPr>
  </w:style>
  <w:style w:type="character" w:customStyle="1" w:styleId="A6">
    <w:name w:val="A6"/>
    <w:uiPriority w:val="99"/>
    <w:rsid w:val="006A2B1E"/>
    <w:rPr>
      <w:rFonts w:ascii="HelveticaNeue Condensed" w:hAnsi="HelveticaNeue Condensed"/>
      <w:b/>
      <w:color w:val="000000"/>
      <w:sz w:val="13"/>
    </w:rPr>
  </w:style>
  <w:style w:type="character" w:customStyle="1" w:styleId="A2">
    <w:name w:val="A2"/>
    <w:uiPriority w:val="99"/>
    <w:rsid w:val="006A2B1E"/>
    <w:rPr>
      <w:color w:val="000000"/>
      <w:sz w:val="15"/>
    </w:rPr>
  </w:style>
  <w:style w:type="character" w:customStyle="1" w:styleId="i1searchhl1">
    <w:name w:val="i1_searchhl1"/>
    <w:uiPriority w:val="99"/>
    <w:rsid w:val="006A2B1E"/>
    <w:rPr>
      <w:shd w:val="clear" w:color="auto" w:fill="FFFF00"/>
    </w:rPr>
  </w:style>
  <w:style w:type="character" w:styleId="Emphasis">
    <w:name w:val="Emphasis"/>
    <w:basedOn w:val="DefaultParagraphFont"/>
    <w:uiPriority w:val="20"/>
    <w:qFormat/>
    <w:rsid w:val="006A2B1E"/>
    <w:rPr>
      <w:rFonts w:cs="Times New Roman"/>
      <w:i/>
    </w:rPr>
  </w:style>
  <w:style w:type="paragraph" w:styleId="NormalWeb">
    <w:name w:val="Normal (Web)"/>
    <w:basedOn w:val="Normal"/>
    <w:uiPriority w:val="99"/>
    <w:semiHidden/>
    <w:rsid w:val="006A2B1E"/>
    <w:pPr>
      <w:spacing w:before="100" w:beforeAutospacing="1" w:after="100" w:afterAutospacing="1" w:line="240" w:lineRule="auto"/>
      <w:jc w:val="both"/>
    </w:pPr>
    <w:rPr>
      <w:rFonts w:eastAsia="Arial"/>
      <w:spacing w:val="0"/>
      <w:w w:val="100"/>
      <w:kern w:val="0"/>
      <w:szCs w:val="24"/>
      <w:lang w:val="en-US"/>
    </w:rPr>
  </w:style>
  <w:style w:type="paragraph" w:styleId="PlainText">
    <w:name w:val="Plain Text"/>
    <w:basedOn w:val="Normal"/>
    <w:link w:val="PlainTextChar"/>
    <w:uiPriority w:val="99"/>
    <w:rsid w:val="006A2B1E"/>
    <w:pPr>
      <w:spacing w:line="240" w:lineRule="auto"/>
      <w:jc w:val="both"/>
    </w:pPr>
    <w:rPr>
      <w:rFonts w:ascii="Courier New" w:eastAsia="Batang" w:hAnsi="Courier New"/>
      <w:spacing w:val="0"/>
      <w:w w:val="100"/>
      <w:kern w:val="0"/>
      <w:szCs w:val="20"/>
      <w:lang w:val="en-US"/>
    </w:rPr>
  </w:style>
  <w:style w:type="character" w:customStyle="1" w:styleId="PlainTextChar">
    <w:name w:val="Plain Text Char"/>
    <w:basedOn w:val="DefaultParagraphFont"/>
    <w:link w:val="PlainText"/>
    <w:uiPriority w:val="99"/>
    <w:rsid w:val="006A2B1E"/>
    <w:rPr>
      <w:rFonts w:ascii="Courier New" w:eastAsia="Batang" w:hAnsi="Courier New" w:cs="Times New Roman"/>
      <w:sz w:val="20"/>
      <w:szCs w:val="20"/>
      <w:lang w:val="en-US" w:eastAsia="en-US"/>
    </w:rPr>
  </w:style>
  <w:style w:type="paragraph" w:styleId="BodyText2">
    <w:name w:val="Body Text 2"/>
    <w:basedOn w:val="Normal"/>
    <w:link w:val="BodyText2Char"/>
    <w:uiPriority w:val="99"/>
    <w:semiHidden/>
    <w:rsid w:val="006A2B1E"/>
    <w:pPr>
      <w:spacing w:after="120" w:line="480" w:lineRule="auto"/>
      <w:jc w:val="both"/>
    </w:pPr>
    <w:rPr>
      <w:rFonts w:eastAsia="Arial"/>
      <w:spacing w:val="0"/>
      <w:w w:val="100"/>
      <w:kern w:val="0"/>
      <w:szCs w:val="20"/>
      <w:lang w:val="en-US"/>
    </w:rPr>
  </w:style>
  <w:style w:type="character" w:customStyle="1" w:styleId="BodyText2Char">
    <w:name w:val="Body Text 2 Char"/>
    <w:basedOn w:val="DefaultParagraphFont"/>
    <w:link w:val="BodyText2"/>
    <w:uiPriority w:val="99"/>
    <w:semiHidden/>
    <w:rsid w:val="006A2B1E"/>
    <w:rPr>
      <w:rFonts w:ascii="Times New Roman" w:eastAsia="Arial" w:hAnsi="Times New Roman" w:cs="Times New Roman"/>
      <w:sz w:val="20"/>
      <w:szCs w:val="20"/>
      <w:lang w:val="en-US" w:eastAsia="en-US"/>
    </w:rPr>
  </w:style>
  <w:style w:type="character" w:customStyle="1" w:styleId="homecontent11">
    <w:name w:val="homecontent11"/>
    <w:uiPriority w:val="99"/>
    <w:rsid w:val="006A2B1E"/>
    <w:rPr>
      <w:rFonts w:ascii="Arial" w:hAnsi="Arial"/>
      <w:color w:val="000000"/>
      <w:sz w:val="18"/>
    </w:rPr>
  </w:style>
  <w:style w:type="numbering" w:customStyle="1" w:styleId="PwCListNumbers1">
    <w:name w:val="PwC List Numbers 1"/>
    <w:rsid w:val="006A2B1E"/>
    <w:pPr>
      <w:numPr>
        <w:numId w:val="11"/>
      </w:numPr>
    </w:pPr>
  </w:style>
  <w:style w:type="numbering" w:customStyle="1" w:styleId="PwCListBullets1">
    <w:name w:val="PwC List Bullets 1"/>
    <w:rsid w:val="006A2B1E"/>
    <w:pPr>
      <w:numPr>
        <w:numId w:val="10"/>
      </w:numPr>
    </w:pPr>
  </w:style>
  <w:style w:type="table" w:customStyle="1" w:styleId="PwCTableText">
    <w:name w:val="PwC Table Text"/>
    <w:basedOn w:val="TableNormal"/>
    <w:uiPriority w:val="99"/>
    <w:qFormat/>
    <w:rsid w:val="006A2B1E"/>
    <w:pPr>
      <w:spacing w:before="60" w:after="60" w:line="240" w:lineRule="auto"/>
    </w:pPr>
    <w:rPr>
      <w:rFonts w:ascii="Georgia" w:eastAsiaTheme="minorHAnsi" w:hAnsi="Georgia"/>
      <w:sz w:val="20"/>
      <w:szCs w:val="20"/>
      <w:lang w:eastAsia="en-US"/>
    </w:rPr>
    <w:tblPr>
      <w:tblStyleRowBandSize w:val="1"/>
      <w:tblBorders>
        <w:insideH w:val="dotted" w:sz="4" w:space="0" w:color="1F497D" w:themeColor="text2"/>
      </w:tblBorders>
    </w:tblPr>
    <w:tblStylePr w:type="firstRow">
      <w:rPr>
        <w:b/>
      </w:rPr>
      <w:tblPr/>
      <w:tcPr>
        <w:tcBorders>
          <w:top w:val="single" w:sz="6" w:space="0" w:color="1F497D" w:themeColor="text2"/>
          <w:bottom w:val="single" w:sz="6" w:space="0" w:color="1F497D" w:themeColor="text2"/>
        </w:tcBorders>
      </w:tcPr>
    </w:tblStylePr>
    <w:tblStylePr w:type="lastRow">
      <w:rPr>
        <w:b/>
      </w:rPr>
      <w:tblPr/>
      <w:tcPr>
        <w:tcBorders>
          <w:top w:val="single" w:sz="6" w:space="0" w:color="1F497D" w:themeColor="text2"/>
          <w:bottom w:val="single" w:sz="6" w:space="0" w:color="1F497D" w:themeColor="text2"/>
        </w:tcBorders>
      </w:tcPr>
    </w:tblStylePr>
    <w:tblStylePr w:type="band1Horz">
      <w:tblPr/>
      <w:tcPr>
        <w:tcBorders>
          <w:bottom w:val="nil"/>
        </w:tcBorders>
      </w:tcPr>
    </w:tblStylePr>
  </w:style>
  <w:style w:type="character" w:customStyle="1" w:styleId="st">
    <w:name w:val="st"/>
    <w:basedOn w:val="DefaultParagraphFont"/>
    <w:rsid w:val="006A2B1E"/>
  </w:style>
  <w:style w:type="paragraph" w:customStyle="1" w:styleId="main-holder1">
    <w:name w:val="main-holder1"/>
    <w:basedOn w:val="Normal"/>
    <w:rsid w:val="006A2B1E"/>
    <w:pPr>
      <w:spacing w:before="100" w:beforeAutospacing="1" w:after="100" w:afterAutospacing="1" w:line="240" w:lineRule="auto"/>
      <w:jc w:val="both"/>
    </w:pPr>
    <w:rPr>
      <w:rFonts w:eastAsia="Times New Roman"/>
      <w:spacing w:val="0"/>
      <w:w w:val="100"/>
      <w:kern w:val="0"/>
      <w:szCs w:val="24"/>
      <w:lang w:val="en-US"/>
    </w:rPr>
  </w:style>
  <w:style w:type="paragraph" w:styleId="TOC4">
    <w:name w:val="toc 4"/>
    <w:basedOn w:val="Normal"/>
    <w:next w:val="Normal"/>
    <w:autoRedefine/>
    <w:uiPriority w:val="39"/>
    <w:unhideWhenUsed/>
    <w:rsid w:val="006A2B1E"/>
    <w:pPr>
      <w:spacing w:after="100" w:line="276" w:lineRule="auto"/>
      <w:ind w:left="660"/>
      <w:jc w:val="both"/>
    </w:pPr>
    <w:rPr>
      <w:rFonts w:eastAsiaTheme="minorEastAsia" w:cstheme="minorBidi"/>
      <w:spacing w:val="0"/>
      <w:w w:val="100"/>
      <w:kern w:val="0"/>
      <w:lang w:val="en-US"/>
    </w:rPr>
  </w:style>
  <w:style w:type="paragraph" w:styleId="TOC5">
    <w:name w:val="toc 5"/>
    <w:basedOn w:val="Normal"/>
    <w:next w:val="Normal"/>
    <w:autoRedefine/>
    <w:uiPriority w:val="39"/>
    <w:unhideWhenUsed/>
    <w:rsid w:val="006A2B1E"/>
    <w:pPr>
      <w:spacing w:after="100" w:line="276" w:lineRule="auto"/>
      <w:ind w:left="880"/>
      <w:jc w:val="both"/>
    </w:pPr>
    <w:rPr>
      <w:rFonts w:asciiTheme="minorHAnsi" w:eastAsiaTheme="minorEastAsia" w:hAnsiTheme="minorHAnsi" w:cstheme="minorBidi"/>
      <w:spacing w:val="0"/>
      <w:w w:val="100"/>
      <w:kern w:val="0"/>
      <w:lang w:val="en-US"/>
    </w:rPr>
  </w:style>
  <w:style w:type="paragraph" w:styleId="TOC6">
    <w:name w:val="toc 6"/>
    <w:basedOn w:val="Normal"/>
    <w:next w:val="Normal"/>
    <w:autoRedefine/>
    <w:uiPriority w:val="39"/>
    <w:unhideWhenUsed/>
    <w:rsid w:val="006A2B1E"/>
    <w:pPr>
      <w:spacing w:after="100" w:line="276" w:lineRule="auto"/>
      <w:ind w:left="1100"/>
      <w:jc w:val="both"/>
    </w:pPr>
    <w:rPr>
      <w:rFonts w:asciiTheme="minorHAnsi" w:eastAsiaTheme="minorEastAsia" w:hAnsiTheme="minorHAnsi" w:cstheme="minorBidi"/>
      <w:spacing w:val="0"/>
      <w:w w:val="100"/>
      <w:kern w:val="0"/>
      <w:lang w:val="en-US"/>
    </w:rPr>
  </w:style>
  <w:style w:type="paragraph" w:styleId="TOC7">
    <w:name w:val="toc 7"/>
    <w:basedOn w:val="Normal"/>
    <w:next w:val="Normal"/>
    <w:autoRedefine/>
    <w:uiPriority w:val="39"/>
    <w:unhideWhenUsed/>
    <w:rsid w:val="006A2B1E"/>
    <w:pPr>
      <w:spacing w:after="100" w:line="276" w:lineRule="auto"/>
      <w:ind w:left="1320"/>
      <w:jc w:val="both"/>
    </w:pPr>
    <w:rPr>
      <w:rFonts w:asciiTheme="minorHAnsi" w:eastAsiaTheme="minorEastAsia" w:hAnsiTheme="minorHAnsi" w:cstheme="minorBidi"/>
      <w:spacing w:val="0"/>
      <w:w w:val="100"/>
      <w:kern w:val="0"/>
      <w:lang w:val="en-US"/>
    </w:rPr>
  </w:style>
  <w:style w:type="paragraph" w:styleId="TOC8">
    <w:name w:val="toc 8"/>
    <w:basedOn w:val="Normal"/>
    <w:next w:val="Normal"/>
    <w:autoRedefine/>
    <w:uiPriority w:val="39"/>
    <w:unhideWhenUsed/>
    <w:rsid w:val="006A2B1E"/>
    <w:pPr>
      <w:spacing w:after="100" w:line="276" w:lineRule="auto"/>
      <w:ind w:left="1540"/>
      <w:jc w:val="both"/>
    </w:pPr>
    <w:rPr>
      <w:rFonts w:asciiTheme="minorHAnsi" w:eastAsiaTheme="minorEastAsia" w:hAnsiTheme="minorHAnsi" w:cstheme="minorBidi"/>
      <w:spacing w:val="0"/>
      <w:w w:val="100"/>
      <w:kern w:val="0"/>
      <w:lang w:val="en-US"/>
    </w:rPr>
  </w:style>
  <w:style w:type="paragraph" w:styleId="TOC9">
    <w:name w:val="toc 9"/>
    <w:basedOn w:val="Normal"/>
    <w:next w:val="Normal"/>
    <w:autoRedefine/>
    <w:uiPriority w:val="39"/>
    <w:unhideWhenUsed/>
    <w:rsid w:val="006A2B1E"/>
    <w:pPr>
      <w:spacing w:after="100" w:line="276" w:lineRule="auto"/>
      <w:ind w:left="1760"/>
      <w:jc w:val="both"/>
    </w:pPr>
    <w:rPr>
      <w:rFonts w:asciiTheme="minorHAnsi" w:eastAsiaTheme="minorEastAsia" w:hAnsiTheme="minorHAnsi" w:cstheme="minorBidi"/>
      <w:spacing w:val="0"/>
      <w:w w:val="100"/>
      <w:kern w:val="0"/>
      <w:lang w:val="en-US"/>
    </w:rPr>
  </w:style>
  <w:style w:type="table" w:customStyle="1" w:styleId="TableGrid1">
    <w:name w:val="Table Grid1"/>
    <w:basedOn w:val="TableNormal"/>
    <w:next w:val="TableGrid"/>
    <w:uiPriority w:val="59"/>
    <w:rsid w:val="006A2B1E"/>
    <w:pPr>
      <w:spacing w:after="0" w:line="240" w:lineRule="auto"/>
    </w:pPr>
    <w:rPr>
      <w:rFonts w:ascii="Arial" w:eastAsia="Times New Roman" w:hAnsi="Arial"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sub">
    <w:name w:val="Heading-sub"/>
    <w:basedOn w:val="Normal"/>
    <w:link w:val="Heading-subChar"/>
    <w:qFormat/>
    <w:rsid w:val="006A2B1E"/>
    <w:pPr>
      <w:keepNext/>
      <w:keepLines/>
      <w:tabs>
        <w:tab w:val="right" w:pos="1022"/>
        <w:tab w:val="left" w:pos="1267"/>
        <w:tab w:val="left" w:pos="3182"/>
        <w:tab w:val="left" w:pos="3658"/>
        <w:tab w:val="left" w:pos="4133"/>
        <w:tab w:val="left" w:pos="4622"/>
        <w:tab w:val="left" w:pos="5098"/>
        <w:tab w:val="left" w:pos="5573"/>
        <w:tab w:val="left" w:pos="6048"/>
      </w:tabs>
      <w:suppressAutoHyphens/>
      <w:ind w:left="1267" w:right="490" w:hanging="1267"/>
      <w:outlineLvl w:val="1"/>
    </w:pPr>
    <w:rPr>
      <w:b/>
      <w:spacing w:val="2"/>
      <w:szCs w:val="20"/>
      <w:lang w:val="en-GB"/>
    </w:rPr>
  </w:style>
  <w:style w:type="character" w:customStyle="1" w:styleId="Heading-subChar">
    <w:name w:val="Heading-sub Char"/>
    <w:basedOn w:val="DefaultParagraphFont"/>
    <w:link w:val="Heading-sub"/>
    <w:rsid w:val="006A2B1E"/>
    <w:rPr>
      <w:rFonts w:ascii="Times New Roman" w:eastAsiaTheme="minorHAnsi" w:hAnsi="Times New Roman" w:cs="Times New Roman"/>
      <w:b/>
      <w:spacing w:val="2"/>
      <w:w w:val="103"/>
      <w:kern w:val="14"/>
      <w:sz w:val="20"/>
      <w:szCs w:val="20"/>
      <w:lang w:eastAsia="en-US"/>
    </w:rPr>
  </w:style>
  <w:style w:type="paragraph" w:customStyle="1" w:styleId="xmsolistparagraph">
    <w:name w:val="x_msolistparagraph"/>
    <w:basedOn w:val="Normal"/>
    <w:rsid w:val="006A2B1E"/>
    <w:pPr>
      <w:spacing w:line="240" w:lineRule="auto"/>
      <w:ind w:left="720"/>
    </w:pPr>
    <w:rPr>
      <w:rFonts w:ascii="Calibri" w:hAnsi="Calibri" w:cs="Calibri"/>
      <w:spacing w:val="0"/>
      <w:w w:val="100"/>
      <w:kern w:val="0"/>
      <w:sz w:val="22"/>
      <w:lang w:val="en-US"/>
    </w:rPr>
  </w:style>
  <w:style w:type="table" w:customStyle="1" w:styleId="TableGrid2">
    <w:name w:val="Table Grid2"/>
    <w:basedOn w:val="TableNormal"/>
    <w:next w:val="TableGrid"/>
    <w:rsid w:val="006A2B1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A2B1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A2B1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A2B1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6A2B1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A2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yperlink" Target="https://undocs.org/fr/A/RES/72/262" TargetMode="External"/><Relationship Id="rId21" Type="http://schemas.openxmlformats.org/officeDocument/2006/relationships/header" Target="header5.xml"/><Relationship Id="rId34" Type="http://schemas.openxmlformats.org/officeDocument/2006/relationships/header" Target="header11.xml"/><Relationship Id="rId42" Type="http://schemas.openxmlformats.org/officeDocument/2006/relationships/hyperlink" Target="https://undocs.org/fr/A/RES/3081(XXVIII)" TargetMode="External"/><Relationship Id="rId47" Type="http://schemas.openxmlformats.org/officeDocument/2006/relationships/footer" Target="footer15.xml"/><Relationship Id="rId50" Type="http://schemas.openxmlformats.org/officeDocument/2006/relationships/header" Target="header17.xml"/><Relationship Id="rId55" Type="http://schemas.openxmlformats.org/officeDocument/2006/relationships/footer" Target="foot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9.xml"/><Relationship Id="rId11" Type="http://schemas.openxmlformats.org/officeDocument/2006/relationships/hyperlink" Target="https://undocs.org/fr/A/RES/74/263" TargetMode="Externa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oter" Target="footer13.xml"/><Relationship Id="rId40" Type="http://schemas.openxmlformats.org/officeDocument/2006/relationships/hyperlink" Target="https://undocs.org/fr/A/RES/74/263" TargetMode="External"/><Relationship Id="rId45" Type="http://schemas.openxmlformats.org/officeDocument/2006/relationships/header" Target="header14.xml"/><Relationship Id="rId53" Type="http://schemas.openxmlformats.org/officeDocument/2006/relationships/header" Target="header18.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2.xml"/><Relationship Id="rId43" Type="http://schemas.openxmlformats.org/officeDocument/2006/relationships/hyperlink" Target="https://undocs.org/fr/A/9149/Add.2" TargetMode="External"/><Relationship Id="rId48" Type="http://schemas.openxmlformats.org/officeDocument/2006/relationships/footer" Target="footer16.xml"/><Relationship Id="rId56" Type="http://schemas.openxmlformats.org/officeDocument/2006/relationships/footer" Target="footer20.xml"/><Relationship Id="rId8" Type="http://schemas.openxmlformats.org/officeDocument/2006/relationships/image" Target="media/image1.png"/><Relationship Id="rId51" Type="http://schemas.openxmlformats.org/officeDocument/2006/relationships/footer" Target="footer17.xml"/><Relationship Id="rId3" Type="http://schemas.openxmlformats.org/officeDocument/2006/relationships/styles" Target="styles.xml"/><Relationship Id="rId12" Type="http://schemas.openxmlformats.org/officeDocument/2006/relationships/hyperlink" Target="https://oim.unjspf.org/investments-at-glance/weekly-fund-performance" TargetMode="Externa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yperlink" Target="http://www.unjspf.org/fr/" TargetMode="External"/><Relationship Id="rId38" Type="http://schemas.openxmlformats.org/officeDocument/2006/relationships/footer" Target="footer14.xml"/><Relationship Id="rId46" Type="http://schemas.openxmlformats.org/officeDocument/2006/relationships/header" Target="header15.xml"/><Relationship Id="rId20" Type="http://schemas.openxmlformats.org/officeDocument/2006/relationships/footer" Target="footer6.xml"/><Relationship Id="rId41" Type="http://schemas.openxmlformats.org/officeDocument/2006/relationships/hyperlink" Target="https://undocs.org/fr/A/RES/2951(XXVII)" TargetMode="External"/><Relationship Id="rId54"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header" Target="header13.xml"/><Relationship Id="rId49" Type="http://schemas.openxmlformats.org/officeDocument/2006/relationships/header" Target="header16.xml"/><Relationship Id="rId57" Type="http://schemas.openxmlformats.org/officeDocument/2006/relationships/fontTable" Target="fontTable.xml"/><Relationship Id="rId10" Type="http://schemas.openxmlformats.org/officeDocument/2006/relationships/footer" Target="footer2.xml"/><Relationship Id="rId31" Type="http://schemas.openxmlformats.org/officeDocument/2006/relationships/footer" Target="footer11.xml"/><Relationship Id="rId44" Type="http://schemas.openxmlformats.org/officeDocument/2006/relationships/hyperlink" Target="https://undocs.org/fr/A/RES/2741(XXV)" TargetMode="External"/><Relationship Id="rId52"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87E74-C037-42AF-BACF-E7E1451D7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32247</Words>
  <Characters>183811</Characters>
  <Application>Microsoft Office Word</Application>
  <DocSecurity>0</DocSecurity>
  <Lines>1531</Lines>
  <Paragraphs>431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Leroy</dc:creator>
  <cp:keywords/>
  <dc:description/>
  <cp:lastModifiedBy>Regina Araujo Bach Oliveira</cp:lastModifiedBy>
  <cp:revision>2</cp:revision>
  <cp:lastPrinted>2020-09-16T21:44:00Z</cp:lastPrinted>
  <dcterms:created xsi:type="dcterms:W3CDTF">2020-10-14T15:07:00Z</dcterms:created>
  <dcterms:modified xsi:type="dcterms:W3CDTF">2020-10-14T15:07:00Z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2009292F</vt:lpwstr>
  </property>
  <property fmtid="{D5CDD505-2E9C-101B-9397-08002B2CF9AE}" pid="3" name="ODSRefJobNo">
    <vt:lpwstr>2017792F</vt:lpwstr>
  </property>
  <property fmtid="{D5CDD505-2E9C-101B-9397-08002B2CF9AE}" pid="4" name="Symbol1">
    <vt:lpwstr>A/75/5/Add.16</vt:lpwstr>
  </property>
  <property fmtid="{D5CDD505-2E9C-101B-9397-08002B2CF9AE}" pid="5" name="Symbol2">
    <vt:lpwstr/>
  </property>
  <property fmtid="{D5CDD505-2E9C-101B-9397-08002B2CF9AE}" pid="6" name="Translator">
    <vt:lpwstr/>
  </property>
  <property fmtid="{D5CDD505-2E9C-101B-9397-08002B2CF9AE}" pid="7" name="Operator">
    <vt:lpwstr>dll</vt:lpwstr>
  </property>
  <property fmtid="{D5CDD505-2E9C-101B-9397-08002B2CF9AE}" pid="8" name="DraftPages">
    <vt:lpwstr> </vt:lpwstr>
  </property>
  <property fmtid="{D5CDD505-2E9C-101B-9397-08002B2CF9AE}" pid="9" name="Comment">
    <vt:lpwstr/>
  </property>
  <property fmtid="{D5CDD505-2E9C-101B-9397-08002B2CF9AE}" pid="10" name="Category">
    <vt:lpwstr>Supplements</vt:lpwstr>
  </property>
  <property fmtid="{D5CDD505-2E9C-101B-9397-08002B2CF9AE}" pid="11" name="Supplement Title 1">
    <vt:lpwstr>Caisse commune des pensions du personnel des Nations Unies_x000d_</vt:lpwstr>
  </property>
  <property fmtid="{D5CDD505-2E9C-101B-9397-08002B2CF9AE}" pid="12" name="Supplement Title 2">
    <vt:lpwstr>Rapport financier et états financiers audités_x000d_</vt:lpwstr>
  </property>
  <property fmtid="{D5CDD505-2E9C-101B-9397-08002B2CF9AE}" pid="13" name="Supplement Title 3">
    <vt:lpwstr>pour l’année terminée le 31 décembre 2019_x000d_</vt:lpwstr>
  </property>
  <property fmtid="{D5CDD505-2E9C-101B-9397-08002B2CF9AE}" pid="14" name="Supplement Title 4">
    <vt:lpwstr>et_x000d_</vt:lpwstr>
  </property>
  <property fmtid="{D5CDD505-2E9C-101B-9397-08002B2CF9AE}" pid="15" name="Supplement Title 5">
    <vt:lpwstr>Rapport du Comité des commissaires aux comptes_x000d_</vt:lpwstr>
  </property>
</Properties>
</file>